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971" w:type="dxa"/>
            <w:tcBorders>
              <w:top w:val="single" w:color="FFFFFF" w:sz="6" w:space="0"/>
              <w:left w:val="single" w:color="FFFFFF" w:sz="6" w:space="0"/>
              <w:right w:val="single" w:color="FFFFFF" w:sz="6" w:space="0"/>
            </w:tcBorders>
            <w:vAlign w:val="center"/>
          </w:tcPr>
          <w:p>
            <w:pPr>
              <w:pStyle w:val="11"/>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257.20</w:t>
            </w:r>
          </w:p>
        </w:tc>
        <w:tc>
          <w:tcPr>
            <w:tcW w:w="1971" w:type="dxa"/>
            <w:vAlign w:val="center"/>
          </w:tcPr>
          <w:p>
            <w:pPr>
              <w:pStyle w:val="15"/>
            </w:pPr>
            <w:r>
              <w:t>一、一般公共服务支出</w:t>
            </w:r>
          </w:p>
        </w:tc>
        <w:tc>
          <w:tcPr>
            <w:tcW w:w="1971" w:type="dxa"/>
            <w:vAlign w:val="center"/>
          </w:tcPr>
          <w:p>
            <w:pPr>
              <w:pStyle w:val="14"/>
            </w:pPr>
            <w:r>
              <w:t>231.24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五、单位资金</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三十一、人行科目</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pPr>
            <w:r>
              <w:t>257.20</w:t>
            </w:r>
          </w:p>
        </w:tc>
        <w:tc>
          <w:tcPr>
            <w:tcW w:w="1971" w:type="dxa"/>
            <w:vAlign w:val="center"/>
          </w:tcPr>
          <w:p>
            <w:pPr>
              <w:pStyle w:val="17"/>
            </w:pPr>
            <w:r>
              <w:t>本年支出合计</w:t>
            </w:r>
          </w:p>
        </w:tc>
        <w:tc>
          <w:tcPr>
            <w:tcW w:w="1971" w:type="dxa"/>
            <w:vAlign w:val="center"/>
          </w:tcPr>
          <w:p>
            <w:pPr>
              <w:pStyle w:val="18"/>
            </w:pPr>
            <w:r>
              <w:t>257.20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t>257.20</w:t>
            </w:r>
          </w:p>
        </w:tc>
        <w:tc>
          <w:tcPr>
            <w:tcW w:w="1971" w:type="dxa"/>
            <w:vAlign w:val="center"/>
          </w:tcPr>
          <w:p>
            <w:pPr>
              <w:pStyle w:val="17"/>
            </w:pPr>
            <w:r>
              <w:t>支出总计</w:t>
            </w:r>
          </w:p>
        </w:tc>
        <w:tc>
          <w:tcPr>
            <w:tcW w:w="1971" w:type="dxa"/>
            <w:vAlign w:val="center"/>
          </w:tcPr>
          <w:p>
            <w:pPr>
              <w:pStyle w:val="18"/>
            </w:pPr>
            <w:r>
              <w:t>257.20</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257.20</w:t>
            </w:r>
          </w:p>
        </w:tc>
        <w:tc>
          <w:tcPr>
            <w:tcW w:w="758" w:type="dxa"/>
            <w:vAlign w:val="center"/>
          </w:tcPr>
          <w:p>
            <w:pPr>
              <w:pStyle w:val="18"/>
            </w:pPr>
            <w:r>
              <w:t>257.20</w:t>
            </w:r>
          </w:p>
        </w:tc>
        <w:tc>
          <w:tcPr>
            <w:tcW w:w="758" w:type="dxa"/>
            <w:vAlign w:val="center"/>
          </w:tcPr>
          <w:p>
            <w:pPr>
              <w:pStyle w:val="18"/>
            </w:pPr>
            <w:r>
              <w:t>257.20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231.24</w:t>
            </w:r>
          </w:p>
        </w:tc>
        <w:tc>
          <w:tcPr>
            <w:tcW w:w="758" w:type="dxa"/>
            <w:vAlign w:val="center"/>
          </w:tcPr>
          <w:p>
            <w:pPr>
              <w:pStyle w:val="14"/>
            </w:pPr>
            <w:r>
              <w:t>231.24</w:t>
            </w:r>
          </w:p>
        </w:tc>
        <w:tc>
          <w:tcPr>
            <w:tcW w:w="758" w:type="dxa"/>
            <w:vAlign w:val="center"/>
          </w:tcPr>
          <w:p>
            <w:pPr>
              <w:pStyle w:val="14"/>
            </w:pPr>
            <w:r>
              <w:t>231.24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20137</w:t>
            </w:r>
          </w:p>
        </w:tc>
        <w:tc>
          <w:tcPr>
            <w:tcW w:w="758" w:type="dxa"/>
            <w:vAlign w:val="center"/>
          </w:tcPr>
          <w:p>
            <w:pPr>
              <w:pStyle w:val="15"/>
            </w:pPr>
            <w:r>
              <w:t>网信事务</w:t>
            </w:r>
          </w:p>
        </w:tc>
        <w:tc>
          <w:tcPr>
            <w:tcW w:w="758" w:type="dxa"/>
            <w:vAlign w:val="center"/>
          </w:tcPr>
          <w:p>
            <w:pPr>
              <w:pStyle w:val="14"/>
            </w:pPr>
            <w:r>
              <w:t>231.24</w:t>
            </w:r>
          </w:p>
        </w:tc>
        <w:tc>
          <w:tcPr>
            <w:tcW w:w="758" w:type="dxa"/>
            <w:vAlign w:val="center"/>
          </w:tcPr>
          <w:p>
            <w:pPr>
              <w:pStyle w:val="14"/>
            </w:pPr>
            <w:r>
              <w:t>231.24</w:t>
            </w:r>
          </w:p>
        </w:tc>
        <w:tc>
          <w:tcPr>
            <w:tcW w:w="758" w:type="dxa"/>
            <w:vAlign w:val="center"/>
          </w:tcPr>
          <w:p>
            <w:pPr>
              <w:pStyle w:val="14"/>
            </w:pPr>
            <w:r>
              <w:t>231.24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2013701</w:t>
            </w:r>
          </w:p>
        </w:tc>
        <w:tc>
          <w:tcPr>
            <w:tcW w:w="758" w:type="dxa"/>
            <w:vAlign w:val="center"/>
          </w:tcPr>
          <w:p>
            <w:pPr>
              <w:pStyle w:val="15"/>
            </w:pPr>
            <w:r>
              <w:t>行政运行</w:t>
            </w:r>
          </w:p>
        </w:tc>
        <w:tc>
          <w:tcPr>
            <w:tcW w:w="758" w:type="dxa"/>
            <w:vAlign w:val="center"/>
          </w:tcPr>
          <w:p>
            <w:pPr>
              <w:pStyle w:val="14"/>
            </w:pPr>
            <w:r>
              <w:t>111.24</w:t>
            </w:r>
          </w:p>
        </w:tc>
        <w:tc>
          <w:tcPr>
            <w:tcW w:w="758" w:type="dxa"/>
            <w:vAlign w:val="center"/>
          </w:tcPr>
          <w:p>
            <w:pPr>
              <w:pStyle w:val="14"/>
            </w:pPr>
            <w:r>
              <w:t>111.24</w:t>
            </w:r>
          </w:p>
        </w:tc>
        <w:tc>
          <w:tcPr>
            <w:tcW w:w="758" w:type="dxa"/>
            <w:vAlign w:val="center"/>
          </w:tcPr>
          <w:p>
            <w:pPr>
              <w:pStyle w:val="14"/>
            </w:pPr>
            <w:r>
              <w:t>111.24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2013799</w:t>
            </w:r>
          </w:p>
        </w:tc>
        <w:tc>
          <w:tcPr>
            <w:tcW w:w="758" w:type="dxa"/>
            <w:vAlign w:val="center"/>
          </w:tcPr>
          <w:p>
            <w:pPr>
              <w:pStyle w:val="15"/>
            </w:pPr>
            <w:r>
              <w:t>其他网信事务支出</w:t>
            </w:r>
          </w:p>
        </w:tc>
        <w:tc>
          <w:tcPr>
            <w:tcW w:w="758" w:type="dxa"/>
            <w:vAlign w:val="center"/>
          </w:tcPr>
          <w:p>
            <w:pPr>
              <w:pStyle w:val="14"/>
            </w:pPr>
            <w:r>
              <w:t>120.00</w:t>
            </w:r>
          </w:p>
        </w:tc>
        <w:tc>
          <w:tcPr>
            <w:tcW w:w="758" w:type="dxa"/>
            <w:vAlign w:val="center"/>
          </w:tcPr>
          <w:p>
            <w:pPr>
              <w:pStyle w:val="14"/>
            </w:pPr>
            <w:r>
              <w:t>120.00</w:t>
            </w:r>
          </w:p>
        </w:tc>
        <w:tc>
          <w:tcPr>
            <w:tcW w:w="758" w:type="dxa"/>
            <w:vAlign w:val="center"/>
          </w:tcPr>
          <w:p>
            <w:pPr>
              <w:pStyle w:val="14"/>
            </w:pPr>
            <w:r>
              <w:t>120.00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18.93</w:t>
            </w:r>
          </w:p>
        </w:tc>
        <w:tc>
          <w:tcPr>
            <w:tcW w:w="758" w:type="dxa"/>
            <w:vAlign w:val="center"/>
          </w:tcPr>
          <w:p>
            <w:pPr>
              <w:pStyle w:val="14"/>
            </w:pPr>
            <w:r>
              <w:t>18.93</w:t>
            </w:r>
          </w:p>
        </w:tc>
        <w:tc>
          <w:tcPr>
            <w:tcW w:w="758" w:type="dxa"/>
            <w:vAlign w:val="center"/>
          </w:tcPr>
          <w:p>
            <w:pPr>
              <w:pStyle w:val="14"/>
            </w:pPr>
            <w:r>
              <w:t>18.93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18.93</w:t>
            </w:r>
          </w:p>
        </w:tc>
        <w:tc>
          <w:tcPr>
            <w:tcW w:w="758" w:type="dxa"/>
            <w:vAlign w:val="center"/>
          </w:tcPr>
          <w:p>
            <w:pPr>
              <w:pStyle w:val="14"/>
            </w:pPr>
            <w:r>
              <w:t>18.93</w:t>
            </w:r>
          </w:p>
        </w:tc>
        <w:tc>
          <w:tcPr>
            <w:tcW w:w="758" w:type="dxa"/>
            <w:vAlign w:val="center"/>
          </w:tcPr>
          <w:p>
            <w:pPr>
              <w:pStyle w:val="14"/>
            </w:pPr>
            <w:r>
              <w:t>18.93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16.23</w:t>
            </w:r>
          </w:p>
        </w:tc>
        <w:tc>
          <w:tcPr>
            <w:tcW w:w="758" w:type="dxa"/>
            <w:vAlign w:val="center"/>
          </w:tcPr>
          <w:p>
            <w:pPr>
              <w:pStyle w:val="14"/>
            </w:pPr>
            <w:r>
              <w:t>16.23</w:t>
            </w:r>
          </w:p>
        </w:tc>
        <w:tc>
          <w:tcPr>
            <w:tcW w:w="758" w:type="dxa"/>
            <w:vAlign w:val="center"/>
          </w:tcPr>
          <w:p>
            <w:pPr>
              <w:pStyle w:val="14"/>
            </w:pPr>
            <w:r>
              <w:t>16.23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2080506</w:t>
            </w:r>
          </w:p>
        </w:tc>
        <w:tc>
          <w:tcPr>
            <w:tcW w:w="758" w:type="dxa"/>
            <w:vAlign w:val="center"/>
          </w:tcPr>
          <w:p>
            <w:pPr>
              <w:pStyle w:val="15"/>
            </w:pPr>
            <w:r>
              <w:t>机关事业单位职业年金缴费支出</w:t>
            </w:r>
          </w:p>
        </w:tc>
        <w:tc>
          <w:tcPr>
            <w:tcW w:w="758" w:type="dxa"/>
            <w:vAlign w:val="center"/>
          </w:tcPr>
          <w:p>
            <w:pPr>
              <w:pStyle w:val="14"/>
            </w:pPr>
            <w:r>
              <w:t>2.70</w:t>
            </w:r>
          </w:p>
        </w:tc>
        <w:tc>
          <w:tcPr>
            <w:tcW w:w="758" w:type="dxa"/>
            <w:vAlign w:val="center"/>
          </w:tcPr>
          <w:p>
            <w:pPr>
              <w:pStyle w:val="14"/>
            </w:pPr>
            <w:r>
              <w:t>2.70</w:t>
            </w:r>
          </w:p>
        </w:tc>
        <w:tc>
          <w:tcPr>
            <w:tcW w:w="758" w:type="dxa"/>
            <w:vAlign w:val="center"/>
          </w:tcPr>
          <w:p>
            <w:pPr>
              <w:pStyle w:val="14"/>
            </w:pPr>
            <w:r>
              <w:t>2.70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r>
              <w:t>7.03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257.20</w:t>
            </w:r>
          </w:p>
        </w:tc>
        <w:tc>
          <w:tcPr>
            <w:tcW w:w="1095" w:type="dxa"/>
            <w:vAlign w:val="center"/>
          </w:tcPr>
          <w:p>
            <w:pPr>
              <w:pStyle w:val="18"/>
            </w:pPr>
            <w:r>
              <w:t>137.20</w:t>
            </w:r>
          </w:p>
        </w:tc>
        <w:tc>
          <w:tcPr>
            <w:tcW w:w="1095" w:type="dxa"/>
            <w:vAlign w:val="center"/>
          </w:tcPr>
          <w:p>
            <w:pPr>
              <w:pStyle w:val="18"/>
            </w:pPr>
            <w:r>
              <w:t>120.00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231.24</w:t>
            </w:r>
          </w:p>
        </w:tc>
        <w:tc>
          <w:tcPr>
            <w:tcW w:w="1095" w:type="dxa"/>
            <w:vAlign w:val="center"/>
          </w:tcPr>
          <w:p>
            <w:pPr>
              <w:pStyle w:val="14"/>
            </w:pPr>
            <w:r>
              <w:t>111.24</w:t>
            </w:r>
          </w:p>
        </w:tc>
        <w:tc>
          <w:tcPr>
            <w:tcW w:w="1095" w:type="dxa"/>
            <w:vAlign w:val="center"/>
          </w:tcPr>
          <w:p>
            <w:pPr>
              <w:pStyle w:val="14"/>
            </w:pPr>
            <w:r>
              <w:t>120.00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20137</w:t>
            </w:r>
          </w:p>
        </w:tc>
        <w:tc>
          <w:tcPr>
            <w:tcW w:w="1095" w:type="dxa"/>
            <w:vAlign w:val="center"/>
          </w:tcPr>
          <w:p>
            <w:pPr>
              <w:pStyle w:val="15"/>
            </w:pPr>
            <w:r>
              <w:t>网信事务</w:t>
            </w:r>
          </w:p>
        </w:tc>
        <w:tc>
          <w:tcPr>
            <w:tcW w:w="1095" w:type="dxa"/>
            <w:vAlign w:val="center"/>
          </w:tcPr>
          <w:p>
            <w:pPr>
              <w:pStyle w:val="14"/>
            </w:pPr>
            <w:r>
              <w:t>231.24</w:t>
            </w:r>
          </w:p>
        </w:tc>
        <w:tc>
          <w:tcPr>
            <w:tcW w:w="1095" w:type="dxa"/>
            <w:vAlign w:val="center"/>
          </w:tcPr>
          <w:p>
            <w:pPr>
              <w:pStyle w:val="14"/>
            </w:pPr>
            <w:r>
              <w:t>111.24</w:t>
            </w:r>
          </w:p>
        </w:tc>
        <w:tc>
          <w:tcPr>
            <w:tcW w:w="1095" w:type="dxa"/>
            <w:vAlign w:val="center"/>
          </w:tcPr>
          <w:p>
            <w:pPr>
              <w:pStyle w:val="14"/>
            </w:pPr>
            <w:r>
              <w:t>120.00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2013701</w:t>
            </w:r>
          </w:p>
        </w:tc>
        <w:tc>
          <w:tcPr>
            <w:tcW w:w="1095" w:type="dxa"/>
            <w:vAlign w:val="center"/>
          </w:tcPr>
          <w:p>
            <w:pPr>
              <w:pStyle w:val="15"/>
            </w:pPr>
            <w:r>
              <w:t>行政运行</w:t>
            </w:r>
          </w:p>
        </w:tc>
        <w:tc>
          <w:tcPr>
            <w:tcW w:w="1095" w:type="dxa"/>
            <w:vAlign w:val="center"/>
          </w:tcPr>
          <w:p>
            <w:pPr>
              <w:pStyle w:val="14"/>
            </w:pPr>
            <w:r>
              <w:t>111.24</w:t>
            </w:r>
          </w:p>
        </w:tc>
        <w:tc>
          <w:tcPr>
            <w:tcW w:w="1095" w:type="dxa"/>
            <w:vAlign w:val="center"/>
          </w:tcPr>
          <w:p>
            <w:pPr>
              <w:pStyle w:val="14"/>
            </w:pPr>
            <w:r>
              <w:t>111.24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2013799</w:t>
            </w:r>
          </w:p>
        </w:tc>
        <w:tc>
          <w:tcPr>
            <w:tcW w:w="1095" w:type="dxa"/>
            <w:vAlign w:val="center"/>
          </w:tcPr>
          <w:p>
            <w:pPr>
              <w:pStyle w:val="15"/>
            </w:pPr>
            <w:r>
              <w:t>其他网信事务支出</w:t>
            </w:r>
          </w:p>
        </w:tc>
        <w:tc>
          <w:tcPr>
            <w:tcW w:w="1095" w:type="dxa"/>
            <w:vAlign w:val="center"/>
          </w:tcPr>
          <w:p>
            <w:pPr>
              <w:pStyle w:val="14"/>
            </w:pPr>
            <w:r>
              <w:t>120.00</w:t>
            </w:r>
          </w:p>
        </w:tc>
        <w:tc>
          <w:tcPr>
            <w:tcW w:w="1095" w:type="dxa"/>
            <w:vAlign w:val="center"/>
          </w:tcPr>
          <w:p>
            <w:pPr>
              <w:pStyle w:val="14"/>
            </w:pPr>
          </w:p>
        </w:tc>
        <w:tc>
          <w:tcPr>
            <w:tcW w:w="1095" w:type="dxa"/>
            <w:vAlign w:val="center"/>
          </w:tcPr>
          <w:p>
            <w:pPr>
              <w:pStyle w:val="14"/>
            </w:pPr>
            <w:r>
              <w:t>120.00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18.93</w:t>
            </w:r>
          </w:p>
        </w:tc>
        <w:tc>
          <w:tcPr>
            <w:tcW w:w="1095" w:type="dxa"/>
            <w:vAlign w:val="center"/>
          </w:tcPr>
          <w:p>
            <w:pPr>
              <w:pStyle w:val="14"/>
            </w:pPr>
            <w:r>
              <w:t>18.93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18.93</w:t>
            </w:r>
          </w:p>
        </w:tc>
        <w:tc>
          <w:tcPr>
            <w:tcW w:w="1095" w:type="dxa"/>
            <w:vAlign w:val="center"/>
          </w:tcPr>
          <w:p>
            <w:pPr>
              <w:pStyle w:val="14"/>
            </w:pPr>
            <w:r>
              <w:t>18.93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16.23</w:t>
            </w:r>
          </w:p>
        </w:tc>
        <w:tc>
          <w:tcPr>
            <w:tcW w:w="1095" w:type="dxa"/>
            <w:vAlign w:val="center"/>
          </w:tcPr>
          <w:p>
            <w:pPr>
              <w:pStyle w:val="14"/>
            </w:pPr>
            <w:r>
              <w:t>16.23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2080506</w:t>
            </w:r>
          </w:p>
        </w:tc>
        <w:tc>
          <w:tcPr>
            <w:tcW w:w="1095" w:type="dxa"/>
            <w:vAlign w:val="center"/>
          </w:tcPr>
          <w:p>
            <w:pPr>
              <w:pStyle w:val="15"/>
            </w:pPr>
            <w:r>
              <w:t>机关事业单位职业年金缴费支出</w:t>
            </w:r>
          </w:p>
        </w:tc>
        <w:tc>
          <w:tcPr>
            <w:tcW w:w="1095" w:type="dxa"/>
            <w:vAlign w:val="center"/>
          </w:tcPr>
          <w:p>
            <w:pPr>
              <w:pStyle w:val="14"/>
            </w:pPr>
            <w:r>
              <w:t>2.70</w:t>
            </w:r>
          </w:p>
        </w:tc>
        <w:tc>
          <w:tcPr>
            <w:tcW w:w="1095" w:type="dxa"/>
            <w:vAlign w:val="center"/>
          </w:tcPr>
          <w:p>
            <w:pPr>
              <w:pStyle w:val="14"/>
            </w:pPr>
            <w:r>
              <w:t>2.70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7.03</w:t>
            </w:r>
          </w:p>
        </w:tc>
        <w:tc>
          <w:tcPr>
            <w:tcW w:w="1095" w:type="dxa"/>
            <w:vAlign w:val="center"/>
          </w:tcPr>
          <w:p>
            <w:pPr>
              <w:pStyle w:val="14"/>
            </w:pPr>
            <w:r>
              <w:t>7.03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7.03</w:t>
            </w:r>
          </w:p>
        </w:tc>
        <w:tc>
          <w:tcPr>
            <w:tcW w:w="1095" w:type="dxa"/>
            <w:vAlign w:val="center"/>
          </w:tcPr>
          <w:p>
            <w:pPr>
              <w:pStyle w:val="14"/>
            </w:pPr>
            <w:r>
              <w:t>7.03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7.03</w:t>
            </w:r>
          </w:p>
        </w:tc>
        <w:tc>
          <w:tcPr>
            <w:tcW w:w="1095" w:type="dxa"/>
            <w:vAlign w:val="center"/>
          </w:tcPr>
          <w:p>
            <w:pPr>
              <w:pStyle w:val="14"/>
            </w:pPr>
            <w:r>
              <w:t>7.03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232" w:type="dxa"/>
            <w:tcBorders>
              <w:top w:val="single" w:color="FFFFFF" w:sz="6" w:space="0"/>
              <w:left w:val="single" w:color="FFFFFF" w:sz="6" w:space="0"/>
              <w:right w:val="single" w:color="FFFFFF" w:sz="6" w:space="0"/>
            </w:tcBorders>
            <w:vAlign w:val="center"/>
          </w:tcPr>
          <w:p>
            <w:pPr>
              <w:pStyle w:val="11"/>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257.20</w:t>
            </w:r>
          </w:p>
        </w:tc>
        <w:tc>
          <w:tcPr>
            <w:tcW w:w="1232" w:type="dxa"/>
            <w:vAlign w:val="center"/>
          </w:tcPr>
          <w:p>
            <w:pPr>
              <w:pStyle w:val="15"/>
            </w:pPr>
            <w:r>
              <w:t>一、一般公共服务支出</w:t>
            </w:r>
          </w:p>
        </w:tc>
        <w:tc>
          <w:tcPr>
            <w:tcW w:w="1232" w:type="dxa"/>
            <w:vAlign w:val="center"/>
          </w:tcPr>
          <w:p>
            <w:pPr>
              <w:pStyle w:val="14"/>
            </w:pPr>
            <w:r>
              <w:t>231.24</w:t>
            </w:r>
          </w:p>
        </w:tc>
        <w:tc>
          <w:tcPr>
            <w:tcW w:w="1232" w:type="dxa"/>
            <w:vAlign w:val="center"/>
          </w:tcPr>
          <w:p>
            <w:pPr>
              <w:pStyle w:val="14"/>
            </w:pPr>
            <w:r>
              <w:t>231.24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18.93</w:t>
            </w:r>
          </w:p>
        </w:tc>
        <w:tc>
          <w:tcPr>
            <w:tcW w:w="1232" w:type="dxa"/>
            <w:vAlign w:val="center"/>
          </w:tcPr>
          <w:p>
            <w:pPr>
              <w:pStyle w:val="14"/>
            </w:pPr>
            <w:r>
              <w:t>18.93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7.03</w:t>
            </w:r>
          </w:p>
        </w:tc>
        <w:tc>
          <w:tcPr>
            <w:tcW w:w="1232" w:type="dxa"/>
            <w:vAlign w:val="center"/>
          </w:tcPr>
          <w:p>
            <w:pPr>
              <w:pStyle w:val="14"/>
            </w:pPr>
            <w:r>
              <w:t>7.03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257.20</w:t>
            </w:r>
          </w:p>
        </w:tc>
        <w:tc>
          <w:tcPr>
            <w:tcW w:w="1232" w:type="dxa"/>
            <w:vAlign w:val="center"/>
          </w:tcPr>
          <w:p>
            <w:pPr>
              <w:pStyle w:val="17"/>
            </w:pPr>
            <w:r>
              <w:t>本年支出合计</w:t>
            </w:r>
          </w:p>
        </w:tc>
        <w:tc>
          <w:tcPr>
            <w:tcW w:w="1232" w:type="dxa"/>
            <w:vAlign w:val="center"/>
          </w:tcPr>
          <w:p>
            <w:pPr>
              <w:pStyle w:val="18"/>
            </w:pPr>
            <w:r>
              <w:t>257.20</w:t>
            </w:r>
          </w:p>
        </w:tc>
        <w:tc>
          <w:tcPr>
            <w:tcW w:w="1232" w:type="dxa"/>
            <w:vAlign w:val="center"/>
          </w:tcPr>
          <w:p>
            <w:pPr>
              <w:pStyle w:val="18"/>
            </w:pPr>
            <w:r>
              <w:t>257.20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257.20</w:t>
            </w:r>
          </w:p>
        </w:tc>
        <w:tc>
          <w:tcPr>
            <w:tcW w:w="1232" w:type="dxa"/>
            <w:vAlign w:val="center"/>
          </w:tcPr>
          <w:p>
            <w:pPr>
              <w:pStyle w:val="17"/>
            </w:pPr>
            <w:r>
              <w:t>支出总计</w:t>
            </w:r>
          </w:p>
        </w:tc>
        <w:tc>
          <w:tcPr>
            <w:tcW w:w="1232" w:type="dxa"/>
            <w:vAlign w:val="center"/>
          </w:tcPr>
          <w:p>
            <w:pPr>
              <w:pStyle w:val="18"/>
            </w:pPr>
            <w:r>
              <w:t>257.20</w:t>
            </w:r>
          </w:p>
        </w:tc>
        <w:tc>
          <w:tcPr>
            <w:tcW w:w="1232" w:type="dxa"/>
            <w:vAlign w:val="center"/>
          </w:tcPr>
          <w:p>
            <w:pPr>
              <w:pStyle w:val="18"/>
            </w:pPr>
            <w:r>
              <w:t>257.20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257.20</w:t>
            </w:r>
          </w:p>
        </w:tc>
        <w:tc>
          <w:tcPr>
            <w:tcW w:w="1643" w:type="dxa"/>
            <w:vAlign w:val="center"/>
          </w:tcPr>
          <w:p>
            <w:pPr>
              <w:pStyle w:val="18"/>
            </w:pPr>
            <w:r>
              <w:t>137.20</w:t>
            </w:r>
          </w:p>
        </w:tc>
        <w:tc>
          <w:tcPr>
            <w:tcW w:w="1643" w:type="dxa"/>
            <w:vAlign w:val="center"/>
          </w:tcPr>
          <w:p>
            <w:pPr>
              <w:pStyle w:val="18"/>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231.24</w:t>
            </w:r>
          </w:p>
        </w:tc>
        <w:tc>
          <w:tcPr>
            <w:tcW w:w="1643" w:type="dxa"/>
            <w:vAlign w:val="center"/>
          </w:tcPr>
          <w:p>
            <w:pPr>
              <w:pStyle w:val="14"/>
            </w:pPr>
            <w:r>
              <w:t>111.24</w:t>
            </w:r>
          </w:p>
        </w:tc>
        <w:tc>
          <w:tcPr>
            <w:tcW w:w="1643" w:type="dxa"/>
            <w:vAlign w:val="center"/>
          </w:tcPr>
          <w:p>
            <w:pPr>
              <w:pStyle w:val="14"/>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20137</w:t>
            </w:r>
          </w:p>
        </w:tc>
        <w:tc>
          <w:tcPr>
            <w:tcW w:w="1643" w:type="dxa"/>
            <w:vAlign w:val="center"/>
          </w:tcPr>
          <w:p>
            <w:pPr>
              <w:pStyle w:val="15"/>
            </w:pPr>
            <w:r>
              <w:t>网信事务</w:t>
            </w:r>
          </w:p>
        </w:tc>
        <w:tc>
          <w:tcPr>
            <w:tcW w:w="1643" w:type="dxa"/>
            <w:vAlign w:val="center"/>
          </w:tcPr>
          <w:p>
            <w:pPr>
              <w:pStyle w:val="14"/>
            </w:pPr>
            <w:r>
              <w:t>231.24</w:t>
            </w:r>
          </w:p>
        </w:tc>
        <w:tc>
          <w:tcPr>
            <w:tcW w:w="1643" w:type="dxa"/>
            <w:vAlign w:val="center"/>
          </w:tcPr>
          <w:p>
            <w:pPr>
              <w:pStyle w:val="14"/>
            </w:pPr>
            <w:r>
              <w:t>111.24</w:t>
            </w:r>
          </w:p>
        </w:tc>
        <w:tc>
          <w:tcPr>
            <w:tcW w:w="1643" w:type="dxa"/>
            <w:vAlign w:val="center"/>
          </w:tcPr>
          <w:p>
            <w:pPr>
              <w:pStyle w:val="14"/>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2013701</w:t>
            </w:r>
          </w:p>
        </w:tc>
        <w:tc>
          <w:tcPr>
            <w:tcW w:w="1643" w:type="dxa"/>
            <w:vAlign w:val="center"/>
          </w:tcPr>
          <w:p>
            <w:pPr>
              <w:pStyle w:val="15"/>
            </w:pPr>
            <w:r>
              <w:t>行政运行</w:t>
            </w:r>
          </w:p>
        </w:tc>
        <w:tc>
          <w:tcPr>
            <w:tcW w:w="1643" w:type="dxa"/>
            <w:vAlign w:val="center"/>
          </w:tcPr>
          <w:p>
            <w:pPr>
              <w:pStyle w:val="14"/>
            </w:pPr>
            <w:r>
              <w:t>111.24</w:t>
            </w:r>
          </w:p>
        </w:tc>
        <w:tc>
          <w:tcPr>
            <w:tcW w:w="1643" w:type="dxa"/>
            <w:vAlign w:val="center"/>
          </w:tcPr>
          <w:p>
            <w:pPr>
              <w:pStyle w:val="14"/>
            </w:pPr>
            <w:r>
              <w:t>111.24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2013799</w:t>
            </w:r>
          </w:p>
        </w:tc>
        <w:tc>
          <w:tcPr>
            <w:tcW w:w="1643" w:type="dxa"/>
            <w:vAlign w:val="center"/>
          </w:tcPr>
          <w:p>
            <w:pPr>
              <w:pStyle w:val="15"/>
            </w:pPr>
            <w:r>
              <w:t>其他网信事务支出</w:t>
            </w:r>
          </w:p>
        </w:tc>
        <w:tc>
          <w:tcPr>
            <w:tcW w:w="1643" w:type="dxa"/>
            <w:vAlign w:val="center"/>
          </w:tcPr>
          <w:p>
            <w:pPr>
              <w:pStyle w:val="14"/>
            </w:pPr>
            <w:r>
              <w:t>120.00</w:t>
            </w:r>
          </w:p>
        </w:tc>
        <w:tc>
          <w:tcPr>
            <w:tcW w:w="1643" w:type="dxa"/>
            <w:vAlign w:val="center"/>
          </w:tcPr>
          <w:p>
            <w:pPr>
              <w:pStyle w:val="14"/>
            </w:pPr>
          </w:p>
        </w:tc>
        <w:tc>
          <w:tcPr>
            <w:tcW w:w="1643" w:type="dxa"/>
            <w:vAlign w:val="center"/>
          </w:tcPr>
          <w:p>
            <w:pPr>
              <w:pStyle w:val="14"/>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18.93</w:t>
            </w:r>
          </w:p>
        </w:tc>
        <w:tc>
          <w:tcPr>
            <w:tcW w:w="1643" w:type="dxa"/>
            <w:vAlign w:val="center"/>
          </w:tcPr>
          <w:p>
            <w:pPr>
              <w:pStyle w:val="14"/>
            </w:pPr>
            <w:r>
              <w:t>18.93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18.93</w:t>
            </w:r>
          </w:p>
        </w:tc>
        <w:tc>
          <w:tcPr>
            <w:tcW w:w="1643" w:type="dxa"/>
            <w:vAlign w:val="center"/>
          </w:tcPr>
          <w:p>
            <w:pPr>
              <w:pStyle w:val="14"/>
            </w:pPr>
            <w:r>
              <w:t>18.93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16.23</w:t>
            </w:r>
          </w:p>
        </w:tc>
        <w:tc>
          <w:tcPr>
            <w:tcW w:w="1643" w:type="dxa"/>
            <w:vAlign w:val="center"/>
          </w:tcPr>
          <w:p>
            <w:pPr>
              <w:pStyle w:val="14"/>
            </w:pPr>
            <w:r>
              <w:t>16.23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2080506</w:t>
            </w:r>
          </w:p>
        </w:tc>
        <w:tc>
          <w:tcPr>
            <w:tcW w:w="1643" w:type="dxa"/>
            <w:vAlign w:val="center"/>
          </w:tcPr>
          <w:p>
            <w:pPr>
              <w:pStyle w:val="15"/>
            </w:pPr>
            <w:r>
              <w:t>机关事业单位职业年金缴费支出</w:t>
            </w:r>
          </w:p>
        </w:tc>
        <w:tc>
          <w:tcPr>
            <w:tcW w:w="1643" w:type="dxa"/>
            <w:vAlign w:val="center"/>
          </w:tcPr>
          <w:p>
            <w:pPr>
              <w:pStyle w:val="14"/>
            </w:pPr>
            <w:r>
              <w:t>2.70</w:t>
            </w:r>
          </w:p>
        </w:tc>
        <w:tc>
          <w:tcPr>
            <w:tcW w:w="1643" w:type="dxa"/>
            <w:vAlign w:val="center"/>
          </w:tcPr>
          <w:p>
            <w:pPr>
              <w:pStyle w:val="14"/>
            </w:pPr>
            <w:r>
              <w:t>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7.03</w:t>
            </w:r>
          </w:p>
        </w:tc>
        <w:tc>
          <w:tcPr>
            <w:tcW w:w="1643" w:type="dxa"/>
            <w:vAlign w:val="center"/>
          </w:tcPr>
          <w:p>
            <w:pPr>
              <w:pStyle w:val="14"/>
            </w:pPr>
            <w:r>
              <w:t>7.03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7.03</w:t>
            </w:r>
          </w:p>
        </w:tc>
        <w:tc>
          <w:tcPr>
            <w:tcW w:w="1643" w:type="dxa"/>
            <w:vAlign w:val="center"/>
          </w:tcPr>
          <w:p>
            <w:pPr>
              <w:pStyle w:val="14"/>
            </w:pPr>
            <w:r>
              <w:t>7.03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7.03</w:t>
            </w:r>
          </w:p>
        </w:tc>
        <w:tc>
          <w:tcPr>
            <w:tcW w:w="1643" w:type="dxa"/>
            <w:vAlign w:val="center"/>
          </w:tcPr>
          <w:p>
            <w:pPr>
              <w:pStyle w:val="14"/>
            </w:pPr>
            <w:r>
              <w:t>7.03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137.20</w:t>
            </w:r>
          </w:p>
        </w:tc>
        <w:tc>
          <w:tcPr>
            <w:tcW w:w="1643" w:type="dxa"/>
            <w:vAlign w:val="center"/>
          </w:tcPr>
          <w:p>
            <w:pPr>
              <w:pStyle w:val="18"/>
            </w:pPr>
            <w:r>
              <w:t>112.70</w:t>
            </w:r>
          </w:p>
        </w:tc>
        <w:tc>
          <w:tcPr>
            <w:tcW w:w="1643" w:type="dxa"/>
            <w:vAlign w:val="center"/>
          </w:tcPr>
          <w:p>
            <w:pPr>
              <w:pStyle w:val="18"/>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112.70</w:t>
            </w:r>
          </w:p>
        </w:tc>
        <w:tc>
          <w:tcPr>
            <w:tcW w:w="1643" w:type="dxa"/>
            <w:vAlign w:val="center"/>
          </w:tcPr>
          <w:p>
            <w:pPr>
              <w:pStyle w:val="14"/>
            </w:pPr>
            <w:r>
              <w:t>112.70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40.29</w:t>
            </w:r>
          </w:p>
        </w:tc>
        <w:tc>
          <w:tcPr>
            <w:tcW w:w="1643" w:type="dxa"/>
            <w:vAlign w:val="center"/>
          </w:tcPr>
          <w:p>
            <w:pPr>
              <w:pStyle w:val="14"/>
            </w:pPr>
            <w:r>
              <w:t>40.29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14.76</w:t>
            </w:r>
          </w:p>
        </w:tc>
        <w:tc>
          <w:tcPr>
            <w:tcW w:w="1643" w:type="dxa"/>
            <w:vAlign w:val="center"/>
          </w:tcPr>
          <w:p>
            <w:pPr>
              <w:pStyle w:val="14"/>
            </w:pPr>
            <w:r>
              <w:t>14.76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13.63</w:t>
            </w:r>
          </w:p>
        </w:tc>
        <w:tc>
          <w:tcPr>
            <w:tcW w:w="1643" w:type="dxa"/>
            <w:vAlign w:val="center"/>
          </w:tcPr>
          <w:p>
            <w:pPr>
              <w:pStyle w:val="14"/>
            </w:pPr>
            <w:r>
              <w:t>13.63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17.36</w:t>
            </w:r>
          </w:p>
        </w:tc>
        <w:tc>
          <w:tcPr>
            <w:tcW w:w="1643" w:type="dxa"/>
            <w:vAlign w:val="center"/>
          </w:tcPr>
          <w:p>
            <w:pPr>
              <w:pStyle w:val="14"/>
            </w:pPr>
            <w:r>
              <w:t>17.36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16.23</w:t>
            </w:r>
          </w:p>
        </w:tc>
        <w:tc>
          <w:tcPr>
            <w:tcW w:w="1643" w:type="dxa"/>
            <w:vAlign w:val="center"/>
          </w:tcPr>
          <w:p>
            <w:pPr>
              <w:pStyle w:val="14"/>
            </w:pPr>
            <w:r>
              <w:t>16.23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30109</w:t>
            </w:r>
          </w:p>
        </w:tc>
        <w:tc>
          <w:tcPr>
            <w:tcW w:w="1643" w:type="dxa"/>
            <w:vAlign w:val="center"/>
          </w:tcPr>
          <w:p>
            <w:pPr>
              <w:pStyle w:val="15"/>
            </w:pPr>
            <w:r>
              <w:t>职业年金缴费</w:t>
            </w:r>
          </w:p>
        </w:tc>
        <w:tc>
          <w:tcPr>
            <w:tcW w:w="1643" w:type="dxa"/>
            <w:vAlign w:val="center"/>
          </w:tcPr>
          <w:p>
            <w:pPr>
              <w:pStyle w:val="14"/>
            </w:pPr>
            <w:r>
              <w:t>2.70</w:t>
            </w:r>
          </w:p>
        </w:tc>
        <w:tc>
          <w:tcPr>
            <w:tcW w:w="1643" w:type="dxa"/>
            <w:vAlign w:val="center"/>
          </w:tcPr>
          <w:p>
            <w:pPr>
              <w:pStyle w:val="14"/>
            </w:pPr>
            <w:r>
              <w:t>2.70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7.03</w:t>
            </w:r>
          </w:p>
        </w:tc>
        <w:tc>
          <w:tcPr>
            <w:tcW w:w="1643" w:type="dxa"/>
            <w:vAlign w:val="center"/>
          </w:tcPr>
          <w:p>
            <w:pPr>
              <w:pStyle w:val="14"/>
            </w:pPr>
            <w:r>
              <w:t>7.03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0.70</w:t>
            </w:r>
          </w:p>
        </w:tc>
        <w:tc>
          <w:tcPr>
            <w:tcW w:w="1643" w:type="dxa"/>
            <w:vAlign w:val="center"/>
          </w:tcPr>
          <w:p>
            <w:pPr>
              <w:pStyle w:val="14"/>
            </w:pPr>
            <w:r>
              <w:t>0.70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24.50</w:t>
            </w:r>
          </w:p>
        </w:tc>
        <w:tc>
          <w:tcPr>
            <w:tcW w:w="1643" w:type="dxa"/>
            <w:vAlign w:val="center"/>
          </w:tcPr>
          <w:p>
            <w:pPr>
              <w:pStyle w:val="14"/>
            </w:pPr>
          </w:p>
        </w:tc>
        <w:tc>
          <w:tcPr>
            <w:tcW w:w="1643" w:type="dxa"/>
            <w:vAlign w:val="center"/>
          </w:tcPr>
          <w:p>
            <w:pPr>
              <w:pStyle w:val="14"/>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5.50</w:t>
            </w:r>
          </w:p>
        </w:tc>
        <w:tc>
          <w:tcPr>
            <w:tcW w:w="1643" w:type="dxa"/>
            <w:vAlign w:val="center"/>
          </w:tcPr>
          <w:p>
            <w:pPr>
              <w:pStyle w:val="14"/>
            </w:pPr>
          </w:p>
        </w:tc>
        <w:tc>
          <w:tcPr>
            <w:tcW w:w="1643" w:type="dxa"/>
            <w:vAlign w:val="center"/>
          </w:tcPr>
          <w:p>
            <w:pPr>
              <w:pStyle w:val="14"/>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2.34</w:t>
            </w:r>
          </w:p>
        </w:tc>
        <w:tc>
          <w:tcPr>
            <w:tcW w:w="1643" w:type="dxa"/>
            <w:vAlign w:val="center"/>
          </w:tcPr>
          <w:p>
            <w:pPr>
              <w:pStyle w:val="14"/>
            </w:pPr>
          </w:p>
        </w:tc>
        <w:tc>
          <w:tcPr>
            <w:tcW w:w="1643" w:type="dxa"/>
            <w:vAlign w:val="center"/>
          </w:tcPr>
          <w:p>
            <w:pPr>
              <w:pStyle w:val="14"/>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30226</w:t>
            </w:r>
          </w:p>
        </w:tc>
        <w:tc>
          <w:tcPr>
            <w:tcW w:w="1643" w:type="dxa"/>
            <w:vAlign w:val="center"/>
          </w:tcPr>
          <w:p>
            <w:pPr>
              <w:pStyle w:val="15"/>
            </w:pPr>
            <w:r>
              <w:t>劳务费</w:t>
            </w:r>
          </w:p>
        </w:tc>
        <w:tc>
          <w:tcPr>
            <w:tcW w:w="1643" w:type="dxa"/>
            <w:vAlign w:val="center"/>
          </w:tcPr>
          <w:p>
            <w:pPr>
              <w:pStyle w:val="14"/>
            </w:pPr>
            <w:r>
              <w:t>10.60</w:t>
            </w:r>
          </w:p>
        </w:tc>
        <w:tc>
          <w:tcPr>
            <w:tcW w:w="1643" w:type="dxa"/>
            <w:vAlign w:val="center"/>
          </w:tcPr>
          <w:p>
            <w:pPr>
              <w:pStyle w:val="14"/>
            </w:pPr>
          </w:p>
        </w:tc>
        <w:tc>
          <w:tcPr>
            <w:tcW w:w="1643" w:type="dxa"/>
            <w:vAlign w:val="center"/>
          </w:tcPr>
          <w:p>
            <w:pPr>
              <w:pStyle w:val="14"/>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30231</w:t>
            </w:r>
          </w:p>
        </w:tc>
        <w:tc>
          <w:tcPr>
            <w:tcW w:w="1643" w:type="dxa"/>
            <w:vAlign w:val="center"/>
          </w:tcPr>
          <w:p>
            <w:pPr>
              <w:pStyle w:val="15"/>
            </w:pPr>
            <w:r>
              <w:t>公务用车运行维护费</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3.06</w:t>
            </w:r>
          </w:p>
        </w:tc>
        <w:tc>
          <w:tcPr>
            <w:tcW w:w="1643" w:type="dxa"/>
            <w:vAlign w:val="center"/>
          </w:tcPr>
          <w:p>
            <w:pPr>
              <w:pStyle w:val="14"/>
            </w:pPr>
          </w:p>
        </w:tc>
        <w:tc>
          <w:tcPr>
            <w:tcW w:w="1643" w:type="dxa"/>
            <w:vAlign w:val="center"/>
          </w:tcPr>
          <w:p>
            <w:pPr>
              <w:pStyle w:val="14"/>
            </w:pPr>
            <w:r>
              <w:t>3.06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合计</w:t>
            </w:r>
          </w:p>
        </w:tc>
        <w:tc>
          <w:tcPr>
            <w:tcW w:w="1643" w:type="dxa"/>
            <w:vAlign w:val="center"/>
          </w:tcPr>
          <w:p>
            <w:pPr>
              <w:pStyle w:val="18"/>
            </w:pPr>
            <w:r>
              <w:t>3.00</w:t>
            </w:r>
          </w:p>
        </w:tc>
        <w:tc>
          <w:tcPr>
            <w:tcW w:w="1643" w:type="dxa"/>
            <w:vAlign w:val="center"/>
          </w:tcPr>
          <w:p>
            <w:pPr>
              <w:pStyle w:val="18"/>
            </w:pPr>
            <w:r>
              <w:t>3.00</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pPr>
            <w:r>
              <w:t>3.00</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pPr>
            <w:r>
              <w:t>3.00</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pPr>
            <w:r>
              <w:t>3.00</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10</w:t>
            </w:r>
          </w:p>
        </w:tc>
        <w:tc>
          <w:tcPr>
            <w:tcW w:w="1643" w:type="dxa"/>
            <w:vAlign w:val="center"/>
          </w:tcPr>
          <w:p>
            <w:pPr>
              <w:pStyle w:val="15"/>
            </w:pPr>
            <w:r>
              <w:t>四、会议费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11</w:t>
            </w:r>
          </w:p>
        </w:tc>
        <w:tc>
          <w:tcPr>
            <w:tcW w:w="1643" w:type="dxa"/>
            <w:vAlign w:val="center"/>
          </w:tcPr>
          <w:p>
            <w:pPr>
              <w:pStyle w:val="15"/>
            </w:pPr>
            <w:r>
              <w:t>五、培训费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中共无极县委网络安全和信息化委员会办公室2024年部门预算信息公开情况说明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中共无极县委网络安全和信息化委员会办公室2024年部门预算信息公开情况说明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按照《中华人民共和国预算法》、《地方预决算公开操作规程》和《关于进一步推进预算公开工作的实施意见》规定，现将中共无极县委网络安全和信息化委员会办公室2024年部门预算公开如下：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2024年，</w:t>
      </w:r>
      <w:r>
        <w:rPr>
          <w:rFonts w:hint="eastAsia" w:ascii="Times New Roman" w:hAnsi="Times New Roman" w:eastAsia="方正仿宋_GBK" w:cs="Times New Roman"/>
          <w:color w:val="000000"/>
          <w:sz w:val="28"/>
        </w:rPr>
        <w:t>无极县委网信办将深入贯彻落实习近平总书记关于网络强国的重要思想，按照省、市委网信部门和县委、县政府的工作部署和要求，牢牢把握“正能量是总要求、管得住是硬道理、用得好是真本事”的重要原则，扩正控负全面推动网络生态治理，严格落实网络意识形态工作责任制，</w:t>
      </w:r>
      <w:r>
        <w:rPr>
          <w:rFonts w:hint="eastAsia" w:ascii="Times New Roman" w:hAnsi="Times New Roman" w:eastAsia="方正仿宋_GBK" w:cs="Times New Roman"/>
          <w:color w:val="000000"/>
          <w:sz w:val="28"/>
          <w:lang w:val="en-US" w:eastAsia="zh-CN"/>
        </w:rPr>
        <w:t>准确把握互联网事业发展“中国式现代化”的本质要求，加快网络强县建设步伐，“以网络文明促社会文明，以网络安全促发展安全，以网络兴旺促产业兴旺，以网络强县促经济强县”，</w:t>
      </w:r>
      <w:r>
        <w:rPr>
          <w:rFonts w:hint="eastAsia" w:ascii="Times New Roman" w:hAnsi="Times New Roman" w:eastAsia="方正仿宋_GBK" w:cs="Times New Roman"/>
          <w:color w:val="000000"/>
          <w:sz w:val="28"/>
        </w:rPr>
        <w:t>踔厉奋发、勇毅前行，为加快建设网络强</w:t>
      </w:r>
      <w:r>
        <w:rPr>
          <w:rFonts w:hint="eastAsia" w:ascii="Times New Roman" w:hAnsi="Times New Roman" w:eastAsia="方正仿宋_GBK" w:cs="Times New Roman"/>
          <w:color w:val="000000"/>
          <w:sz w:val="28"/>
          <w:lang w:val="en-US" w:eastAsia="zh-CN"/>
        </w:rPr>
        <w:t>县</w:t>
      </w:r>
      <w:r>
        <w:rPr>
          <w:rFonts w:hint="eastAsia" w:ascii="Times New Roman" w:hAnsi="Times New Roman" w:eastAsia="方正仿宋_GBK" w:cs="Times New Roman"/>
          <w:color w:val="000000"/>
          <w:sz w:val="28"/>
        </w:rPr>
        <w:t>、数字</w:t>
      </w:r>
      <w:r>
        <w:rPr>
          <w:rFonts w:hint="eastAsia" w:ascii="Times New Roman" w:hAnsi="Times New Roman" w:eastAsia="方正仿宋_GBK" w:cs="Times New Roman"/>
          <w:color w:val="000000"/>
          <w:sz w:val="28"/>
          <w:lang w:val="en-US" w:eastAsia="zh-CN"/>
        </w:rPr>
        <w:t>无极</w:t>
      </w:r>
      <w:r>
        <w:rPr>
          <w:rFonts w:hint="eastAsia" w:ascii="Times New Roman" w:hAnsi="Times New Roman" w:eastAsia="方正仿宋_GBK" w:cs="Times New Roman"/>
          <w:color w:val="000000"/>
          <w:sz w:val="28"/>
        </w:rPr>
        <w:t>贡献力量</w:t>
      </w:r>
      <w:r>
        <w:rPr>
          <w:rFonts w:hint="eastAsia" w:ascii="Times New Roman" w:hAnsi="Times New Roman" w:eastAsia="方正仿宋_GBK" w:cs="Times New Roman"/>
          <w:color w:val="000000"/>
          <w:sz w:val="28"/>
          <w:lang w:val="en-US"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1、负责处理县委网络安全和信息化委员会日常事务工作。</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2、贯彻落实网络安全和信息化发展战略、宏观规划和重大政策。</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3、统筹协调全县网络安全保障体系和可信体系建设。</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4、督促落实涉及政治、经济、文化、社会、生态及军事等各个领域的网络安全和信息化重大事项。</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5、负责互联网信息内容管理。</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6、负责指导协调全县舆情信息工作。</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7、推动全县网络阵地建设和重点新闻网站规划建设。</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8、协调推动全县网络社会工作和网络文化、网络文明建设。</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9、落实国家互联网信息服务资本准入和信息网络行业安全审查的有关政策。</w:t>
      </w:r>
    </w:p>
    <w:p>
      <w:pPr>
        <w:spacing w:before="0" w:after="0" w:line="500" w:lineRule="exact"/>
        <w:ind w:firstLine="560"/>
        <w:jc w:val="left"/>
        <w:outlineLvl w:val="9"/>
      </w:pPr>
      <w:r>
        <w:rPr>
          <w:rFonts w:hint="eastAsia" w:ascii="Times New Roman" w:hAnsi="Times New Roman" w:eastAsia="方正仿宋_GBK" w:cs="Times New Roman"/>
          <w:color w:val="000000"/>
          <w:sz w:val="28"/>
          <w:lang w:val="en-US" w:eastAsia="zh-CN"/>
        </w:rP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中共无极县委网络安全和信息化委员会办公室本级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按照预算管理有关规定，目前部门预算的编制实行综合预算管理，即全部收入和支出都反映在预算中。中共无极县委网络安全和信息化委员会办公室机关及所属事业单位的收支包含在部门预算中。</w:t>
      </w:r>
    </w:p>
    <w:p>
      <w:pPr>
        <w:pStyle w:val="21"/>
      </w:pPr>
      <w:r>
        <w:t>1、收入说明</w:t>
      </w:r>
    </w:p>
    <w:p>
      <w:pPr>
        <w:pStyle w:val="21"/>
      </w:pPr>
      <w:r>
        <w:t>反映本部门当年全部收入。2024年预算收入257.20万元，其中：一般公共预算收入257.20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中共无极县委网络安全和信息化委员会办公室年度部门预算中支出预算的总体情况。2024年支出预算257.20万元，其中基本支出137.20万元，包括人员经费112.70万元和日常公用经费24.50万元；项目支出120.00万元，主要为专项经费60万元，舆情回应基金库60万元。</w:t>
      </w:r>
    </w:p>
    <w:p>
      <w:pPr>
        <w:pStyle w:val="21"/>
      </w:pPr>
      <w:r>
        <w:t>3、比上年增减情况</w:t>
      </w:r>
    </w:p>
    <w:p>
      <w:pPr>
        <w:pStyle w:val="21"/>
        <w:rPr>
          <w:rFonts w:hint="default" w:eastAsia="方正仿宋_GBK"/>
          <w:lang w:val="en-US" w:eastAsia="zh-CN"/>
        </w:rPr>
      </w:pPr>
      <w:r>
        <w:t>2024年预算收支安排257.20万元，较2023年预算增加27.95万元，其中：基本支出减少32.05万元，主要为人员经费减少，日常公用经费增加。项目支出增加60.00万元，主要为专项经费</w:t>
      </w:r>
      <w:r>
        <w:rPr>
          <w:rFonts w:hint="eastAsia"/>
          <w:lang w:val="en-US" w:eastAsia="zh-CN"/>
        </w:rPr>
        <w:t>增加</w:t>
      </w:r>
      <w:r>
        <w:t>60万元，舆情回应基金库</w:t>
      </w:r>
      <w:r>
        <w:rPr>
          <w:rFonts w:hint="eastAsia"/>
          <w:lang w:val="en-US" w:eastAsia="zh-CN"/>
        </w:rPr>
        <w:t>增加</w:t>
      </w:r>
      <w:r>
        <w:t>60万元</w:t>
      </w:r>
      <w:r>
        <w:rPr>
          <w:rFonts w:hint="eastAsia"/>
          <w:lang w:eastAsia="zh-CN"/>
        </w:rPr>
        <w:t>，</w:t>
      </w:r>
      <w:r>
        <w:rPr>
          <w:rFonts w:hint="eastAsia"/>
          <w:lang w:val="en-US" w:eastAsia="zh-CN"/>
        </w:rPr>
        <w:t>其他无变化。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2024年，我部门机关运行经费共计安排24.50万元，主要用于日常维修、办公用房水电费、办公用房取暖费、办公用房物业管理费等日常运行支出。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w:t>
      </w:r>
      <w:r>
        <w:rPr>
          <w:rFonts w:hint="eastAsia"/>
          <w:lang w:val="en-US" w:eastAsia="zh-CN"/>
        </w:rPr>
        <w:t>2024年无新的三公经费预算</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2024年，无极县委网信办将深入贯彻落实习近平总书记关于网络强国的重要思想，按照省、市委网信部门和县委、县政府的工作部署和要求，牢牢把握“正能量是总要求、管得住是硬道理、用得好是真本事”的重要原则，扩正控负全面推动网络生态治理，严格落实网络意识形态工作责任制，准确把握互联网事业发展“中国式现代化”的本质要求，加快网络强县建设步伐，“以网络文明促社会文明，以网络安全促发展安全，以网络兴旺促产业兴旺，以网络强县促经济强县”，踔厉奋发、勇毅前行，为加快建设网络强县、数字无极贡献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1、负责处理县委网络安全和信息化委员会日常事务工作。</w:t>
      </w:r>
    </w:p>
    <w:p>
      <w:pPr>
        <w:pStyle w:val="25"/>
      </w:pPr>
      <w:r>
        <w:t>2、贯彻落实网络安全和信息化发展战略、宏观规划和重大政策。</w:t>
      </w:r>
    </w:p>
    <w:p>
      <w:pPr>
        <w:pStyle w:val="25"/>
      </w:pPr>
      <w:r>
        <w:t>3、统筹协调全县网络安全保障体系和可信体系建设。</w:t>
      </w:r>
    </w:p>
    <w:p>
      <w:pPr>
        <w:pStyle w:val="25"/>
      </w:pPr>
      <w:r>
        <w:t>4、督促落实涉及政治、经济、文化、社会、生态及军事等各个领域的网络安全和信息化重大事项。</w:t>
      </w:r>
    </w:p>
    <w:p>
      <w:pPr>
        <w:pStyle w:val="25"/>
      </w:pPr>
      <w:r>
        <w:t>5、负责互联网信息内容管理。</w:t>
      </w:r>
    </w:p>
    <w:p>
      <w:pPr>
        <w:pStyle w:val="25"/>
      </w:pPr>
      <w:r>
        <w:t>6、负责指导协调全县舆情信息工作。</w:t>
      </w:r>
    </w:p>
    <w:p>
      <w:pPr>
        <w:pStyle w:val="25"/>
      </w:pPr>
      <w:r>
        <w:t>7、推动全县网络阵地建设和重点新闻网站规划建设。</w:t>
      </w:r>
    </w:p>
    <w:p>
      <w:pPr>
        <w:pStyle w:val="25"/>
      </w:pPr>
      <w:r>
        <w:t>8、协调推动全县网络社会工作和网络文化、网络文明建设。</w:t>
      </w:r>
    </w:p>
    <w:p>
      <w:pPr>
        <w:pStyle w:val="25"/>
      </w:pPr>
      <w:r>
        <w:t>9、落实国家互联网信息服务资本准入和信息网络行业安全审查的有关政策。</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1、加强正面宣传。以门户网站、微信公众号为中心，统筹各政务新媒体平台，积极转发推送正面宣传稿件。</w:t>
      </w:r>
    </w:p>
    <w:p>
      <w:pPr>
        <w:pStyle w:val="26"/>
      </w:pPr>
      <w:r>
        <w:t>2、加强网络安全保障。重点针对全县关键信息基础设施，开展全天候网络安全监测预警，坚决预防化解网络安全风险。</w:t>
      </w:r>
    </w:p>
    <w:p>
      <w:pPr>
        <w:pStyle w:val="26"/>
      </w:pPr>
      <w:r>
        <w:t>3、加强网络治理保障。发动广大网民重点对网上黄赌毒以及涉黑涉恶等违法违规信息进行举报。</w:t>
      </w:r>
      <w:bookmarkStart w:id="14" w:name="_Toc_3_3_0000000015"/>
    </w:p>
    <w:p>
      <w:pPr>
        <w:pStyle w:val="26"/>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bookmarkStart w:id="15" w:name="_Toc_3_3_0000000016"/>
    </w:p>
    <w:p>
      <w:pPr>
        <w:pStyle w:val="26"/>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pStyle w:val="26"/>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1、2024年舆情回应基金库绩效目标表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13013024P000036101509</w:t>
            </w:r>
          </w:p>
        </w:tc>
        <w:tc>
          <w:tcPr>
            <w:tcW w:w="2114" w:type="dxa"/>
            <w:vAlign w:val="center"/>
          </w:tcPr>
          <w:p>
            <w:pPr>
              <w:pStyle w:val="13"/>
            </w:pPr>
            <w:r>
              <w:t>项目名称</w:t>
            </w:r>
          </w:p>
        </w:tc>
        <w:tc>
          <w:tcPr>
            <w:tcW w:w="6342" w:type="dxa"/>
            <w:gridSpan w:val="3"/>
            <w:vAlign w:val="center"/>
          </w:tcPr>
          <w:p>
            <w:pPr>
              <w:pStyle w:val="15"/>
            </w:pPr>
            <w:r>
              <w:t>2024年舆情回应基金库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60.00</w:t>
            </w:r>
          </w:p>
        </w:tc>
        <w:tc>
          <w:tcPr>
            <w:tcW w:w="2114" w:type="dxa"/>
            <w:vAlign w:val="center"/>
          </w:tcPr>
          <w:p>
            <w:pPr>
              <w:pStyle w:val="13"/>
            </w:pPr>
            <w:r>
              <w:t>其中：财政    资金</w:t>
            </w:r>
          </w:p>
        </w:tc>
        <w:tc>
          <w:tcPr>
            <w:tcW w:w="2114" w:type="dxa"/>
            <w:vAlign w:val="center"/>
          </w:tcPr>
          <w:p>
            <w:pPr>
              <w:pStyle w:val="15"/>
            </w:pPr>
            <w:r>
              <w:t>60.00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2024年舆情回应基金库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15.00</w:t>
            </w:r>
          </w:p>
        </w:tc>
        <w:tc>
          <w:tcPr>
            <w:tcW w:w="2114" w:type="dxa"/>
            <w:vAlign w:val="center"/>
          </w:tcPr>
          <w:p>
            <w:pPr>
              <w:pStyle w:val="16"/>
            </w:pPr>
            <w:r>
              <w:t>30.00</w:t>
            </w:r>
          </w:p>
        </w:tc>
        <w:tc>
          <w:tcPr>
            <w:tcW w:w="2114" w:type="dxa"/>
            <w:vAlign w:val="center"/>
          </w:tcPr>
          <w:p>
            <w:pPr>
              <w:pStyle w:val="16"/>
            </w:pPr>
            <w:r>
              <w:t>45.00</w:t>
            </w:r>
          </w:p>
        </w:tc>
        <w:tc>
          <w:tcPr>
            <w:tcW w:w="4228" w:type="dxa"/>
            <w:gridSpan w:val="2"/>
            <w:vAlign w:val="center"/>
          </w:tcPr>
          <w:p>
            <w:pPr>
              <w:pStyle w:val="16"/>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1.2024年舆情工作保障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实际完成率</w:t>
            </w:r>
          </w:p>
        </w:tc>
        <w:tc>
          <w:tcPr>
            <w:tcW w:w="4228" w:type="dxa"/>
            <w:vAlign w:val="center"/>
          </w:tcPr>
          <w:p>
            <w:pPr>
              <w:pStyle w:val="15"/>
            </w:pPr>
            <w:r>
              <w:t>完成率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完成率</w:t>
            </w:r>
          </w:p>
        </w:tc>
        <w:tc>
          <w:tcPr>
            <w:tcW w:w="4228" w:type="dxa"/>
            <w:vAlign w:val="center"/>
          </w:tcPr>
          <w:p>
            <w:pPr>
              <w:pStyle w:val="15"/>
            </w:pPr>
            <w:r>
              <w:t>完成率</w:t>
            </w:r>
          </w:p>
        </w:tc>
        <w:tc>
          <w:tcPr>
            <w:tcW w:w="2114" w:type="dxa"/>
            <w:vAlign w:val="center"/>
          </w:tcPr>
          <w:p>
            <w:pPr>
              <w:pStyle w:val="15"/>
            </w:pPr>
            <w:r>
              <w:t>≥98%</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时效指标</w:t>
            </w:r>
          </w:p>
        </w:tc>
        <w:tc>
          <w:tcPr>
            <w:tcW w:w="4228" w:type="dxa"/>
            <w:vAlign w:val="center"/>
          </w:tcPr>
          <w:p>
            <w:pPr>
              <w:pStyle w:val="15"/>
            </w:pPr>
            <w:r>
              <w:t>时效指标</w:t>
            </w:r>
          </w:p>
        </w:tc>
        <w:tc>
          <w:tcPr>
            <w:tcW w:w="2114" w:type="dxa"/>
            <w:vAlign w:val="center"/>
          </w:tcPr>
          <w:p>
            <w:pPr>
              <w:pStyle w:val="15"/>
            </w:pPr>
            <w:r>
              <w:t>≥96%</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成本控制率(%)</w:t>
            </w:r>
          </w:p>
        </w:tc>
        <w:tc>
          <w:tcPr>
            <w:tcW w:w="4228" w:type="dxa"/>
            <w:vAlign w:val="center"/>
          </w:tcPr>
          <w:p>
            <w:pPr>
              <w:pStyle w:val="15"/>
            </w:pPr>
            <w:r>
              <w:t>成本控制率(%)</w:t>
            </w:r>
          </w:p>
        </w:tc>
        <w:tc>
          <w:tcPr>
            <w:tcW w:w="2114" w:type="dxa"/>
            <w:vAlign w:val="center"/>
          </w:tcPr>
          <w:p>
            <w:pPr>
              <w:pStyle w:val="15"/>
            </w:pPr>
            <w:r>
              <w:t>≥96%</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经济效益提升%</w:t>
            </w:r>
          </w:p>
        </w:tc>
        <w:tc>
          <w:tcPr>
            <w:tcW w:w="4228" w:type="dxa"/>
            <w:vAlign w:val="center"/>
          </w:tcPr>
          <w:p>
            <w:pPr>
              <w:pStyle w:val="15"/>
            </w:pPr>
            <w:r>
              <w:t>经济效益提升%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社会效益提升%</w:t>
            </w:r>
          </w:p>
        </w:tc>
        <w:tc>
          <w:tcPr>
            <w:tcW w:w="4228" w:type="dxa"/>
            <w:vAlign w:val="center"/>
          </w:tcPr>
          <w:p>
            <w:pPr>
              <w:pStyle w:val="15"/>
            </w:pPr>
            <w:r>
              <w:t>社会效益提升%</w:t>
            </w:r>
          </w:p>
        </w:tc>
        <w:tc>
          <w:tcPr>
            <w:tcW w:w="2114" w:type="dxa"/>
            <w:vAlign w:val="center"/>
          </w:tcPr>
          <w:p>
            <w:pPr>
              <w:pStyle w:val="15"/>
            </w:pPr>
            <w:r>
              <w:t>≥98%</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生态效益提升值%</w:t>
            </w:r>
          </w:p>
        </w:tc>
        <w:tc>
          <w:tcPr>
            <w:tcW w:w="4228" w:type="dxa"/>
            <w:vAlign w:val="center"/>
          </w:tcPr>
          <w:p>
            <w:pPr>
              <w:pStyle w:val="15"/>
            </w:pPr>
            <w:r>
              <w:t>生态效益提升值%</w:t>
            </w:r>
          </w:p>
        </w:tc>
        <w:tc>
          <w:tcPr>
            <w:tcW w:w="2114" w:type="dxa"/>
            <w:vAlign w:val="center"/>
          </w:tcPr>
          <w:p>
            <w:pPr>
              <w:pStyle w:val="15"/>
            </w:pPr>
            <w:r>
              <w:t>≥94%</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可持续性</w:t>
            </w:r>
          </w:p>
        </w:tc>
        <w:tc>
          <w:tcPr>
            <w:tcW w:w="4228" w:type="dxa"/>
            <w:vAlign w:val="center"/>
          </w:tcPr>
          <w:p>
            <w:pPr>
              <w:pStyle w:val="15"/>
            </w:pPr>
            <w:r>
              <w:t>可持续性</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满意率</w:t>
            </w:r>
          </w:p>
        </w:tc>
        <w:tc>
          <w:tcPr>
            <w:tcW w:w="4228" w:type="dxa"/>
            <w:vAlign w:val="center"/>
          </w:tcPr>
          <w:p>
            <w:pPr>
              <w:pStyle w:val="15"/>
            </w:pPr>
            <w:r>
              <w:t>满意率</w:t>
            </w:r>
          </w:p>
        </w:tc>
        <w:tc>
          <w:tcPr>
            <w:tcW w:w="2114" w:type="dxa"/>
            <w:vAlign w:val="center"/>
          </w:tcPr>
          <w:p>
            <w:pPr>
              <w:pStyle w:val="15"/>
            </w:pPr>
            <w:r>
              <w:t>≥96%</w:t>
            </w:r>
          </w:p>
        </w:tc>
        <w:tc>
          <w:tcPr>
            <w:tcW w:w="2114" w:type="dxa"/>
            <w:vAlign w:val="center"/>
          </w:tcPr>
          <w:p>
            <w:pPr>
              <w:pStyle w:val="15"/>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2、2024年专项经费绩效目标表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13013024P00003610149X</w:t>
            </w:r>
          </w:p>
        </w:tc>
        <w:tc>
          <w:tcPr>
            <w:tcW w:w="2114" w:type="dxa"/>
            <w:vAlign w:val="center"/>
          </w:tcPr>
          <w:p>
            <w:pPr>
              <w:pStyle w:val="13"/>
            </w:pPr>
            <w:r>
              <w:t>项目名称</w:t>
            </w:r>
          </w:p>
        </w:tc>
        <w:tc>
          <w:tcPr>
            <w:tcW w:w="6342" w:type="dxa"/>
            <w:gridSpan w:val="3"/>
            <w:vAlign w:val="center"/>
          </w:tcPr>
          <w:p>
            <w:pPr>
              <w:pStyle w:val="15"/>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60.00</w:t>
            </w:r>
          </w:p>
        </w:tc>
        <w:tc>
          <w:tcPr>
            <w:tcW w:w="2114" w:type="dxa"/>
            <w:vAlign w:val="center"/>
          </w:tcPr>
          <w:p>
            <w:pPr>
              <w:pStyle w:val="13"/>
            </w:pPr>
            <w:r>
              <w:t>其中：财政    资金</w:t>
            </w:r>
          </w:p>
        </w:tc>
        <w:tc>
          <w:tcPr>
            <w:tcW w:w="2114" w:type="dxa"/>
            <w:vAlign w:val="center"/>
          </w:tcPr>
          <w:p>
            <w:pPr>
              <w:pStyle w:val="15"/>
            </w:pPr>
            <w:r>
              <w:t>60.00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15.00</w:t>
            </w:r>
          </w:p>
        </w:tc>
        <w:tc>
          <w:tcPr>
            <w:tcW w:w="2114" w:type="dxa"/>
            <w:vAlign w:val="center"/>
          </w:tcPr>
          <w:p>
            <w:pPr>
              <w:pStyle w:val="16"/>
            </w:pPr>
            <w:r>
              <w:t>30.00</w:t>
            </w:r>
          </w:p>
        </w:tc>
        <w:tc>
          <w:tcPr>
            <w:tcW w:w="2114" w:type="dxa"/>
            <w:vAlign w:val="center"/>
          </w:tcPr>
          <w:p>
            <w:pPr>
              <w:pStyle w:val="16"/>
            </w:pPr>
            <w:r>
              <w:t>45.00</w:t>
            </w:r>
          </w:p>
        </w:tc>
        <w:tc>
          <w:tcPr>
            <w:tcW w:w="4228" w:type="dxa"/>
            <w:gridSpan w:val="2"/>
            <w:vAlign w:val="center"/>
          </w:tcPr>
          <w:p>
            <w:pPr>
              <w:pStyle w:val="16"/>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1.2024年网信事业保障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实际完成率</w:t>
            </w:r>
          </w:p>
        </w:tc>
        <w:tc>
          <w:tcPr>
            <w:tcW w:w="4228" w:type="dxa"/>
            <w:vAlign w:val="center"/>
          </w:tcPr>
          <w:p>
            <w:pPr>
              <w:pStyle w:val="15"/>
            </w:pPr>
            <w:r>
              <w:t>完成率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完成率</w:t>
            </w:r>
          </w:p>
        </w:tc>
        <w:tc>
          <w:tcPr>
            <w:tcW w:w="4228" w:type="dxa"/>
            <w:vAlign w:val="center"/>
          </w:tcPr>
          <w:p>
            <w:pPr>
              <w:pStyle w:val="15"/>
            </w:pPr>
            <w:r>
              <w:t>完成率</w:t>
            </w:r>
          </w:p>
        </w:tc>
        <w:tc>
          <w:tcPr>
            <w:tcW w:w="2114" w:type="dxa"/>
            <w:vAlign w:val="center"/>
          </w:tcPr>
          <w:p>
            <w:pPr>
              <w:pStyle w:val="15"/>
            </w:pPr>
            <w:r>
              <w:t>≥98%</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时效指标</w:t>
            </w:r>
          </w:p>
        </w:tc>
        <w:tc>
          <w:tcPr>
            <w:tcW w:w="4228" w:type="dxa"/>
            <w:vAlign w:val="center"/>
          </w:tcPr>
          <w:p>
            <w:pPr>
              <w:pStyle w:val="15"/>
            </w:pPr>
            <w:r>
              <w:t>时效指标</w:t>
            </w:r>
          </w:p>
        </w:tc>
        <w:tc>
          <w:tcPr>
            <w:tcW w:w="2114" w:type="dxa"/>
            <w:vAlign w:val="center"/>
          </w:tcPr>
          <w:p>
            <w:pPr>
              <w:pStyle w:val="15"/>
            </w:pPr>
            <w:r>
              <w:t>≥96%</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成本控制率(%)</w:t>
            </w:r>
          </w:p>
        </w:tc>
        <w:tc>
          <w:tcPr>
            <w:tcW w:w="4228" w:type="dxa"/>
            <w:vAlign w:val="center"/>
          </w:tcPr>
          <w:p>
            <w:pPr>
              <w:pStyle w:val="15"/>
            </w:pPr>
            <w:r>
              <w:t>成本控制率(%)</w:t>
            </w:r>
          </w:p>
        </w:tc>
        <w:tc>
          <w:tcPr>
            <w:tcW w:w="2114" w:type="dxa"/>
            <w:vAlign w:val="center"/>
          </w:tcPr>
          <w:p>
            <w:pPr>
              <w:pStyle w:val="15"/>
            </w:pPr>
            <w:r>
              <w:t>≥96%</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经济效益提升%</w:t>
            </w:r>
          </w:p>
        </w:tc>
        <w:tc>
          <w:tcPr>
            <w:tcW w:w="4228" w:type="dxa"/>
            <w:vAlign w:val="center"/>
          </w:tcPr>
          <w:p>
            <w:pPr>
              <w:pStyle w:val="15"/>
            </w:pPr>
            <w:r>
              <w:t>经济效益提升%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社会效益提升%</w:t>
            </w:r>
          </w:p>
        </w:tc>
        <w:tc>
          <w:tcPr>
            <w:tcW w:w="4228" w:type="dxa"/>
            <w:vAlign w:val="center"/>
          </w:tcPr>
          <w:p>
            <w:pPr>
              <w:pStyle w:val="15"/>
            </w:pPr>
            <w:r>
              <w:t>社会效益提升%</w:t>
            </w:r>
          </w:p>
        </w:tc>
        <w:tc>
          <w:tcPr>
            <w:tcW w:w="2114" w:type="dxa"/>
            <w:vAlign w:val="center"/>
          </w:tcPr>
          <w:p>
            <w:pPr>
              <w:pStyle w:val="15"/>
            </w:pPr>
            <w:r>
              <w:t>≥98%</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生态效益提升值%</w:t>
            </w:r>
          </w:p>
        </w:tc>
        <w:tc>
          <w:tcPr>
            <w:tcW w:w="4228" w:type="dxa"/>
            <w:vAlign w:val="center"/>
          </w:tcPr>
          <w:p>
            <w:pPr>
              <w:pStyle w:val="15"/>
            </w:pPr>
            <w:r>
              <w:t>生态效益提升值%</w:t>
            </w:r>
          </w:p>
        </w:tc>
        <w:tc>
          <w:tcPr>
            <w:tcW w:w="2114" w:type="dxa"/>
            <w:vAlign w:val="center"/>
          </w:tcPr>
          <w:p>
            <w:pPr>
              <w:pStyle w:val="15"/>
            </w:pPr>
            <w:r>
              <w:t>≥94%</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可持续性</w:t>
            </w:r>
          </w:p>
        </w:tc>
        <w:tc>
          <w:tcPr>
            <w:tcW w:w="4228" w:type="dxa"/>
            <w:vAlign w:val="center"/>
          </w:tcPr>
          <w:p>
            <w:pPr>
              <w:pStyle w:val="15"/>
            </w:pPr>
            <w:r>
              <w:t>可持续性</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满意率</w:t>
            </w:r>
          </w:p>
        </w:tc>
        <w:tc>
          <w:tcPr>
            <w:tcW w:w="4228" w:type="dxa"/>
            <w:vAlign w:val="center"/>
          </w:tcPr>
          <w:p>
            <w:pPr>
              <w:pStyle w:val="15"/>
            </w:pPr>
            <w:r>
              <w:t>满意率</w:t>
            </w:r>
          </w:p>
        </w:tc>
        <w:tc>
          <w:tcPr>
            <w:tcW w:w="2114" w:type="dxa"/>
            <w:vAlign w:val="center"/>
          </w:tcPr>
          <w:p>
            <w:pPr>
              <w:pStyle w:val="15"/>
            </w:pPr>
            <w:r>
              <w:t>≥96%</w:t>
            </w:r>
          </w:p>
        </w:tc>
        <w:tc>
          <w:tcPr>
            <w:tcW w:w="2114" w:type="dxa"/>
            <w:vAlign w:val="center"/>
          </w:tcPr>
          <w:p>
            <w:pPr>
              <w:pStyle w:val="15"/>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7888"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3"/>
            </w:pPr>
            <w:r>
              <w:t>政府采购项目来源</w:t>
            </w:r>
          </w:p>
        </w:tc>
        <w:tc>
          <w:tcPr>
            <w:tcW w:w="986" w:type="dxa"/>
            <w:vMerge w:val="restart"/>
            <w:vAlign w:val="center"/>
          </w:tcPr>
          <w:p>
            <w:pPr>
              <w:pStyle w:val="13"/>
            </w:pPr>
            <w:r>
              <w:t>采购物品名称</w:t>
            </w:r>
          </w:p>
        </w:tc>
        <w:tc>
          <w:tcPr>
            <w:tcW w:w="986" w:type="dxa"/>
            <w:vMerge w:val="restart"/>
            <w:vAlign w:val="center"/>
          </w:tcPr>
          <w:p>
            <w:pPr>
              <w:pStyle w:val="13"/>
            </w:pPr>
            <w:r>
              <w:t>政府采购目录序号</w:t>
            </w:r>
          </w:p>
        </w:tc>
        <w:tc>
          <w:tcPr>
            <w:tcW w:w="986" w:type="dxa"/>
            <w:vMerge w:val="restart"/>
            <w:vAlign w:val="center"/>
          </w:tcPr>
          <w:p>
            <w:pPr>
              <w:pStyle w:val="13"/>
            </w:pPr>
            <w:r>
              <w:t>计量  单位</w:t>
            </w:r>
          </w:p>
        </w:tc>
        <w:tc>
          <w:tcPr>
            <w:tcW w:w="986" w:type="dxa"/>
            <w:vMerge w:val="restart"/>
            <w:vAlign w:val="center"/>
          </w:tcPr>
          <w:p>
            <w:pPr>
              <w:pStyle w:val="13"/>
            </w:pPr>
            <w:r>
              <w:t>数量</w:t>
            </w:r>
          </w:p>
        </w:tc>
        <w:tc>
          <w:tcPr>
            <w:tcW w:w="986" w:type="dxa"/>
            <w:vMerge w:val="restart"/>
            <w:vAlign w:val="center"/>
          </w:tcPr>
          <w:p>
            <w:pPr>
              <w:pStyle w:val="13"/>
            </w:pPr>
            <w:r>
              <w:t>单价</w:t>
            </w:r>
          </w:p>
        </w:tc>
        <w:tc>
          <w:tcPr>
            <w:tcW w:w="6902" w:type="dxa"/>
            <w:gridSpan w:val="7"/>
            <w:vAlign w:val="center"/>
          </w:tcPr>
          <w:p>
            <w:pPr>
              <w:pStyle w:val="13"/>
            </w:pPr>
            <w:r>
              <w:t>政府采购金额（当年部门预算安排资金）</w:t>
            </w:r>
          </w:p>
        </w:tc>
        <w:tc>
          <w:tcPr>
            <w:tcW w:w="986"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3"/>
            </w:pPr>
            <w:r>
              <w:t>项目名称</w:t>
            </w:r>
          </w:p>
        </w:tc>
        <w:tc>
          <w:tcPr>
            <w:tcW w:w="986" w:type="dxa"/>
            <w:vAlign w:val="center"/>
          </w:tcPr>
          <w:p>
            <w:pPr>
              <w:pStyle w:val="13"/>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3"/>
            </w:pPr>
            <w:r>
              <w:t>合计</w:t>
            </w:r>
          </w:p>
        </w:tc>
        <w:tc>
          <w:tcPr>
            <w:tcW w:w="986" w:type="dxa"/>
            <w:vAlign w:val="center"/>
          </w:tcPr>
          <w:p>
            <w:pPr>
              <w:pStyle w:val="13"/>
            </w:pPr>
            <w:r>
              <w:t>一般公共预算拨款</w:t>
            </w:r>
          </w:p>
        </w:tc>
        <w:tc>
          <w:tcPr>
            <w:tcW w:w="986" w:type="dxa"/>
            <w:vAlign w:val="center"/>
          </w:tcPr>
          <w:p>
            <w:pPr>
              <w:pStyle w:val="13"/>
            </w:pPr>
            <w:r>
              <w:t>基金预算拨款</w:t>
            </w:r>
          </w:p>
        </w:tc>
        <w:tc>
          <w:tcPr>
            <w:tcW w:w="986" w:type="dxa"/>
            <w:vAlign w:val="center"/>
          </w:tcPr>
          <w:p>
            <w:pPr>
              <w:pStyle w:val="13"/>
            </w:pPr>
            <w:r>
              <w:t>国有资本经营预算拨款</w:t>
            </w:r>
          </w:p>
        </w:tc>
        <w:tc>
          <w:tcPr>
            <w:tcW w:w="986" w:type="dxa"/>
            <w:vAlign w:val="center"/>
          </w:tcPr>
          <w:p>
            <w:pPr>
              <w:pStyle w:val="13"/>
            </w:pPr>
            <w:r>
              <w:t>财政专户核拨</w:t>
            </w:r>
          </w:p>
        </w:tc>
        <w:tc>
          <w:tcPr>
            <w:tcW w:w="986" w:type="dxa"/>
            <w:vAlign w:val="center"/>
          </w:tcPr>
          <w:p>
            <w:pPr>
              <w:pStyle w:val="13"/>
            </w:pPr>
            <w:r>
              <w:t>单位    资金</w:t>
            </w:r>
          </w:p>
        </w:tc>
        <w:tc>
          <w:tcPr>
            <w:tcW w:w="986" w:type="dxa"/>
            <w:vAlign w:val="center"/>
          </w:tcPr>
          <w:p>
            <w:pPr>
              <w:pStyle w:val="13"/>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6"/>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中共无极县委网络安全和信息化委员会办公室（含所属单位）上年末固定资产金额为21.59万元（详见下表）。本年度拟购置固定资产总额为0.00万元，已按要求列入政府采购预算，详见政府采购预算表。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224中共无极县委网络安全和信息化委员会办公室</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bookmarkStart w:id="20" w:name="_GoBack"/>
            <w:bookmarkEnd w:id="20"/>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49</w:t>
            </w:r>
          </w:p>
        </w:tc>
        <w:tc>
          <w:tcPr>
            <w:tcW w:w="4933" w:type="dxa"/>
            <w:vAlign w:val="center"/>
          </w:tcPr>
          <w:p>
            <w:pPr>
              <w:pStyle w:val="14"/>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1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ED5438"/>
    <w:rsid w:val="42E042AC"/>
    <w:rsid w:val="44064BE9"/>
    <w:rsid w:val="4D7F6780"/>
    <w:rsid w:val="4F2850EE"/>
    <w:rsid w:val="5A121EDB"/>
    <w:rsid w:val="6D4F5A62"/>
    <w:rsid w:val="6FBC178F"/>
    <w:rsid w:val="70B00B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2024-01-31T16:50:01Z</dcterms:created>
  <dcterms:modified xsi:type="dcterms:W3CDTF">2024-01-31T08:50:01Z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2024-01-31T16:50:02Z</dcterms:created>
  <dcterms:modified xsi:type="dcterms:W3CDTF">2024-01-31T08:50:02Z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2024-01-31T16:50:00Z</dcterms:created>
  <dcterms:modified xsi:type="dcterms:W3CDTF">2024-01-31T08:50:00Z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2024-01-31T16:50:01Z</dcterms:created>
  <dcterms:modified xsi:type="dcterms:W3CDTF">2024-01-31T08:50:01Z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2024-01-31T16:50:01Z</dcterms:created>
  <dcterms:modified xsi:type="dcterms:W3CDTF">2024-01-31T08:50:01Z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2024-01-31T16:50:01Z</dcterms:created>
  <dcterms:modified xsi:type="dcterms:W3CDTF">2024-01-31T08:50:01Z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f0a0ddb-15b0-4cbc-b0e1-e6150306feda}">
  <ds:schemaRefs/>
</ds:datastoreItem>
</file>

<file path=customXml/itemProps10.xml><?xml version="1.0" encoding="utf-8"?>
<ds:datastoreItem xmlns:ds="http://schemas.openxmlformats.org/officeDocument/2006/customXml" ds:itemID="{abf4c573-8ca2-4bd9-b93e-3463691cf08a}">
  <ds:schemaRefs/>
</ds:datastoreItem>
</file>

<file path=customXml/itemProps11.xml><?xml version="1.0" encoding="utf-8"?>
<ds:datastoreItem xmlns:ds="http://schemas.openxmlformats.org/officeDocument/2006/customXml" ds:itemID="{dacc5252-bf4b-4b54-8a63-ea4cae8cca06}">
  <ds:schemaRefs/>
</ds:datastoreItem>
</file>

<file path=customXml/itemProps12.xml><?xml version="1.0" encoding="utf-8"?>
<ds:datastoreItem xmlns:ds="http://schemas.openxmlformats.org/officeDocument/2006/customXml" ds:itemID="{3bec6562-84f6-4477-a690-4e34b396dd16}">
  <ds:schemaRefs/>
</ds:datastoreItem>
</file>

<file path=customXml/itemProps2.xml><?xml version="1.0" encoding="utf-8"?>
<ds:datastoreItem xmlns:ds="http://schemas.openxmlformats.org/officeDocument/2006/customXml" ds:itemID="{b0237cb2-ffc9-4595-bc04-f1078352fcc7}">
  <ds:schemaRefs/>
</ds:datastoreItem>
</file>

<file path=customXml/itemProps3.xml><?xml version="1.0" encoding="utf-8"?>
<ds:datastoreItem xmlns:ds="http://schemas.openxmlformats.org/officeDocument/2006/customXml" ds:itemID="{30d76aa1-0f27-4dd1-b1bd-9180041a4bce}">
  <ds:schemaRefs/>
</ds:datastoreItem>
</file>

<file path=customXml/itemProps4.xml><?xml version="1.0" encoding="utf-8"?>
<ds:datastoreItem xmlns:ds="http://schemas.openxmlformats.org/officeDocument/2006/customXml" ds:itemID="{0bc4f048-a3ca-4e60-9f57-3ba674c0fd99}">
  <ds:schemaRefs/>
</ds:datastoreItem>
</file>

<file path=customXml/itemProps5.xml><?xml version="1.0" encoding="utf-8"?>
<ds:datastoreItem xmlns:ds="http://schemas.openxmlformats.org/officeDocument/2006/customXml" ds:itemID="{4e5653a8-6a81-4953-bb68-ccc322b5ecba}">
  <ds:schemaRefs/>
</ds:datastoreItem>
</file>

<file path=customXml/itemProps6.xml><?xml version="1.0" encoding="utf-8"?>
<ds:datastoreItem xmlns:ds="http://schemas.openxmlformats.org/officeDocument/2006/customXml" ds:itemID="{c33b0221-e51e-4ad5-9059-a481019e6b3e}">
  <ds:schemaRefs/>
</ds:datastoreItem>
</file>

<file path=customXml/itemProps7.xml><?xml version="1.0" encoding="utf-8"?>
<ds:datastoreItem xmlns:ds="http://schemas.openxmlformats.org/officeDocument/2006/customXml" ds:itemID="{1454a9a3-59ca-48c0-996f-da477d9c6f01}">
  <ds:schemaRefs/>
</ds:datastoreItem>
</file>

<file path=customXml/itemProps8.xml><?xml version="1.0" encoding="utf-8"?>
<ds:datastoreItem xmlns:ds="http://schemas.openxmlformats.org/officeDocument/2006/customXml" ds:itemID="{d9c187a1-1b46-47d3-b24e-baae29c19ef1}">
  <ds:schemaRefs/>
</ds:datastoreItem>
</file>

<file path=customXml/itemProps9.xml><?xml version="1.0" encoding="utf-8"?>
<ds:datastoreItem xmlns:ds="http://schemas.openxmlformats.org/officeDocument/2006/customXml" ds:itemID="{76fab6fb-2ae5-46a2-8125-f8716546461a}">
  <ds:schemaRefs/>
</ds:datastoreItem>
</file>

<file path=docProps/app.xml><?xml version="1.0" encoding="utf-8"?>
<Properties xmlns="http://schemas.openxmlformats.org/officeDocument/2006/extended-properties" xmlns:vt="http://schemas.openxmlformats.org/officeDocument/2006/docPropsVTypes">
  <TotalTime>20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2024-01-31T16:50:00Z</dcterms:created>
  <dc:creator>leovo</dc:creator>
  <cp:lastModifiedBy>浮生</cp:lastModifiedBy>
  <dcterms:modified xsi:type="dcterms:W3CDTF">2025-10-27T02:10:05Z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B69361CD985E42BEB549D818F6540EEC</vt:lpwstr>
  </property>
</Properties>
</file>