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一、中国共产党无极县委员会信访局收支预算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一、中国共产党无极县委员会信访局收支预算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450.00</w:t>
            </w:r>
          </w:p>
        </w:tc>
        <w:tc>
          <w:tcPr>
            <w:tcW w:w="4535" w:type="dxa"/>
            <w:vAlign w:val="center"/>
          </w:tcPr>
          <w:p>
            <w:pPr>
              <w:pStyle w:val="12"/>
            </w:pPr>
            <w:r>
              <w:t>一、一般公共服务支出</w:t>
            </w:r>
          </w:p>
        </w:tc>
        <w:tc>
          <w:tcPr>
            <w:tcW w:w="2126" w:type="dxa"/>
            <w:vAlign w:val="center"/>
          </w:tcPr>
          <w:p>
            <w:pPr>
              <w:pStyle w:val="11"/>
            </w:pPr>
            <w:r>
              <w:t>383.00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450.00</w:t>
            </w:r>
          </w:p>
        </w:tc>
        <w:tc>
          <w:tcPr>
            <w:tcW w:w="4535" w:type="dxa"/>
            <w:vAlign w:val="center"/>
          </w:tcPr>
          <w:p>
            <w:pPr>
              <w:pStyle w:val="14"/>
            </w:pPr>
            <w:r>
              <w:t>本年支出合计</w:t>
            </w:r>
          </w:p>
        </w:tc>
        <w:tc>
          <w:tcPr>
            <w:tcW w:w="2126"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450.00</w:t>
            </w:r>
          </w:p>
        </w:tc>
        <w:tc>
          <w:tcPr>
            <w:tcW w:w="4535" w:type="dxa"/>
            <w:vAlign w:val="center"/>
          </w:tcPr>
          <w:p>
            <w:pPr>
              <w:pStyle w:val="14"/>
            </w:pPr>
            <w:r>
              <w:t>支出总计</w:t>
            </w:r>
          </w:p>
        </w:tc>
        <w:tc>
          <w:tcPr>
            <w:tcW w:w="2126" w:type="dxa"/>
            <w:vAlign w:val="center"/>
          </w:tcPr>
          <w:p>
            <w:pPr>
              <w:pStyle w:val="15"/>
            </w:pPr>
            <w:r>
              <w:t>450.00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383.00</w:t>
            </w:r>
          </w:p>
        </w:tc>
        <w:tc>
          <w:tcPr>
            <w:tcW w:w="1134" w:type="dxa"/>
            <w:vAlign w:val="center"/>
          </w:tcPr>
          <w:p>
            <w:pPr>
              <w:pStyle w:val="11"/>
            </w:pPr>
            <w:r>
              <w:t>383.00</w:t>
            </w:r>
          </w:p>
        </w:tc>
        <w:tc>
          <w:tcPr>
            <w:tcW w:w="1134" w:type="dxa"/>
            <w:vAlign w:val="center"/>
          </w:tcPr>
          <w:p>
            <w:pPr>
              <w:pStyle w:val="11"/>
            </w:pPr>
            <w:r>
              <w:t>383.00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383.00</w:t>
            </w:r>
          </w:p>
        </w:tc>
        <w:tc>
          <w:tcPr>
            <w:tcW w:w="1134" w:type="dxa"/>
            <w:vAlign w:val="center"/>
          </w:tcPr>
          <w:p>
            <w:pPr>
              <w:pStyle w:val="11"/>
            </w:pPr>
            <w:r>
              <w:t>383.00</w:t>
            </w:r>
          </w:p>
        </w:tc>
        <w:tc>
          <w:tcPr>
            <w:tcW w:w="1134" w:type="dxa"/>
            <w:vAlign w:val="center"/>
          </w:tcPr>
          <w:p>
            <w:pPr>
              <w:pStyle w:val="11"/>
            </w:pPr>
            <w:r>
              <w:t>383.00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253.00</w:t>
            </w:r>
          </w:p>
        </w:tc>
        <w:tc>
          <w:tcPr>
            <w:tcW w:w="1134" w:type="dxa"/>
            <w:vAlign w:val="center"/>
          </w:tcPr>
          <w:p>
            <w:pPr>
              <w:pStyle w:val="11"/>
            </w:pPr>
            <w:r>
              <w:t>253.00</w:t>
            </w:r>
          </w:p>
        </w:tc>
        <w:tc>
          <w:tcPr>
            <w:tcW w:w="1134" w:type="dxa"/>
            <w:vAlign w:val="center"/>
          </w:tcPr>
          <w:p>
            <w:pPr>
              <w:pStyle w:val="11"/>
            </w:pPr>
            <w:r>
              <w:t>253.00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450.00</w:t>
            </w:r>
          </w:p>
        </w:tc>
        <w:tc>
          <w:tcPr>
            <w:tcW w:w="1361" w:type="dxa"/>
            <w:vAlign w:val="center"/>
          </w:tcPr>
          <w:p>
            <w:pPr>
              <w:pStyle w:val="15"/>
            </w:pPr>
            <w:r>
              <w:t>320.00</w:t>
            </w:r>
          </w:p>
        </w:tc>
        <w:tc>
          <w:tcPr>
            <w:tcW w:w="1361" w:type="dxa"/>
            <w:vAlign w:val="center"/>
          </w:tcPr>
          <w:p>
            <w:pPr>
              <w:pStyle w:val="15"/>
            </w:pPr>
            <w:r>
              <w:t>130.00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383.00</w:t>
            </w:r>
          </w:p>
        </w:tc>
        <w:tc>
          <w:tcPr>
            <w:tcW w:w="1361" w:type="dxa"/>
            <w:vAlign w:val="center"/>
          </w:tcPr>
          <w:p>
            <w:pPr>
              <w:pStyle w:val="11"/>
            </w:pPr>
            <w:r>
              <w:t>253.00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383.00</w:t>
            </w:r>
          </w:p>
        </w:tc>
        <w:tc>
          <w:tcPr>
            <w:tcW w:w="1361" w:type="dxa"/>
            <w:vAlign w:val="center"/>
          </w:tcPr>
          <w:p>
            <w:pPr>
              <w:pStyle w:val="11"/>
            </w:pPr>
            <w:r>
              <w:t>253.00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253.00</w:t>
            </w:r>
          </w:p>
        </w:tc>
        <w:tc>
          <w:tcPr>
            <w:tcW w:w="1361" w:type="dxa"/>
            <w:vAlign w:val="center"/>
          </w:tcPr>
          <w:p>
            <w:pPr>
              <w:pStyle w:val="11"/>
            </w:pPr>
            <w:r>
              <w:t>253.00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49.00</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49.00</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450.00</w:t>
            </w:r>
          </w:p>
        </w:tc>
        <w:tc>
          <w:tcPr>
            <w:tcW w:w="3402" w:type="dxa"/>
            <w:vAlign w:val="center"/>
          </w:tcPr>
          <w:p>
            <w:pPr>
              <w:pStyle w:val="12"/>
            </w:pPr>
            <w:r>
              <w:t>一、一般公共服务支出</w:t>
            </w:r>
          </w:p>
        </w:tc>
        <w:tc>
          <w:tcPr>
            <w:tcW w:w="1474" w:type="dxa"/>
            <w:vAlign w:val="center"/>
          </w:tcPr>
          <w:p>
            <w:pPr>
              <w:pStyle w:val="11"/>
            </w:pPr>
            <w:r>
              <w:t>383.00</w:t>
            </w:r>
          </w:p>
        </w:tc>
        <w:tc>
          <w:tcPr>
            <w:tcW w:w="1474" w:type="dxa"/>
            <w:vAlign w:val="center"/>
          </w:tcPr>
          <w:p>
            <w:pPr>
              <w:pStyle w:val="11"/>
            </w:pPr>
            <w:r>
              <w:t>383.00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49.00</w:t>
            </w:r>
          </w:p>
        </w:tc>
        <w:tc>
          <w:tcPr>
            <w:tcW w:w="1474" w:type="dxa"/>
            <w:vAlign w:val="center"/>
          </w:tcPr>
          <w:p>
            <w:pPr>
              <w:pStyle w:val="11"/>
            </w:pPr>
            <w:r>
              <w:t>49.00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18.00</w:t>
            </w:r>
          </w:p>
        </w:tc>
        <w:tc>
          <w:tcPr>
            <w:tcW w:w="1474" w:type="dxa"/>
            <w:vAlign w:val="center"/>
          </w:tcPr>
          <w:p>
            <w:pPr>
              <w:pStyle w:val="11"/>
            </w:pPr>
            <w:r>
              <w:t>18.00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bidi w:val="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450.00</w:t>
            </w:r>
          </w:p>
        </w:tc>
        <w:tc>
          <w:tcPr>
            <w:tcW w:w="3402" w:type="dxa"/>
            <w:vAlign w:val="center"/>
          </w:tcPr>
          <w:p>
            <w:pPr>
              <w:pStyle w:val="14"/>
            </w:pPr>
            <w:r>
              <w:t>本年支出合计</w:t>
            </w:r>
          </w:p>
        </w:tc>
        <w:tc>
          <w:tcPr>
            <w:tcW w:w="1474" w:type="dxa"/>
            <w:vAlign w:val="center"/>
          </w:tcPr>
          <w:p>
            <w:pPr>
              <w:pStyle w:val="15"/>
            </w:pPr>
            <w:r>
              <w:t>450.00</w:t>
            </w:r>
          </w:p>
        </w:tc>
        <w:tc>
          <w:tcPr>
            <w:tcW w:w="1474" w:type="dxa"/>
            <w:vAlign w:val="center"/>
          </w:tcPr>
          <w:p>
            <w:pPr>
              <w:pStyle w:val="15"/>
            </w:pPr>
            <w:r>
              <w:t>450.00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450.00</w:t>
            </w:r>
          </w:p>
        </w:tc>
        <w:tc>
          <w:tcPr>
            <w:tcW w:w="3402" w:type="dxa"/>
            <w:vAlign w:val="center"/>
          </w:tcPr>
          <w:p>
            <w:pPr>
              <w:pStyle w:val="14"/>
            </w:pPr>
            <w:r>
              <w:t>支出总计</w:t>
            </w:r>
          </w:p>
        </w:tc>
        <w:tc>
          <w:tcPr>
            <w:tcW w:w="1474" w:type="dxa"/>
            <w:vAlign w:val="center"/>
          </w:tcPr>
          <w:p>
            <w:pPr>
              <w:pStyle w:val="15"/>
            </w:pPr>
            <w:r>
              <w:t>450.00</w:t>
            </w:r>
          </w:p>
        </w:tc>
        <w:tc>
          <w:tcPr>
            <w:tcW w:w="1474" w:type="dxa"/>
            <w:vAlign w:val="center"/>
          </w:tcPr>
          <w:p>
            <w:pPr>
              <w:pStyle w:val="15"/>
            </w:pPr>
            <w:r>
              <w:t>450.00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450.00</w:t>
            </w:r>
          </w:p>
        </w:tc>
        <w:tc>
          <w:tcPr>
            <w:tcW w:w="2551" w:type="dxa"/>
            <w:vAlign w:val="center"/>
          </w:tcPr>
          <w:p>
            <w:pPr>
              <w:pStyle w:val="15"/>
            </w:pPr>
            <w:r>
              <w:t>320.00</w:t>
            </w:r>
          </w:p>
        </w:tc>
        <w:tc>
          <w:tcPr>
            <w:tcW w:w="2551"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383.00</w:t>
            </w:r>
          </w:p>
        </w:tc>
        <w:tc>
          <w:tcPr>
            <w:tcW w:w="2551" w:type="dxa"/>
            <w:vAlign w:val="center"/>
          </w:tcPr>
          <w:p>
            <w:pPr>
              <w:pStyle w:val="11"/>
            </w:pPr>
            <w:r>
              <w:t>253.00</w:t>
            </w: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383.00</w:t>
            </w:r>
          </w:p>
        </w:tc>
        <w:tc>
          <w:tcPr>
            <w:tcW w:w="2551" w:type="dxa"/>
            <w:vAlign w:val="center"/>
          </w:tcPr>
          <w:p>
            <w:pPr>
              <w:pStyle w:val="11"/>
            </w:pPr>
            <w:r>
              <w:t>253.00</w:t>
            </w: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253.00</w:t>
            </w:r>
          </w:p>
        </w:tc>
        <w:tc>
          <w:tcPr>
            <w:tcW w:w="2551" w:type="dxa"/>
            <w:vAlign w:val="center"/>
          </w:tcPr>
          <w:p>
            <w:pPr>
              <w:pStyle w:val="11"/>
            </w:pPr>
            <w:r>
              <w:t>253.00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320.00</w:t>
            </w:r>
          </w:p>
        </w:tc>
        <w:tc>
          <w:tcPr>
            <w:tcW w:w="2551" w:type="dxa"/>
            <w:vAlign w:val="center"/>
          </w:tcPr>
          <w:p>
            <w:pPr>
              <w:pStyle w:val="15"/>
            </w:pPr>
            <w:r>
              <w:t>278.00</w:t>
            </w:r>
          </w:p>
        </w:tc>
        <w:tc>
          <w:tcPr>
            <w:tcW w:w="2551" w:type="dxa"/>
            <w:vAlign w:val="center"/>
          </w:tcPr>
          <w:p>
            <w:pPr>
              <w:pStyle w:val="15"/>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262.00</w:t>
            </w:r>
          </w:p>
        </w:tc>
        <w:tc>
          <w:tcPr>
            <w:tcW w:w="2551" w:type="dxa"/>
            <w:vAlign w:val="center"/>
          </w:tcPr>
          <w:p>
            <w:pPr>
              <w:pStyle w:val="11"/>
            </w:pPr>
            <w:r>
              <w:t>262.00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中国共产党无极县委员会信访局2024年单位预算信息公开情况说明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按照《中华人民共和国预算法》、《地方预决算公开操作规程》和《关于进一步推进预算公开工作的实施意见》规定，现将中国共产党无极县委员会信访局2024年单位预算公开如下：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1、负责各</w:t>
      </w:r>
      <w:r>
        <w:rPr>
          <w:rFonts w:hint="eastAsia"/>
          <w:lang w:eastAsia="zh-CN"/>
        </w:rPr>
        <w:t>单位</w:t>
      </w:r>
      <w:r>
        <w:t>来信来访接待工作。</w:t>
      </w:r>
    </w:p>
    <w:p>
      <w:pPr>
        <w:pStyle w:val="17"/>
      </w:pPr>
      <w:r>
        <w:t>２、承办上级党政机关和领导同志批转、交办的来信来访事项，对案件进行归口分流。</w:t>
      </w:r>
    </w:p>
    <w:p>
      <w:pPr>
        <w:pStyle w:val="17"/>
      </w:pPr>
      <w:r>
        <w:t>３、负责向县委、县政府和上级主管</w:t>
      </w:r>
      <w:r>
        <w:rPr>
          <w:rFonts w:hint="eastAsia"/>
          <w:lang w:eastAsia="zh-CN"/>
        </w:rPr>
        <w:t>单位</w:t>
      </w:r>
      <w:r>
        <w:t>及本局领导报送重要信访动态和信访信息。</w:t>
      </w:r>
    </w:p>
    <w:p>
      <w:pPr>
        <w:pStyle w:val="17"/>
      </w:pPr>
      <w:r>
        <w:t>4、负责落实重点人员“五包一”责任制逐人确定包案领导、责任人。</w:t>
      </w:r>
    </w:p>
    <w:p>
      <w:pPr>
        <w:pStyle w:val="17"/>
      </w:pPr>
      <w:r>
        <w:t>5、加大领导干部接约访力度。落实领导干部接访约访下访制度。</w:t>
      </w:r>
    </w:p>
    <w:p>
      <w:pPr>
        <w:pStyle w:val="17"/>
      </w:pPr>
      <w:r>
        <w:t>6、负责开展信访积案化解工作。对所有积案，逐案制定化解方案，明确办结时限。</w:t>
      </w:r>
    </w:p>
    <w:p>
      <w:pPr>
        <w:pStyle w:val="17"/>
      </w:pPr>
      <w:r>
        <w:t>7、加强驻京值班，加大依法打击和接劝返处置力度。</w:t>
      </w:r>
    </w:p>
    <w:p>
      <w:pPr>
        <w:pStyle w:val="17"/>
      </w:pPr>
      <w:r>
        <w:t>8、加强网上信访办理力度，注重提高“三率”工作。</w:t>
      </w:r>
    </w:p>
    <w:p>
      <w:pPr>
        <w:pStyle w:val="17"/>
      </w:pPr>
      <w:r>
        <w:t>9、责向分管乡镇和县直</w:t>
      </w:r>
      <w:r>
        <w:rPr>
          <w:rFonts w:hint="eastAsia"/>
          <w:lang w:eastAsia="zh-CN"/>
        </w:rPr>
        <w:t>单位</w:t>
      </w:r>
      <w:r>
        <w:t>交办信访案件，并督办、催办和对结果报告的审查、上报工作。</w:t>
      </w:r>
    </w:p>
    <w:p>
      <w:pPr>
        <w:pStyle w:val="17"/>
      </w:pPr>
      <w:r>
        <w:t>10、负责综合分析全县信访形势和信访工作状况。</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中国共产党无极县委员会信访局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450.00万元，其中：一般公共预算收入450.00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信访局年度单位预算中支出预算的总体情况。2024年支出预算450.00万元，其中基本支出320.00万元，包括人员经费278.00万元和日常公用经费42.00万元；项目支出130.00万元，主要为2024年北京房租15万元，2024年驻京工作组维稳经费55万元，2024年信访维稳经费60万元。</w:t>
      </w:r>
    </w:p>
    <w:p>
      <w:pPr>
        <w:pStyle w:val="18"/>
      </w:pPr>
      <w:r>
        <w:t>3、比上年增减情况</w:t>
      </w:r>
    </w:p>
    <w:p>
      <w:pPr>
        <w:pStyle w:val="18"/>
      </w:pPr>
      <w:r>
        <w:t>2024年预算收支安排450.00万元，较2023年预算增加33.56万元，其中：基本支出增加33.96万元，主要为人员经费中工资、保险增多，因劳务派遣人员工资放到公用经费下，所以公用经费比去年增多。项目支出减少0.40万元，主要为2024年北京房租</w:t>
      </w:r>
      <w:r>
        <w:rPr>
          <w:rFonts w:hint="eastAsia"/>
          <w:lang w:val="en-US" w:eastAsia="zh-CN"/>
        </w:rPr>
        <w:t>减少3万元，</w:t>
      </w:r>
      <w:r>
        <w:t>2024年驻京工作组维稳经费</w:t>
      </w:r>
      <w:r>
        <w:rPr>
          <w:rFonts w:hint="eastAsia"/>
          <w:lang w:val="en-US" w:eastAsia="zh-CN"/>
        </w:rPr>
        <w:t>增加2.6万元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机关运行经费共计安排 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eastAsia="zh-CN"/>
        </w:rPr>
        <w:t>单位</w:t>
      </w:r>
      <w:r>
        <w:t>财政拨款“三公”经费预算安排 3万元，其中：因公出国（境）费 0 万元；公务用车购置及运维费 3万元（其中：公务用车购置费0万元，公务用车运行维护费 3 万元)；公务接待费 0 万元。</w:t>
      </w:r>
      <w:r>
        <w:rPr>
          <w:rFonts w:hint="eastAsia"/>
          <w:lang w:val="en-US" w:eastAsia="zh-CN"/>
        </w:rPr>
        <w:t>主要原因为无三公经费预算，</w:t>
      </w:r>
      <w:r>
        <w:t>“三公”经费与上年持平，无增减变化。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p>
    <w:p>
      <w:pPr>
        <w:spacing w:before="10" w:after="10" w:line="240" w:lineRule="auto"/>
        <w:ind w:firstLine="640" w:firstLineChars="200"/>
        <w:jc w:val="left"/>
        <w:outlineLvl w:val="5"/>
        <w:rPr>
          <w:rFonts w:ascii="黑体" w:hAnsi="黑体" w:eastAsia="黑体" w:cs="黑体"/>
          <w:color w:val="000000"/>
          <w:sz w:val="32"/>
        </w:rPr>
      </w:pPr>
      <w:bookmarkStart w:id="1" w:name="_GoBack"/>
      <w:bookmarkEnd w:id="1"/>
    </w:p>
    <w:p>
      <w:pPr>
        <w:numPr>
          <w:ilvl w:val="0"/>
          <w:numId w:val="1"/>
        </w:num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pPr>
      <w:r>
        <w:rPr>
          <w:rFonts w:ascii="方正仿宋_GBK" w:hAnsi="方正仿宋_GBK" w:eastAsia="方正仿宋_GBK" w:cs="方正仿宋_GBK"/>
          <w:b/>
          <w:color w:val="000000"/>
          <w:sz w:val="28"/>
        </w:rPr>
        <w:t>1、2024年北京房租绩效目标表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13013024P000036101605</w:t>
            </w:r>
          </w:p>
        </w:tc>
        <w:tc>
          <w:tcPr>
            <w:tcW w:w="1587" w:type="dxa"/>
            <w:vAlign w:val="center"/>
          </w:tcPr>
          <w:p>
            <w:pPr>
              <w:pStyle w:val="10"/>
            </w:pPr>
            <w:r>
              <w:t>项目名称</w:t>
            </w:r>
          </w:p>
        </w:tc>
        <w:tc>
          <w:tcPr>
            <w:tcW w:w="4422" w:type="dxa"/>
            <w:gridSpan w:val="3"/>
            <w:vAlign w:val="center"/>
          </w:tcPr>
          <w:p>
            <w:pPr>
              <w:pStyle w:val="12"/>
            </w:pPr>
            <w:r>
              <w:t>2024年北京房租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w:t>
            </w:r>
          </w:p>
        </w:tc>
        <w:tc>
          <w:tcPr>
            <w:tcW w:w="1587" w:type="dxa"/>
            <w:vAlign w:val="center"/>
          </w:tcPr>
          <w:p>
            <w:pPr>
              <w:pStyle w:val="10"/>
            </w:pPr>
            <w:r>
              <w:t>其中：财政    资金</w:t>
            </w:r>
          </w:p>
        </w:tc>
        <w:tc>
          <w:tcPr>
            <w:tcW w:w="1304" w:type="dxa"/>
            <w:vAlign w:val="center"/>
          </w:tcPr>
          <w:p>
            <w:pPr>
              <w:pStyle w:val="12"/>
            </w:pPr>
            <w:r>
              <w:t>15.00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保障北京值班工作，减少进京访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3.75</w:t>
            </w:r>
          </w:p>
        </w:tc>
        <w:tc>
          <w:tcPr>
            <w:tcW w:w="1587" w:type="dxa"/>
            <w:vAlign w:val="center"/>
          </w:tcPr>
          <w:p>
            <w:pPr>
              <w:pStyle w:val="13"/>
            </w:pPr>
            <w:r>
              <w:t>7.50</w:t>
            </w:r>
          </w:p>
        </w:tc>
        <w:tc>
          <w:tcPr>
            <w:tcW w:w="1304" w:type="dxa"/>
            <w:vAlign w:val="center"/>
          </w:tcPr>
          <w:p>
            <w:pPr>
              <w:pStyle w:val="13"/>
            </w:pPr>
            <w:r>
              <w:t>11.25</w:t>
            </w:r>
          </w:p>
        </w:tc>
        <w:tc>
          <w:tcPr>
            <w:tcW w:w="3118"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1.保障北京值班工作，减少进京访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信访案件复查率</w:t>
            </w:r>
          </w:p>
        </w:tc>
        <w:tc>
          <w:tcPr>
            <w:tcW w:w="2891" w:type="dxa"/>
            <w:vAlign w:val="center"/>
          </w:tcPr>
          <w:p>
            <w:pPr>
              <w:pStyle w:val="12"/>
            </w:pPr>
            <w:r>
              <w:t>信访案件复查率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信访事项按期结案率</w:t>
            </w:r>
          </w:p>
        </w:tc>
        <w:tc>
          <w:tcPr>
            <w:tcW w:w="2891" w:type="dxa"/>
            <w:vAlign w:val="center"/>
          </w:tcPr>
          <w:p>
            <w:pPr>
              <w:pStyle w:val="12"/>
            </w:pPr>
            <w:r>
              <w:t>信访事项按期结案率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信访、个体访处理时间</w:t>
            </w:r>
          </w:p>
        </w:tc>
        <w:tc>
          <w:tcPr>
            <w:tcW w:w="2891" w:type="dxa"/>
            <w:vAlign w:val="center"/>
          </w:tcPr>
          <w:p>
            <w:pPr>
              <w:pStyle w:val="12"/>
            </w:pPr>
            <w:r>
              <w:t>信访、个体访处理时间</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信访投诉办结率</w:t>
            </w:r>
          </w:p>
        </w:tc>
        <w:tc>
          <w:tcPr>
            <w:tcW w:w="2891" w:type="dxa"/>
            <w:vAlign w:val="center"/>
          </w:tcPr>
          <w:p>
            <w:pPr>
              <w:pStyle w:val="12"/>
            </w:pPr>
            <w:r>
              <w:t>信访投诉办结率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信访转诉案件结案率</w:t>
            </w:r>
          </w:p>
        </w:tc>
        <w:tc>
          <w:tcPr>
            <w:tcW w:w="2891" w:type="dxa"/>
            <w:vAlign w:val="center"/>
          </w:tcPr>
          <w:p>
            <w:pPr>
              <w:pStyle w:val="12"/>
            </w:pPr>
            <w:r>
              <w:t>信访转诉案件结案率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生态影响</w:t>
            </w:r>
          </w:p>
        </w:tc>
        <w:tc>
          <w:tcPr>
            <w:tcW w:w="2891" w:type="dxa"/>
            <w:vAlign w:val="center"/>
          </w:tcPr>
          <w:p>
            <w:pPr>
              <w:pStyle w:val="12"/>
            </w:pPr>
            <w:r>
              <w:t>生态影响</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信访群众满意度</w:t>
            </w:r>
          </w:p>
        </w:tc>
        <w:tc>
          <w:tcPr>
            <w:tcW w:w="1276" w:type="dxa"/>
            <w:vAlign w:val="center"/>
          </w:tcPr>
          <w:p>
            <w:pPr>
              <w:pStyle w:val="12"/>
            </w:pPr>
            <w:r>
              <w:t>≥90%</w:t>
            </w:r>
          </w:p>
        </w:tc>
        <w:tc>
          <w:tcPr>
            <w:tcW w:w="1843"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13013024P00003610156Y</w:t>
            </w:r>
          </w:p>
        </w:tc>
        <w:tc>
          <w:tcPr>
            <w:tcW w:w="1587" w:type="dxa"/>
            <w:vAlign w:val="center"/>
          </w:tcPr>
          <w:p>
            <w:pPr>
              <w:pStyle w:val="10"/>
            </w:pPr>
            <w:r>
              <w:t>项目名称</w:t>
            </w:r>
          </w:p>
        </w:tc>
        <w:tc>
          <w:tcPr>
            <w:tcW w:w="4422" w:type="dxa"/>
            <w:gridSpan w:val="3"/>
            <w:vAlign w:val="center"/>
          </w:tcPr>
          <w:p>
            <w:pPr>
              <w:pStyle w:val="12"/>
            </w:pPr>
            <w:r>
              <w:t>2024年信访维稳经费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60.00</w:t>
            </w:r>
          </w:p>
        </w:tc>
        <w:tc>
          <w:tcPr>
            <w:tcW w:w="1587" w:type="dxa"/>
            <w:vAlign w:val="center"/>
          </w:tcPr>
          <w:p>
            <w:pPr>
              <w:pStyle w:val="10"/>
            </w:pPr>
            <w:r>
              <w:t>其中：财政    资金</w:t>
            </w:r>
          </w:p>
        </w:tc>
        <w:tc>
          <w:tcPr>
            <w:tcW w:w="1304" w:type="dxa"/>
            <w:vAlign w:val="center"/>
          </w:tcPr>
          <w:p>
            <w:pPr>
              <w:pStyle w:val="12"/>
            </w:pPr>
            <w:r>
              <w:t>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保障社会稳定，减少信访隐患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15.00</w:t>
            </w:r>
          </w:p>
        </w:tc>
        <w:tc>
          <w:tcPr>
            <w:tcW w:w="1587" w:type="dxa"/>
            <w:vAlign w:val="center"/>
          </w:tcPr>
          <w:p>
            <w:pPr>
              <w:pStyle w:val="13"/>
            </w:pPr>
            <w:r>
              <w:t>30.00</w:t>
            </w:r>
          </w:p>
        </w:tc>
        <w:tc>
          <w:tcPr>
            <w:tcW w:w="1304" w:type="dxa"/>
            <w:vAlign w:val="center"/>
          </w:tcPr>
          <w:p>
            <w:pPr>
              <w:pStyle w:val="13"/>
            </w:pPr>
            <w:r>
              <w:t>45.00</w:t>
            </w:r>
          </w:p>
        </w:tc>
        <w:tc>
          <w:tcPr>
            <w:tcW w:w="3118"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1.保障社会稳定，减少信访隐患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有效化解涉检信访矛盾率（%）</w:t>
            </w:r>
          </w:p>
        </w:tc>
        <w:tc>
          <w:tcPr>
            <w:tcW w:w="2891" w:type="dxa"/>
            <w:vAlign w:val="center"/>
          </w:tcPr>
          <w:p>
            <w:pPr>
              <w:pStyle w:val="12"/>
            </w:pPr>
            <w:r>
              <w:t>有效化解涉检信访矛盾率（%）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信访事项按期结案率</w:t>
            </w:r>
          </w:p>
        </w:tc>
        <w:tc>
          <w:tcPr>
            <w:tcW w:w="2891" w:type="dxa"/>
            <w:vAlign w:val="center"/>
          </w:tcPr>
          <w:p>
            <w:pPr>
              <w:pStyle w:val="12"/>
            </w:pPr>
            <w:r>
              <w:t>信访事项按期结案率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信访事项受理及时率</w:t>
            </w:r>
          </w:p>
        </w:tc>
        <w:tc>
          <w:tcPr>
            <w:tcW w:w="2891" w:type="dxa"/>
            <w:vAlign w:val="center"/>
          </w:tcPr>
          <w:p>
            <w:pPr>
              <w:pStyle w:val="12"/>
            </w:pPr>
            <w:r>
              <w:t>信访事项受理及时率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信访投诉办结率</w:t>
            </w:r>
          </w:p>
        </w:tc>
        <w:tc>
          <w:tcPr>
            <w:tcW w:w="2891" w:type="dxa"/>
            <w:vAlign w:val="center"/>
          </w:tcPr>
          <w:p>
            <w:pPr>
              <w:pStyle w:val="12"/>
            </w:pPr>
            <w:r>
              <w:t>信访投诉办结率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信访转诉案件结案率</w:t>
            </w:r>
          </w:p>
        </w:tc>
        <w:tc>
          <w:tcPr>
            <w:tcW w:w="2891" w:type="dxa"/>
            <w:vAlign w:val="center"/>
          </w:tcPr>
          <w:p>
            <w:pPr>
              <w:pStyle w:val="12"/>
            </w:pPr>
            <w:r>
              <w:t>信访转诉案件结案率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生态影响</w:t>
            </w:r>
          </w:p>
        </w:tc>
        <w:tc>
          <w:tcPr>
            <w:tcW w:w="2891" w:type="dxa"/>
            <w:vAlign w:val="center"/>
          </w:tcPr>
          <w:p>
            <w:pPr>
              <w:pStyle w:val="12"/>
            </w:pPr>
            <w:r>
              <w:t>生态影响</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信访群众满意度</w:t>
            </w:r>
          </w:p>
        </w:tc>
        <w:tc>
          <w:tcPr>
            <w:tcW w:w="1276" w:type="dxa"/>
            <w:vAlign w:val="center"/>
          </w:tcPr>
          <w:p>
            <w:pPr>
              <w:pStyle w:val="12"/>
            </w:pPr>
            <w:r>
              <w:t>≥90%</w:t>
            </w:r>
          </w:p>
        </w:tc>
        <w:tc>
          <w:tcPr>
            <w:tcW w:w="1843"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3、2024年驻京工作组维稳经费绩效目标表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13013024P00003610159R</w:t>
            </w:r>
          </w:p>
        </w:tc>
        <w:tc>
          <w:tcPr>
            <w:tcW w:w="1587" w:type="dxa"/>
            <w:vAlign w:val="center"/>
          </w:tcPr>
          <w:p>
            <w:pPr>
              <w:pStyle w:val="10"/>
            </w:pPr>
            <w:r>
              <w:t>项目名称</w:t>
            </w:r>
          </w:p>
        </w:tc>
        <w:tc>
          <w:tcPr>
            <w:tcW w:w="4422" w:type="dxa"/>
            <w:gridSpan w:val="3"/>
            <w:vAlign w:val="center"/>
          </w:tcPr>
          <w:p>
            <w:pPr>
              <w:pStyle w:val="12"/>
            </w:pPr>
            <w:r>
              <w:t>2024年驻京工作组维稳经费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55.00</w:t>
            </w:r>
          </w:p>
        </w:tc>
        <w:tc>
          <w:tcPr>
            <w:tcW w:w="1587" w:type="dxa"/>
            <w:vAlign w:val="center"/>
          </w:tcPr>
          <w:p>
            <w:pPr>
              <w:pStyle w:val="10"/>
            </w:pPr>
            <w:r>
              <w:t>其中：财政    资金</w:t>
            </w:r>
          </w:p>
        </w:tc>
        <w:tc>
          <w:tcPr>
            <w:tcW w:w="1304" w:type="dxa"/>
            <w:vAlign w:val="center"/>
          </w:tcPr>
          <w:p>
            <w:pPr>
              <w:pStyle w:val="12"/>
            </w:pPr>
            <w:r>
              <w:t>55.00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维护社会稳定，减少进京集体访，进京访，做好值班工作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13.75</w:t>
            </w:r>
          </w:p>
        </w:tc>
        <w:tc>
          <w:tcPr>
            <w:tcW w:w="1587" w:type="dxa"/>
            <w:vAlign w:val="center"/>
          </w:tcPr>
          <w:p>
            <w:pPr>
              <w:pStyle w:val="13"/>
            </w:pPr>
            <w:r>
              <w:t>27.50</w:t>
            </w:r>
          </w:p>
        </w:tc>
        <w:tc>
          <w:tcPr>
            <w:tcW w:w="1304" w:type="dxa"/>
            <w:vAlign w:val="center"/>
          </w:tcPr>
          <w:p>
            <w:pPr>
              <w:pStyle w:val="13"/>
            </w:pPr>
            <w:r>
              <w:t>41.25</w:t>
            </w:r>
          </w:p>
        </w:tc>
        <w:tc>
          <w:tcPr>
            <w:tcW w:w="3118"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1.维护社会稳定，减少进京集体访，进京访，做好值班工作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有效化解涉检信访矛盾率（%）</w:t>
            </w:r>
          </w:p>
        </w:tc>
        <w:tc>
          <w:tcPr>
            <w:tcW w:w="2891" w:type="dxa"/>
            <w:vAlign w:val="center"/>
          </w:tcPr>
          <w:p>
            <w:pPr>
              <w:pStyle w:val="12"/>
            </w:pPr>
            <w:r>
              <w:t>有效化解涉检信访矛盾率（%）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信访事项按期结案率</w:t>
            </w:r>
          </w:p>
        </w:tc>
        <w:tc>
          <w:tcPr>
            <w:tcW w:w="2891" w:type="dxa"/>
            <w:vAlign w:val="center"/>
          </w:tcPr>
          <w:p>
            <w:pPr>
              <w:pStyle w:val="12"/>
            </w:pPr>
            <w:r>
              <w:t>信访事项按期结案率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信访、个体访处理时间</w:t>
            </w:r>
          </w:p>
        </w:tc>
        <w:tc>
          <w:tcPr>
            <w:tcW w:w="2891" w:type="dxa"/>
            <w:vAlign w:val="center"/>
          </w:tcPr>
          <w:p>
            <w:pPr>
              <w:pStyle w:val="12"/>
            </w:pPr>
            <w:r>
              <w:t>信访、个体访处理时间</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信访投诉办结率</w:t>
            </w:r>
          </w:p>
        </w:tc>
        <w:tc>
          <w:tcPr>
            <w:tcW w:w="2891" w:type="dxa"/>
            <w:vAlign w:val="center"/>
          </w:tcPr>
          <w:p>
            <w:pPr>
              <w:pStyle w:val="12"/>
            </w:pPr>
            <w:r>
              <w:t>信访投诉办结率</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保持人社领域信访形势总体平稳可</w:t>
            </w:r>
          </w:p>
        </w:tc>
        <w:tc>
          <w:tcPr>
            <w:tcW w:w="2891" w:type="dxa"/>
            <w:vAlign w:val="center"/>
          </w:tcPr>
          <w:p>
            <w:pPr>
              <w:pStyle w:val="12"/>
            </w:pPr>
            <w:r>
              <w:t>保持人社领域信访形势总体平稳可控</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生态影响</w:t>
            </w:r>
          </w:p>
        </w:tc>
        <w:tc>
          <w:tcPr>
            <w:tcW w:w="2891" w:type="dxa"/>
            <w:vAlign w:val="center"/>
          </w:tcPr>
          <w:p>
            <w:pPr>
              <w:pStyle w:val="12"/>
            </w:pPr>
            <w:r>
              <w:t>生态影响</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≥90%</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信访群众满意度</w:t>
            </w:r>
          </w:p>
        </w:tc>
        <w:tc>
          <w:tcPr>
            <w:tcW w:w="1276" w:type="dxa"/>
            <w:vAlign w:val="center"/>
          </w:tcPr>
          <w:p>
            <w:pPr>
              <w:pStyle w:val="12"/>
            </w:pPr>
            <w:r>
              <w:t>≥90%</w:t>
            </w:r>
          </w:p>
        </w:tc>
        <w:tc>
          <w:tcPr>
            <w:tcW w:w="1843"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中国共产党无极县委员会信访局上年末固定资产金额为63.25万元（详见下表）。本年度拟购置固定资产总额为0.00万元。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177</w:t>
            </w:r>
          </w:p>
        </w:tc>
        <w:tc>
          <w:tcPr>
            <w:tcW w:w="2835" w:type="dxa"/>
            <w:vAlign w:val="center"/>
          </w:tcPr>
          <w:p>
            <w:pPr>
              <w:pStyle w:val="11"/>
            </w:pPr>
            <w:r>
              <w:t>51.86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B1A10E"/>
    <w:multiLevelType w:val="singleLevel"/>
    <w:tmpl w:val="E3B1A10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yMTgzYzM3MWViMDVmZDljODhjMGQ4MmU0N2MxYjUifQ=="/>
  </w:docVars>
  <w:rsids>
    <w:rsidRoot w:val="00000000"/>
    <w:rsid w:val="125517A1"/>
    <w:rsid w:val="29CC73BE"/>
    <w:rsid w:val="400B3085"/>
    <w:rsid w:val="412A00C9"/>
    <w:rsid w:val="43B70F66"/>
    <w:rsid w:val="45AA0C30"/>
    <w:rsid w:val="5A696A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2024-02-01T09:08:08Z</dcterms:created>
  <dcterms:modified xsi:type="dcterms:W3CDTF">2024-02-01T01:08:08Z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2024-02-01T09:08:10Z</dcterms:created>
  <dcterms:modified xsi:type="dcterms:W3CDTF">2024-02-01T01:08:09Z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2024-02-01T09:08:10Z</dcterms:created>
  <dcterms:modified xsi:type="dcterms:W3CDTF">2024-02-01T01:08:10Z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2024-02-01T09:08:10Z</dcterms:created>
  <dcterms:modified xsi:type="dcterms:W3CDTF">2024-02-01T01:08:10Z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2024-02-01T09:07:56Z</dcterms:created>
  <dcterms:modified xsi:type="dcterms:W3CDTF">2024-02-01T01:07:56Z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2024-02-01T09:08:11Z</dcterms:created>
  <dcterms:modified xsi:type="dcterms:W3CDTF">2024-02-01T01:08:11Z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ecea049-2dfc-47f4-9608-d73542986ef7}">
  <ds:schemaRefs/>
</ds:datastoreItem>
</file>

<file path=customXml/itemProps10.xml><?xml version="1.0" encoding="utf-8"?>
<ds:datastoreItem xmlns:ds="http://schemas.openxmlformats.org/officeDocument/2006/customXml" ds:itemID="{a1923cce-b486-4864-ad37-0f8becc8641e}">
  <ds:schemaRefs/>
</ds:datastoreItem>
</file>

<file path=customXml/itemProps11.xml><?xml version="1.0" encoding="utf-8"?>
<ds:datastoreItem xmlns:ds="http://schemas.openxmlformats.org/officeDocument/2006/customXml" ds:itemID="{be085006-29fe-4fed-9d8f-b8b1c263e700}">
  <ds:schemaRefs/>
</ds:datastoreItem>
</file>

<file path=customXml/itemProps12.xml><?xml version="1.0" encoding="utf-8"?>
<ds:datastoreItem xmlns:ds="http://schemas.openxmlformats.org/officeDocument/2006/customXml" ds:itemID="{0de154e7-4837-420b-a54d-5b1be6824350}">
  <ds:schemaRefs/>
</ds:datastoreItem>
</file>

<file path=customXml/itemProps2.xml><?xml version="1.0" encoding="utf-8"?>
<ds:datastoreItem xmlns:ds="http://schemas.openxmlformats.org/officeDocument/2006/customXml" ds:itemID="{52d13480-df09-4506-976f-929791117b1d}">
  <ds:schemaRefs/>
</ds:datastoreItem>
</file>

<file path=customXml/itemProps3.xml><?xml version="1.0" encoding="utf-8"?>
<ds:datastoreItem xmlns:ds="http://schemas.openxmlformats.org/officeDocument/2006/customXml" ds:itemID="{e5a461d3-8f30-4651-9f86-24488d8d9bd2}">
  <ds:schemaRefs/>
</ds:datastoreItem>
</file>

<file path=customXml/itemProps4.xml><?xml version="1.0" encoding="utf-8"?>
<ds:datastoreItem xmlns:ds="http://schemas.openxmlformats.org/officeDocument/2006/customXml" ds:itemID="{8c9b2ad4-ff53-4df7-93ac-2aa6280492d2}">
  <ds:schemaRefs/>
</ds:datastoreItem>
</file>

<file path=customXml/itemProps5.xml><?xml version="1.0" encoding="utf-8"?>
<ds:datastoreItem xmlns:ds="http://schemas.openxmlformats.org/officeDocument/2006/customXml" ds:itemID="{2acec9b7-2049-4367-8c36-6d1620a3da9b}">
  <ds:schemaRefs/>
</ds:datastoreItem>
</file>

<file path=customXml/itemProps6.xml><?xml version="1.0" encoding="utf-8"?>
<ds:datastoreItem xmlns:ds="http://schemas.openxmlformats.org/officeDocument/2006/customXml" ds:itemID="{cdd84f56-ee66-42ae-bf59-d79308ba8d3f}">
  <ds:schemaRefs/>
</ds:datastoreItem>
</file>

<file path=customXml/itemProps7.xml><?xml version="1.0" encoding="utf-8"?>
<ds:datastoreItem xmlns:ds="http://schemas.openxmlformats.org/officeDocument/2006/customXml" ds:itemID="{a4402e50-d8a7-4a60-b26e-0d0aabdb6e69}">
  <ds:schemaRefs/>
</ds:datastoreItem>
</file>

<file path=customXml/itemProps8.xml><?xml version="1.0" encoding="utf-8"?>
<ds:datastoreItem xmlns:ds="http://schemas.openxmlformats.org/officeDocument/2006/customXml" ds:itemID="{0ccd257d-24ef-4810-88a0-03fbea8d342f}">
  <ds:schemaRefs/>
</ds:datastoreItem>
</file>

<file path=customXml/itemProps9.xml><?xml version="1.0" encoding="utf-8"?>
<ds:datastoreItem xmlns:ds="http://schemas.openxmlformats.org/officeDocument/2006/customXml" ds:itemID="{c5d98226-d08b-4618-a3b3-7fc8ed3aa07d}">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2024-02-01T09:08:00Z</dcterms:created>
  <dc:creator>Administrator</dc:creator>
  <cp:lastModifiedBy>李润泽</cp:lastModifiedBy>
  <dcterms:modified xsi:type="dcterms:W3CDTF">2024-02-04T08:36:24Z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D9EF5C878E204BD682D79CC4F42945DB_12</vt:lpwstr>
  </property>
</Properties>
</file>