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bookmarkStart w:id="20" w:name="_GoBack"/>
      <w:bookmarkEnd w:id="20"/>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741.04</w:t>
            </w:r>
          </w:p>
        </w:tc>
        <w:tc>
          <w:tcPr>
            <w:tcW w:w="4535" w:type="dxa"/>
            <w:vAlign w:val="center"/>
          </w:tcPr>
          <w:p>
            <w:pPr>
              <w:pStyle w:val="12"/>
            </w:pPr>
            <w:r>
              <w:t>一、一般公共服务支出</w:t>
            </w:r>
          </w:p>
        </w:tc>
        <w:tc>
          <w:tcPr>
            <w:tcW w:w="2126" w:type="dxa"/>
            <w:vAlign w:val="center"/>
          </w:tcPr>
          <w:p>
            <w:pPr>
              <w:pStyle w:val="11"/>
            </w:pPr>
            <w:r>
              <w:t>634.04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741.04</w:t>
            </w:r>
          </w:p>
        </w:tc>
        <w:tc>
          <w:tcPr>
            <w:tcW w:w="4535" w:type="dxa"/>
            <w:vAlign w:val="center"/>
          </w:tcPr>
          <w:p>
            <w:pPr>
              <w:pStyle w:val="14"/>
            </w:pPr>
            <w:r>
              <w:t>本年支出合计</w:t>
            </w:r>
          </w:p>
        </w:tc>
        <w:tc>
          <w:tcPr>
            <w:tcW w:w="2126" w:type="dxa"/>
            <w:vAlign w:val="center"/>
          </w:tcPr>
          <w:p>
            <w:pPr>
              <w:pStyle w:val="15"/>
            </w:pPr>
            <w:r>
              <w:t>741.04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741.04</w:t>
            </w:r>
          </w:p>
        </w:tc>
        <w:tc>
          <w:tcPr>
            <w:tcW w:w="4535" w:type="dxa"/>
            <w:vAlign w:val="center"/>
          </w:tcPr>
          <w:p>
            <w:pPr>
              <w:pStyle w:val="14"/>
            </w:pPr>
            <w:r>
              <w:t>支出总计</w:t>
            </w:r>
          </w:p>
        </w:tc>
        <w:tc>
          <w:tcPr>
            <w:tcW w:w="2126" w:type="dxa"/>
            <w:vAlign w:val="center"/>
          </w:tcPr>
          <w:p>
            <w:pPr>
              <w:pStyle w:val="15"/>
            </w:pPr>
            <w:r>
              <w:t>741.04</w:t>
            </w:r>
          </w:p>
        </w:tc>
      </w:tr>
    </w:tbl>
    <w:p>
      <w:pPr>
        <w:sectPr>
          <w:footerReference r:id="rId9" w:type="default"/>
          <w:footerReference r:id="rId10"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741.04</w:t>
            </w:r>
          </w:p>
        </w:tc>
        <w:tc>
          <w:tcPr>
            <w:tcW w:w="1134" w:type="dxa"/>
            <w:vAlign w:val="center"/>
          </w:tcPr>
          <w:p>
            <w:pPr>
              <w:pStyle w:val="15"/>
            </w:pPr>
            <w:r>
              <w:t>741.04</w:t>
            </w:r>
          </w:p>
        </w:tc>
        <w:tc>
          <w:tcPr>
            <w:tcW w:w="1134" w:type="dxa"/>
            <w:vAlign w:val="center"/>
          </w:tcPr>
          <w:p>
            <w:pPr>
              <w:pStyle w:val="15"/>
            </w:pPr>
            <w:r>
              <w:t>741.04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634.04</w:t>
            </w:r>
          </w:p>
        </w:tc>
        <w:tc>
          <w:tcPr>
            <w:tcW w:w="1134" w:type="dxa"/>
            <w:vAlign w:val="center"/>
          </w:tcPr>
          <w:p>
            <w:pPr>
              <w:pStyle w:val="11"/>
            </w:pPr>
            <w:r>
              <w:t>634.04</w:t>
            </w:r>
          </w:p>
        </w:tc>
        <w:tc>
          <w:tcPr>
            <w:tcW w:w="1134" w:type="dxa"/>
            <w:vAlign w:val="center"/>
          </w:tcPr>
          <w:p>
            <w:pPr>
              <w:pStyle w:val="11"/>
            </w:pPr>
            <w:r>
              <w:t>634.04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634.04</w:t>
            </w:r>
          </w:p>
        </w:tc>
        <w:tc>
          <w:tcPr>
            <w:tcW w:w="1134" w:type="dxa"/>
            <w:vAlign w:val="center"/>
          </w:tcPr>
          <w:p>
            <w:pPr>
              <w:pStyle w:val="11"/>
            </w:pPr>
            <w:r>
              <w:t>634.04</w:t>
            </w:r>
          </w:p>
        </w:tc>
        <w:tc>
          <w:tcPr>
            <w:tcW w:w="1134" w:type="dxa"/>
            <w:vAlign w:val="center"/>
          </w:tcPr>
          <w:p>
            <w:pPr>
              <w:pStyle w:val="11"/>
            </w:pPr>
            <w:r>
              <w:t>634.04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554.04</w:t>
            </w:r>
          </w:p>
        </w:tc>
        <w:tc>
          <w:tcPr>
            <w:tcW w:w="1134" w:type="dxa"/>
            <w:vAlign w:val="center"/>
          </w:tcPr>
          <w:p>
            <w:pPr>
              <w:pStyle w:val="11"/>
            </w:pPr>
            <w:r>
              <w:t>554.04</w:t>
            </w:r>
          </w:p>
        </w:tc>
        <w:tc>
          <w:tcPr>
            <w:tcW w:w="1134" w:type="dxa"/>
            <w:vAlign w:val="center"/>
          </w:tcPr>
          <w:p>
            <w:pPr>
              <w:pStyle w:val="11"/>
            </w:pPr>
            <w:r>
              <w:t>554.04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2010204</w:t>
            </w:r>
          </w:p>
        </w:tc>
        <w:tc>
          <w:tcPr>
            <w:tcW w:w="1559" w:type="dxa"/>
            <w:vAlign w:val="center"/>
          </w:tcPr>
          <w:p>
            <w:pPr>
              <w:pStyle w:val="12"/>
            </w:pPr>
            <w:r>
              <w:t>政协会议</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2010299</w:t>
            </w:r>
          </w:p>
        </w:tc>
        <w:tc>
          <w:tcPr>
            <w:tcW w:w="1559" w:type="dxa"/>
            <w:vAlign w:val="center"/>
          </w:tcPr>
          <w:p>
            <w:pPr>
              <w:pStyle w:val="12"/>
            </w:pPr>
            <w:r>
              <w:t>其他政协事务支出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741.04</w:t>
            </w:r>
          </w:p>
        </w:tc>
        <w:tc>
          <w:tcPr>
            <w:tcW w:w="1361" w:type="dxa"/>
            <w:vAlign w:val="center"/>
          </w:tcPr>
          <w:p>
            <w:pPr>
              <w:pStyle w:val="15"/>
            </w:pPr>
            <w:r>
              <w:t>661.04</w:t>
            </w:r>
          </w:p>
        </w:tc>
        <w:tc>
          <w:tcPr>
            <w:tcW w:w="1361" w:type="dxa"/>
            <w:vAlign w:val="center"/>
          </w:tcPr>
          <w:p>
            <w:pPr>
              <w:pStyle w:val="15"/>
            </w:pPr>
            <w:r>
              <w:t>80.00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634.04</w:t>
            </w:r>
          </w:p>
        </w:tc>
        <w:tc>
          <w:tcPr>
            <w:tcW w:w="1361" w:type="dxa"/>
            <w:vAlign w:val="center"/>
          </w:tcPr>
          <w:p>
            <w:pPr>
              <w:pStyle w:val="11"/>
            </w:pPr>
            <w:r>
              <w:t>554.04</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634.04</w:t>
            </w:r>
          </w:p>
        </w:tc>
        <w:tc>
          <w:tcPr>
            <w:tcW w:w="1361" w:type="dxa"/>
            <w:vAlign w:val="center"/>
          </w:tcPr>
          <w:p>
            <w:pPr>
              <w:pStyle w:val="11"/>
            </w:pPr>
            <w:r>
              <w:t>554.04</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554.04</w:t>
            </w:r>
          </w:p>
        </w:tc>
        <w:tc>
          <w:tcPr>
            <w:tcW w:w="1361" w:type="dxa"/>
            <w:vAlign w:val="center"/>
          </w:tcPr>
          <w:p>
            <w:pPr>
              <w:pStyle w:val="11"/>
            </w:pPr>
            <w:r>
              <w:t>554.04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2010204</w:t>
            </w:r>
          </w:p>
        </w:tc>
        <w:tc>
          <w:tcPr>
            <w:tcW w:w="4535" w:type="dxa"/>
            <w:vAlign w:val="center"/>
          </w:tcPr>
          <w:p>
            <w:pPr>
              <w:pStyle w:val="12"/>
            </w:pPr>
            <w:r>
              <w:t>政协会议</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2010299</w:t>
            </w:r>
          </w:p>
        </w:tc>
        <w:tc>
          <w:tcPr>
            <w:tcW w:w="4535" w:type="dxa"/>
            <w:vAlign w:val="center"/>
          </w:tcPr>
          <w:p>
            <w:pPr>
              <w:pStyle w:val="12"/>
            </w:pPr>
            <w:r>
              <w:t>其他政协事务支出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13.00</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29.00</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29.00</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29.00</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741.04</w:t>
            </w:r>
          </w:p>
        </w:tc>
        <w:tc>
          <w:tcPr>
            <w:tcW w:w="3402" w:type="dxa"/>
            <w:vAlign w:val="center"/>
          </w:tcPr>
          <w:p>
            <w:pPr>
              <w:pStyle w:val="12"/>
            </w:pPr>
            <w:r>
              <w:t>一、一般公共服务支出</w:t>
            </w:r>
          </w:p>
        </w:tc>
        <w:tc>
          <w:tcPr>
            <w:tcW w:w="1474" w:type="dxa"/>
            <w:vAlign w:val="center"/>
          </w:tcPr>
          <w:p>
            <w:pPr>
              <w:pStyle w:val="11"/>
            </w:pPr>
            <w:r>
              <w:t>634.04</w:t>
            </w:r>
          </w:p>
        </w:tc>
        <w:tc>
          <w:tcPr>
            <w:tcW w:w="1474" w:type="dxa"/>
            <w:vAlign w:val="center"/>
          </w:tcPr>
          <w:p>
            <w:pPr>
              <w:pStyle w:val="11"/>
            </w:pPr>
            <w:r>
              <w:t>634.04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78.00</w:t>
            </w:r>
          </w:p>
        </w:tc>
        <w:tc>
          <w:tcPr>
            <w:tcW w:w="1474" w:type="dxa"/>
            <w:vAlign w:val="center"/>
          </w:tcPr>
          <w:p>
            <w:pPr>
              <w:pStyle w:val="11"/>
            </w:pPr>
            <w:r>
              <w:t>78.00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29.00</w:t>
            </w:r>
          </w:p>
        </w:tc>
        <w:tc>
          <w:tcPr>
            <w:tcW w:w="1474" w:type="dxa"/>
            <w:vAlign w:val="center"/>
          </w:tcPr>
          <w:p>
            <w:pPr>
              <w:pStyle w:val="11"/>
            </w:pPr>
            <w:r>
              <w:t>29.00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741.04</w:t>
            </w:r>
          </w:p>
        </w:tc>
        <w:tc>
          <w:tcPr>
            <w:tcW w:w="3402" w:type="dxa"/>
            <w:vAlign w:val="center"/>
          </w:tcPr>
          <w:p>
            <w:pPr>
              <w:pStyle w:val="14"/>
            </w:pPr>
            <w:r>
              <w:t>本年支出合计</w:t>
            </w:r>
          </w:p>
        </w:tc>
        <w:tc>
          <w:tcPr>
            <w:tcW w:w="1474" w:type="dxa"/>
            <w:vAlign w:val="center"/>
          </w:tcPr>
          <w:p>
            <w:pPr>
              <w:pStyle w:val="15"/>
            </w:pPr>
            <w:r>
              <w:t>741.04</w:t>
            </w:r>
          </w:p>
        </w:tc>
        <w:tc>
          <w:tcPr>
            <w:tcW w:w="1474" w:type="dxa"/>
            <w:vAlign w:val="center"/>
          </w:tcPr>
          <w:p>
            <w:pPr>
              <w:pStyle w:val="15"/>
            </w:pPr>
            <w:r>
              <w:t>741.04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741.04</w:t>
            </w:r>
          </w:p>
        </w:tc>
        <w:tc>
          <w:tcPr>
            <w:tcW w:w="3402" w:type="dxa"/>
            <w:vAlign w:val="center"/>
          </w:tcPr>
          <w:p>
            <w:pPr>
              <w:pStyle w:val="14"/>
            </w:pPr>
            <w:r>
              <w:t>支出总计</w:t>
            </w:r>
          </w:p>
        </w:tc>
        <w:tc>
          <w:tcPr>
            <w:tcW w:w="1474" w:type="dxa"/>
            <w:vAlign w:val="center"/>
          </w:tcPr>
          <w:p>
            <w:pPr>
              <w:pStyle w:val="15"/>
            </w:pPr>
            <w:r>
              <w:t>741.04</w:t>
            </w:r>
          </w:p>
        </w:tc>
        <w:tc>
          <w:tcPr>
            <w:tcW w:w="1474" w:type="dxa"/>
            <w:vAlign w:val="center"/>
          </w:tcPr>
          <w:p>
            <w:pPr>
              <w:pStyle w:val="15"/>
            </w:pPr>
            <w:r>
              <w:t>741.04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741.04</w:t>
            </w:r>
          </w:p>
        </w:tc>
        <w:tc>
          <w:tcPr>
            <w:tcW w:w="2551" w:type="dxa"/>
            <w:vAlign w:val="center"/>
          </w:tcPr>
          <w:p>
            <w:pPr>
              <w:pStyle w:val="15"/>
            </w:pPr>
            <w:r>
              <w:t>661.04</w:t>
            </w:r>
          </w:p>
        </w:tc>
        <w:tc>
          <w:tcPr>
            <w:tcW w:w="2551" w:type="dxa"/>
            <w:vAlign w:val="center"/>
          </w:tcPr>
          <w:p>
            <w:pPr>
              <w:pStyle w:val="15"/>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634.04</w:t>
            </w:r>
          </w:p>
        </w:tc>
        <w:tc>
          <w:tcPr>
            <w:tcW w:w="2551" w:type="dxa"/>
            <w:vAlign w:val="center"/>
          </w:tcPr>
          <w:p>
            <w:pPr>
              <w:pStyle w:val="11"/>
            </w:pPr>
            <w:r>
              <w:t>554.04</w:t>
            </w: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634.04</w:t>
            </w:r>
          </w:p>
        </w:tc>
        <w:tc>
          <w:tcPr>
            <w:tcW w:w="2551" w:type="dxa"/>
            <w:vAlign w:val="center"/>
          </w:tcPr>
          <w:p>
            <w:pPr>
              <w:pStyle w:val="11"/>
            </w:pPr>
            <w:r>
              <w:t>554.04</w:t>
            </w: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554.04</w:t>
            </w:r>
          </w:p>
        </w:tc>
        <w:tc>
          <w:tcPr>
            <w:tcW w:w="2551" w:type="dxa"/>
            <w:vAlign w:val="center"/>
          </w:tcPr>
          <w:p>
            <w:pPr>
              <w:pStyle w:val="11"/>
            </w:pPr>
            <w:r>
              <w:t>554.04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2010204</w:t>
            </w:r>
          </w:p>
        </w:tc>
        <w:tc>
          <w:tcPr>
            <w:tcW w:w="4535" w:type="dxa"/>
            <w:vAlign w:val="center"/>
          </w:tcPr>
          <w:p>
            <w:pPr>
              <w:pStyle w:val="12"/>
            </w:pPr>
            <w:r>
              <w:t>政协会议</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2010299</w:t>
            </w:r>
          </w:p>
        </w:tc>
        <w:tc>
          <w:tcPr>
            <w:tcW w:w="4535" w:type="dxa"/>
            <w:vAlign w:val="center"/>
          </w:tcPr>
          <w:p>
            <w:pPr>
              <w:pStyle w:val="12"/>
            </w:pPr>
            <w:r>
              <w:t>其他政协事务支出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661.04</w:t>
            </w:r>
          </w:p>
        </w:tc>
        <w:tc>
          <w:tcPr>
            <w:tcW w:w="2551" w:type="dxa"/>
            <w:vAlign w:val="center"/>
          </w:tcPr>
          <w:p>
            <w:pPr>
              <w:pStyle w:val="15"/>
            </w:pPr>
            <w:r>
              <w:t>554.04</w:t>
            </w:r>
          </w:p>
        </w:tc>
        <w:tc>
          <w:tcPr>
            <w:tcW w:w="2551" w:type="dxa"/>
            <w:vAlign w:val="center"/>
          </w:tcPr>
          <w:p>
            <w:pPr>
              <w:pStyle w:val="15"/>
            </w:pPr>
            <w: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469.04</w:t>
            </w:r>
          </w:p>
        </w:tc>
        <w:tc>
          <w:tcPr>
            <w:tcW w:w="2551" w:type="dxa"/>
            <w:vAlign w:val="center"/>
          </w:tcPr>
          <w:p>
            <w:pPr>
              <w:pStyle w:val="11"/>
            </w:pPr>
            <w:r>
              <w:t>469.04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185.00</w:t>
            </w:r>
          </w:p>
        </w:tc>
        <w:tc>
          <w:tcPr>
            <w:tcW w:w="2551" w:type="dxa"/>
            <w:vAlign w:val="center"/>
          </w:tcPr>
          <w:p>
            <w:pPr>
              <w:pStyle w:val="11"/>
            </w:pPr>
            <w:r>
              <w:t>185.00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2.04</w:t>
            </w:r>
          </w:p>
        </w:tc>
        <w:tc>
          <w:tcPr>
            <w:tcW w:w="2551" w:type="dxa"/>
            <w:vAlign w:val="center"/>
          </w:tcPr>
          <w:p>
            <w:pPr>
              <w:pStyle w:val="11"/>
            </w:pPr>
            <w:r>
              <w:t>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107.00</w:t>
            </w:r>
          </w:p>
        </w:tc>
        <w:tc>
          <w:tcPr>
            <w:tcW w:w="2551" w:type="dxa"/>
            <w:vAlign w:val="center"/>
          </w:tcPr>
          <w:p>
            <w:pPr>
              <w:pStyle w:val="11"/>
            </w:pPr>
          </w:p>
        </w:tc>
        <w:tc>
          <w:tcPr>
            <w:tcW w:w="2551" w:type="dxa"/>
            <w:vAlign w:val="center"/>
          </w:tcPr>
          <w:p>
            <w:pPr>
              <w:pStyle w:val="11"/>
            </w:pPr>
            <w: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71.00</w:t>
            </w:r>
          </w:p>
        </w:tc>
        <w:tc>
          <w:tcPr>
            <w:tcW w:w="2381" w:type="dxa"/>
            <w:vAlign w:val="center"/>
          </w:tcPr>
          <w:p>
            <w:pPr>
              <w:pStyle w:val="15"/>
            </w:pPr>
            <w:r>
              <w:t>71.00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r>
              <w:t>55.00</w:t>
            </w:r>
          </w:p>
        </w:tc>
        <w:tc>
          <w:tcPr>
            <w:tcW w:w="2381" w:type="dxa"/>
            <w:vAlign w:val="center"/>
          </w:tcPr>
          <w:p>
            <w:pPr>
              <w:pStyle w:val="11"/>
            </w:pPr>
            <w:r>
              <w:t>55.00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中国人民政治协商会议无极县委员会办公室2024年部门预算信息公开情况说明</w:t>
      </w:r>
    </w:p>
    <w:p>
      <w:pPr>
        <w:jc w:val="center"/>
      </w:pPr>
      <w:r>
        <w:rPr>
          <w:rFonts w:ascii="方正小标宋_GBK" w:hAnsi="方正小标宋_GBK" w:eastAsia="方正小标宋_GBK" w:cs="方正小标宋_GBK"/>
          <w:color w:val="000000"/>
          <w:sz w:val="44"/>
        </w:rPr>
        <w:t>中国人民政治协商会议无极县委员会办公室2024年部门预算信息公开情况说明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按照《中华人民共和国预算法》、《地方预决算公开操作规程》和《关于进一步推进预算公开工作的实施意见》规定，现将中国人民政治协商会议无极县委员会办公室2024年部门预算公开如下：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ind w:firstLine="640" w:firstLineChars="200"/>
        <w:jc w:val="both"/>
        <w:rPr>
          <w:rFonts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1.</w:t>
      </w:r>
      <w:r>
        <w:rPr>
          <w:rFonts w:hint="eastAsia" w:ascii="仿宋" w:hAnsi="仿宋" w:eastAsia="仿宋" w:cs="宋体"/>
          <w:color w:val="000000"/>
          <w:sz w:val="32"/>
          <w:szCs w:val="32"/>
          <w:lang w:eastAsia="zh-CN"/>
        </w:rP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通过对县重大问题以及人民群众普遍关心的问题，开展调查研究，反映社情民意，以调研招待、提案等形式，向县委、县政府提出意见和建议。</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2.</w:t>
      </w:r>
      <w:r>
        <w:rPr>
          <w:rFonts w:hint="eastAsia" w:ascii="仿宋" w:hAnsi="仿宋" w:eastAsia="仿宋" w:cs="宋体"/>
          <w:color w:val="000000"/>
          <w:sz w:val="32"/>
          <w:szCs w:val="32"/>
          <w:lang w:eastAsia="zh-CN"/>
        </w:rPr>
        <w:t>负责政协党组会议、委员会议、主席会议、常务委员会会议会务工作和文字材料工作。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3.</w:t>
      </w:r>
      <w:r>
        <w:rPr>
          <w:rFonts w:hint="eastAsia" w:ascii="仿宋" w:hAnsi="仿宋" w:eastAsia="仿宋" w:cs="宋体"/>
          <w:color w:val="000000"/>
          <w:sz w:val="32"/>
          <w:szCs w:val="32"/>
          <w:lang w:eastAsia="zh-CN"/>
        </w:rPr>
        <w:t>负责承办县政协常务委员会、主席会议决定安排的委员视察、调研活动的组织和服务 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4.</w:t>
      </w:r>
      <w:r>
        <w:rPr>
          <w:rFonts w:hint="eastAsia" w:ascii="仿宋" w:hAnsi="仿宋" w:eastAsia="仿宋" w:cs="宋体"/>
          <w:color w:val="000000"/>
          <w:sz w:val="32"/>
          <w:szCs w:val="32"/>
          <w:lang w:eastAsia="zh-CN"/>
        </w:rPr>
        <w:t>负责政协无极县委员会全体会议、常务委员会会议决议、决定的具体组织实施工作。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5.</w:t>
      </w:r>
      <w:r>
        <w:rPr>
          <w:rFonts w:hint="eastAsia" w:ascii="仿宋" w:hAnsi="仿宋" w:eastAsia="仿宋" w:cs="宋体"/>
          <w:color w:val="000000"/>
          <w:sz w:val="32"/>
          <w:szCs w:val="32"/>
          <w:lang w:eastAsia="zh-CN"/>
        </w:rPr>
        <w:t>负责与县委、人大、政府有关部门及乡镇、政协各参加单位的联系、协商等工作；协调各专门委员会活动的组织工作。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6.</w:t>
      </w:r>
      <w:r>
        <w:rPr>
          <w:rFonts w:hint="eastAsia" w:ascii="仿宋" w:hAnsi="仿宋" w:eastAsia="仿宋" w:cs="宋体"/>
          <w:color w:val="000000"/>
          <w:sz w:val="32"/>
          <w:szCs w:val="32"/>
          <w:lang w:eastAsia="zh-CN"/>
        </w:rPr>
        <w:t>负责县政协机关保卫、保密、档案和人民群众来信来访工作；负责县政协机关后勤、财务和离退休人员服务工作。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7.</w:t>
      </w:r>
      <w:r>
        <w:rPr>
          <w:rFonts w:hint="eastAsia" w:ascii="仿宋" w:hAnsi="仿宋" w:eastAsia="仿宋" w:cs="宋体"/>
          <w:color w:val="000000"/>
          <w:sz w:val="32"/>
          <w:szCs w:val="32"/>
          <w:lang w:eastAsia="zh-CN"/>
        </w:rPr>
        <w:t>负责县政协的对外联谊接待工作。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8.</w:t>
      </w:r>
      <w:r>
        <w:rPr>
          <w:rFonts w:hint="eastAsia" w:ascii="仿宋" w:hAnsi="仿宋" w:eastAsia="仿宋" w:cs="宋体"/>
          <w:color w:val="000000"/>
          <w:sz w:val="32"/>
          <w:szCs w:val="32"/>
          <w:lang w:eastAsia="zh-CN"/>
        </w:rPr>
        <w:t>负责机关来文来电处理、信息宣传工作。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9.</w:t>
      </w:r>
      <w:r>
        <w:rPr>
          <w:rFonts w:hint="eastAsia" w:ascii="仿宋" w:hAnsi="仿宋" w:eastAsia="仿宋" w:cs="宋体"/>
          <w:color w:val="000000"/>
          <w:sz w:val="32"/>
          <w:szCs w:val="32"/>
          <w:lang w:eastAsia="zh-CN"/>
        </w:rPr>
        <w:t>负责县政协委员的学习、联络接待和来信来访工作。</w:t>
      </w:r>
    </w:p>
    <w:p>
      <w:pPr>
        <w:numPr>
          <w:ilvl w:val="0"/>
          <w:numId w:val="0"/>
        </w:numPr>
        <w:ind w:left="360" w:leftChars="0" w:firstLine="320" w:firstLineChars="100"/>
        <w:jc w:val="both"/>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10.</w:t>
      </w:r>
      <w:r>
        <w:rPr>
          <w:rFonts w:hint="eastAsia" w:ascii="仿宋" w:hAnsi="仿宋" w:eastAsia="仿宋" w:cs="宋体"/>
          <w:color w:val="000000"/>
          <w:sz w:val="32"/>
          <w:szCs w:val="32"/>
          <w:lang w:eastAsia="zh-CN"/>
        </w:rPr>
        <w:t>负责信息反馈和社情民意工作。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中国人民政治协商会议无极县委员会办公室本级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按照预算管理有关规定，目前部门预算的编制实行综合预算管理，即全部收入和支出都反映在预算中。中国人民政治协商会议无极县委员会办公室机关及所属事业单位的收支包含在部门预算中。</w:t>
      </w:r>
    </w:p>
    <w:p>
      <w:pPr>
        <w:pStyle w:val="18"/>
      </w:pPr>
      <w:r>
        <w:t>1、收入说明</w:t>
      </w:r>
    </w:p>
    <w:p>
      <w:pPr>
        <w:pStyle w:val="18"/>
      </w:pPr>
      <w:r>
        <w:t>反映本部门当年全部收入。2024年预算收入741.04万元，其中：一般公共预算收入741.04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人民政治协商会议无极县委员会办公室年度部门预算中支出预算的总体情况。2024年支出预算741.04万元，其中基本支出661.04万元，包括人员经费554.04万元和日常公用经费107.00万元；项目支出80.00万元，主要为2024年政协十四届四次全会资金50万，2024年李狄三红色文化工作专项经费15万，2024年“政协委员大讲堂”系列活动培训经费10万，2024年汇编印制《无极印谱》专项经费5万。</w:t>
      </w:r>
    </w:p>
    <w:p>
      <w:pPr>
        <w:pStyle w:val="18"/>
      </w:pPr>
      <w:r>
        <w:t>3、比上年增减情况</w:t>
      </w:r>
    </w:p>
    <w:p>
      <w:pPr>
        <w:pStyle w:val="18"/>
      </w:pPr>
      <w:r>
        <w:t>2024年预算收支安排741.04万元，较2023年预算减少4.46万元，其中：基本支出减少34.46万元，主要为基本支出减少34.46万元，主要为：人员经费减少34.46万元。项目支出增加30.00万元，主要为2024年李狄三红色文化工作专项经费15万，2024年“政协委员大讲堂”系列活动培训经费10万，2024年汇编印制《无极印谱》专项经费5万。</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30"/>
        <w:keepNext w:val="0"/>
        <w:keepLines w:val="0"/>
        <w:pageBreakBefore w:val="0"/>
        <w:widowControl/>
        <w:kinsoku/>
        <w:wordWrap/>
        <w:overflowPunct/>
        <w:topLinePunct w:val="0"/>
        <w:autoSpaceDE/>
        <w:autoSpaceDN/>
        <w:bidi w:val="0"/>
        <w:adjustRightInd/>
        <w:snapToGrid/>
        <w:spacing w:before="0" w:after="0" w:line="500" w:lineRule="exact"/>
        <w:ind w:firstLine="561"/>
        <w:textAlignment w:val="auto"/>
        <w:rPr>
          <w:rFonts w:hint="eastAsia" w:eastAsiaTheme="minorEastAsia"/>
          <w:color w:val="000000" w:themeColor="text1"/>
          <w:lang w:eastAsia="zh-CN"/>
        </w:rPr>
      </w:pPr>
      <w:r>
        <w:rPr>
          <w:rFonts w:hint="eastAsia" w:eastAsiaTheme="minorEastAsia"/>
          <w:color w:val="000000" w:themeColor="text1"/>
          <w:lang w:eastAsia="zh-CN"/>
        </w:rPr>
        <w:t>2024年我部门机关运行经费共计安排107万元，</w:t>
      </w:r>
      <w:r>
        <w:rPr>
          <w:rFonts w:hint="eastAsia"/>
          <w:lang w:val="en-US" w:eastAsia="zh-CN"/>
        </w:rPr>
        <w:t>主要用于日常维修、办公用房水电费、办公用房取暖。办公用房物业管理费等日常运行支出。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rFonts w:hint="eastAsia" w:eastAsiaTheme="minorEastAsia"/>
          <w:lang w:eastAsia="zh-CN"/>
        </w:rPr>
      </w:pPr>
      <w:r>
        <w:t>2024年，我部门财政拨款“三公”经费预算安排16.00万元，其中因公出国（境）费0.00万元；公务用车购置及运维费16.00万元（其中：公务用车购置费为0.00万元，公务用车运维费16.00万元)；公务接待费0.00万元。与2023年相比增加0.00万元，增减变化的主要原因是我</w:t>
      </w:r>
      <w:r>
        <w:rPr>
          <w:rFonts w:hint="eastAsia" w:eastAsiaTheme="minorEastAsia"/>
          <w:lang w:eastAsia="zh-CN"/>
        </w:rPr>
        <w:t>部门严格按照公务用车相关制度执行，厉行节俭，</w:t>
      </w:r>
      <w:r>
        <w:t>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  通过对县重大问题以及人民群众普遍关心的问题，开展调查研究，反映社情民意，以调研招待、提案等形式，向</w:t>
      </w:r>
      <w:r>
        <w:rPr>
          <w:rFonts w:hint="eastAsia"/>
          <w:lang w:eastAsia="zh-CN"/>
        </w:rPr>
        <w:t>县委、县政府</w:t>
      </w:r>
      <w:r>
        <w:t>提出意见和建议。</w:t>
      </w:r>
    </w:p>
    <w:p>
      <w:pPr>
        <w:pStyle w:val="21"/>
      </w:pPr>
      <w:r>
        <w:t>2024年，县政协及其常委会工作将以习近平新时代中国特色社会主义思想为指导，</w:t>
      </w:r>
      <w:r>
        <w:rPr>
          <w:rFonts w:hint="eastAsia"/>
          <w:lang w:eastAsia="zh-CN"/>
        </w:rPr>
        <w:t>深入学习贯彻党的二十大精神</w:t>
      </w:r>
      <w:r>
        <w:t>，县委十二届六次全会精神，全面贯彻落实中央和省市县委政协工作会议精神，聚焦无极高质量发展，围绕民生改善实事和社会治理难事，着力加强思想政治引领，着力增强协商议政实效，着力强化民主监督职能，着力凝聚广泛共识，充分发挥政协专门协商机构作用，为助推无极经济社会高质量发展作出新的更大贡献。</w:t>
      </w:r>
    </w:p>
    <w:p>
      <w:pPr>
        <w:pStyle w:val="21"/>
      </w:pPr>
      <w:r>
        <w:t>深学新思想，在强化政治引领上取得新成效。二、聚焦新部署，在助推无极高质量发展上作出新贡献。三、关注新热点，在增进民生福祉上展现新担当。四、把握新要求，在凝聚共识、汇聚力量上谱写新篇章。五、适应新时代，在加强自身建设上再上新台阶。</w:t>
      </w:r>
    </w:p>
    <w:p>
      <w:pPr>
        <w:spacing w:line="500" w:lineRule="exact"/>
        <w:ind w:firstLine="560"/>
      </w:pPr>
      <w:r>
        <w:rPr>
          <w:rFonts w:eastAsia="方正仿宋_GBK"/>
          <w:color w:val="000000"/>
          <w:sz w:val="28"/>
        </w:rPr>
        <w:t>（二）分项绩效目标</w:t>
      </w:r>
    </w:p>
    <w:p>
      <w:pPr>
        <w:pStyle w:val="22"/>
      </w:pPr>
      <w:r>
        <w:t>完善会议制度，规范会议程序，提高会议质量。</w:t>
      </w:r>
    </w:p>
    <w:p>
      <w:pPr>
        <w:pStyle w:val="22"/>
      </w:pPr>
      <w:r>
        <w:t>绩效目标：保障会议顺利召开；保障委员履行职责。</w:t>
      </w:r>
    </w:p>
    <w:p>
      <w:pPr>
        <w:pStyle w:val="22"/>
      </w:pPr>
      <w:r>
        <w:t>绩效指标：会场安排、食宿安排完成率；收集整理委员提出的议案、建议和意见完成率95%以上。</w:t>
      </w:r>
    </w:p>
    <w:p>
      <w:pPr>
        <w:spacing w:line="500" w:lineRule="exact"/>
        <w:ind w:firstLine="560"/>
      </w:pPr>
      <w:r>
        <w:rPr>
          <w:rFonts w:eastAsia="方正仿宋_GBK"/>
          <w:color w:val="000000"/>
          <w:sz w:val="28"/>
        </w:rPr>
        <w:t>（三）工作保障措施</w:t>
      </w:r>
    </w:p>
    <w:p>
      <w:pPr>
        <w:pStyle w:val="23"/>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3"/>
      </w:pPr>
      <w:r>
        <w:t>加强支出管理。通过优化支出结构、编细编实预算、加快履行政府采购手续、尽快启动项目、及时支付资金、按规定及时下达资金等多种措施，确保支出进度达标。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加强宣传培训调研等。加强人员培训，提高本部门职工业务素质；加强调研，提出优化财政资金配置、提高资金使用效益的意见意见；加大宣传力度，强化预算绩效管理意识，促进预算绩效管理水平进一步提升。</w:t>
      </w:r>
      <w:bookmarkStart w:id="14" w:name="_Toc_3_3_0000000015"/>
    </w:p>
    <w:p>
      <w:pPr>
        <w:numPr>
          <w:ilvl w:val="0"/>
          <w:numId w:val="1"/>
        </w:num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spacing w:before="10" w:after="10" w:line="360" w:lineRule="auto"/>
        <w:ind w:firstLine="640"/>
        <w:outlineLvl w:val="2"/>
        <w:rPr>
          <w:rFonts w:hint="eastAsia" w:ascii="黑体" w:hAnsi="黑体" w:eastAsia="黑体" w:cs="黑体"/>
          <w:color w:val="000000"/>
          <w:sz w:val="32"/>
          <w:lang w:val="en-US" w:eastAsia="zh-CN"/>
        </w:rPr>
      </w:pPr>
      <w:bookmarkStart w:id="15" w:name="_Toc_3_3_0000000016"/>
      <w:r>
        <w:rPr>
          <w:rFonts w:hint="eastAsia" w:ascii="黑体" w:hAnsi="黑体" w:eastAsia="黑体" w:cs="黑体"/>
          <w:color w:val="000000"/>
          <w:sz w:val="32"/>
          <w:lang w:val="en-US" w:eastAsia="zh-CN"/>
        </w:rPr>
        <w:t>无。</w:t>
      </w: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1、2024年“政协委员大讲堂”系列活动培训经费绩效目标表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13013024P00003610100X</w:t>
            </w:r>
          </w:p>
        </w:tc>
        <w:tc>
          <w:tcPr>
            <w:tcW w:w="2835" w:type="dxa"/>
            <w:vAlign w:val="center"/>
          </w:tcPr>
          <w:p>
            <w:pPr>
              <w:pStyle w:val="10"/>
            </w:pPr>
            <w:r>
              <w:t>项目名称</w:t>
            </w:r>
          </w:p>
        </w:tc>
        <w:tc>
          <w:tcPr>
            <w:tcW w:w="6094" w:type="dxa"/>
            <w:gridSpan w:val="3"/>
            <w:vAlign w:val="center"/>
          </w:tcPr>
          <w:p>
            <w:pPr>
              <w:pStyle w:val="12"/>
            </w:pPr>
            <w:r>
              <w:t>2024年“政协委员大讲堂”系列活动培训经费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政协委员大讲堂系列活动培训经费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30"/>
        <w:gridCol w:w="3324"/>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330" w:type="dxa"/>
            <w:vAlign w:val="center"/>
          </w:tcPr>
          <w:p>
            <w:pPr>
              <w:pStyle w:val="10"/>
            </w:pPr>
            <w:r>
              <w:t>绩效指标描述</w:t>
            </w:r>
          </w:p>
        </w:tc>
        <w:tc>
          <w:tcPr>
            <w:tcW w:w="3324"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组织培训、会议次数（次）</w:t>
            </w:r>
          </w:p>
        </w:tc>
        <w:tc>
          <w:tcPr>
            <w:tcW w:w="4330" w:type="dxa"/>
            <w:vAlign w:val="center"/>
          </w:tcPr>
          <w:p>
            <w:pPr>
              <w:pStyle w:val="12"/>
            </w:pPr>
            <w:r>
              <w:t>组织培训、会议次数（次）</w:t>
            </w:r>
          </w:p>
        </w:tc>
        <w:tc>
          <w:tcPr>
            <w:tcW w:w="3324" w:type="dxa"/>
            <w:vAlign w:val="center"/>
          </w:tcPr>
          <w:p>
            <w:pPr>
              <w:pStyle w:val="12"/>
            </w:pPr>
            <w:r>
              <w:t>≥98组织培训、会议次数（次）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4330" w:type="dxa"/>
            <w:vAlign w:val="center"/>
          </w:tcPr>
          <w:p>
            <w:pPr>
              <w:pStyle w:val="12"/>
            </w:pPr>
            <w:r>
              <w:t>培训计划按期完成率（%）</w:t>
            </w:r>
          </w:p>
        </w:tc>
        <w:tc>
          <w:tcPr>
            <w:tcW w:w="3324" w:type="dxa"/>
            <w:vAlign w:val="center"/>
          </w:tcPr>
          <w:p>
            <w:pPr>
              <w:pStyle w:val="12"/>
            </w:pPr>
            <w:r>
              <w:t>≥98培训计划按期完成率（%）</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培训按时完成情况</w:t>
            </w:r>
          </w:p>
        </w:tc>
        <w:tc>
          <w:tcPr>
            <w:tcW w:w="4330" w:type="dxa"/>
            <w:vAlign w:val="center"/>
          </w:tcPr>
          <w:p>
            <w:pPr>
              <w:pStyle w:val="12"/>
            </w:pPr>
            <w:r>
              <w:t>培训按时完成情况</w:t>
            </w:r>
          </w:p>
        </w:tc>
        <w:tc>
          <w:tcPr>
            <w:tcW w:w="3324" w:type="dxa"/>
            <w:vAlign w:val="center"/>
          </w:tcPr>
          <w:p>
            <w:pPr>
              <w:pStyle w:val="12"/>
            </w:pPr>
            <w:r>
              <w:t>≥98培训按时完成情况</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培训费用</w:t>
            </w:r>
          </w:p>
        </w:tc>
        <w:tc>
          <w:tcPr>
            <w:tcW w:w="4330" w:type="dxa"/>
            <w:vAlign w:val="center"/>
          </w:tcPr>
          <w:p>
            <w:pPr>
              <w:pStyle w:val="12"/>
            </w:pPr>
            <w:r>
              <w:t>培训费用</w:t>
            </w:r>
          </w:p>
        </w:tc>
        <w:tc>
          <w:tcPr>
            <w:tcW w:w="3324" w:type="dxa"/>
            <w:vAlign w:val="center"/>
          </w:tcPr>
          <w:p>
            <w:pPr>
              <w:pStyle w:val="12"/>
            </w:pPr>
            <w:r>
              <w:t>≥98召开培训会议</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4330" w:type="dxa"/>
            <w:vAlign w:val="center"/>
          </w:tcPr>
          <w:p>
            <w:pPr>
              <w:pStyle w:val="12"/>
            </w:pPr>
            <w:r>
              <w:t>经济效益指标</w:t>
            </w:r>
          </w:p>
        </w:tc>
        <w:tc>
          <w:tcPr>
            <w:tcW w:w="3324" w:type="dxa"/>
            <w:vAlign w:val="center"/>
          </w:tcPr>
          <w:p>
            <w:pPr>
              <w:pStyle w:val="12"/>
            </w:pPr>
            <w:r>
              <w:t>≥98促进我县经济的发展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4330" w:type="dxa"/>
            <w:vAlign w:val="center"/>
          </w:tcPr>
          <w:p>
            <w:pPr>
              <w:pStyle w:val="12"/>
            </w:pPr>
            <w:r>
              <w:t>通过开展信息宣传工作，创造良好的舆论氛围，使政协工作得到广大受众的充分认可。</w:t>
            </w:r>
          </w:p>
        </w:tc>
        <w:tc>
          <w:tcPr>
            <w:tcW w:w="3324" w:type="dxa"/>
            <w:vAlign w:val="center"/>
          </w:tcPr>
          <w:p>
            <w:pPr>
              <w:pStyle w:val="12"/>
            </w:pPr>
            <w:r>
              <w:t>≥98通过开展信息宣传工作，创造良好的舆论氛围，使政协工作得到广大受众的充分认可。</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4330" w:type="dxa"/>
            <w:vAlign w:val="center"/>
          </w:tcPr>
          <w:p>
            <w:pPr>
              <w:pStyle w:val="12"/>
            </w:pPr>
            <w:r>
              <w:t>生态效益指标</w:t>
            </w:r>
          </w:p>
        </w:tc>
        <w:tc>
          <w:tcPr>
            <w:tcW w:w="3324" w:type="dxa"/>
            <w:vAlign w:val="center"/>
          </w:tcPr>
          <w:p>
            <w:pPr>
              <w:pStyle w:val="12"/>
            </w:pPr>
            <w:r>
              <w:t>≥98生态效益指标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4330" w:type="dxa"/>
            <w:vAlign w:val="center"/>
          </w:tcPr>
          <w:p>
            <w:pPr>
              <w:pStyle w:val="12"/>
            </w:pPr>
            <w:r>
              <w:t>任务计划完成率</w:t>
            </w:r>
          </w:p>
        </w:tc>
        <w:tc>
          <w:tcPr>
            <w:tcW w:w="3324" w:type="dxa"/>
            <w:vAlign w:val="center"/>
          </w:tcPr>
          <w:p>
            <w:pPr>
              <w:pStyle w:val="12"/>
            </w:pPr>
            <w:r>
              <w:t>≥98可持续影响</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330" w:type="dxa"/>
            <w:vAlign w:val="center"/>
          </w:tcPr>
          <w:p>
            <w:pPr>
              <w:pStyle w:val="12"/>
            </w:pPr>
            <w:r>
              <w:t>服务对象满意度</w:t>
            </w:r>
          </w:p>
        </w:tc>
        <w:tc>
          <w:tcPr>
            <w:tcW w:w="3324" w:type="dxa"/>
            <w:vAlign w:val="center"/>
          </w:tcPr>
          <w:p>
            <w:pPr>
              <w:pStyle w:val="12"/>
            </w:pPr>
            <w:r>
              <w:t>≥98服务对象满意</w:t>
            </w:r>
          </w:p>
        </w:tc>
        <w:tc>
          <w:tcPr>
            <w:tcW w:w="1276" w:type="dxa"/>
            <w:vAlign w:val="center"/>
          </w:tcPr>
          <w:p>
            <w:pPr>
              <w:pStyle w:val="12"/>
            </w:pPr>
            <w:r>
              <w:t>历年经验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2、2024年汇编印制《无极印谱》专项经费绩效目标表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13013024P00003610101H</w:t>
            </w:r>
          </w:p>
        </w:tc>
        <w:tc>
          <w:tcPr>
            <w:tcW w:w="2835" w:type="dxa"/>
            <w:vAlign w:val="center"/>
          </w:tcPr>
          <w:p>
            <w:pPr>
              <w:pStyle w:val="10"/>
            </w:pPr>
            <w:r>
              <w:t>项目名称</w:t>
            </w:r>
          </w:p>
        </w:tc>
        <w:tc>
          <w:tcPr>
            <w:tcW w:w="6094" w:type="dxa"/>
            <w:gridSpan w:val="3"/>
            <w:vAlign w:val="center"/>
          </w:tcPr>
          <w:p>
            <w:pPr>
              <w:pStyle w:val="12"/>
            </w:pPr>
            <w:r>
              <w:t>2024年汇编印制《无极印谱》专项经费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汇编印制《无极印谱》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编印数量</w:t>
            </w:r>
          </w:p>
        </w:tc>
        <w:tc>
          <w:tcPr>
            <w:tcW w:w="5386" w:type="dxa"/>
            <w:vAlign w:val="center"/>
          </w:tcPr>
          <w:p>
            <w:pPr>
              <w:pStyle w:val="12"/>
            </w:pPr>
            <w:r>
              <w:t>编印数量</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w:t>
            </w:r>
          </w:p>
        </w:tc>
        <w:tc>
          <w:tcPr>
            <w:tcW w:w="5386" w:type="dxa"/>
            <w:vAlign w:val="center"/>
          </w:tcPr>
          <w:p>
            <w:pPr>
              <w:pStyle w:val="12"/>
            </w:pPr>
            <w:r>
              <w:t>印制质量</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编印完成时限</w:t>
            </w:r>
          </w:p>
        </w:tc>
        <w:tc>
          <w:tcPr>
            <w:tcW w:w="5386" w:type="dxa"/>
            <w:vAlign w:val="center"/>
          </w:tcPr>
          <w:p>
            <w:pPr>
              <w:pStyle w:val="12"/>
            </w:pPr>
            <w:r>
              <w:t>编印完成时限</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编印费</w:t>
            </w:r>
          </w:p>
        </w:tc>
        <w:tc>
          <w:tcPr>
            <w:tcW w:w="5386" w:type="dxa"/>
            <w:vAlign w:val="center"/>
          </w:tcPr>
          <w:p>
            <w:pPr>
              <w:pStyle w:val="12"/>
            </w:pPr>
            <w:r>
              <w:t>编印费</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3、2024年李狄三红色文化工作专项经费绩效目标表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13013024P000036101025</w:t>
            </w:r>
          </w:p>
        </w:tc>
        <w:tc>
          <w:tcPr>
            <w:tcW w:w="2835" w:type="dxa"/>
            <w:vAlign w:val="center"/>
          </w:tcPr>
          <w:p>
            <w:pPr>
              <w:pStyle w:val="10"/>
            </w:pPr>
            <w:r>
              <w:t>项目名称</w:t>
            </w:r>
          </w:p>
        </w:tc>
        <w:tc>
          <w:tcPr>
            <w:tcW w:w="6094" w:type="dxa"/>
            <w:gridSpan w:val="3"/>
            <w:vAlign w:val="center"/>
          </w:tcPr>
          <w:p>
            <w:pPr>
              <w:pStyle w:val="12"/>
            </w:pPr>
            <w:r>
              <w:t>2024年李狄三红色文化工作专项经费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李狄三红色文化专项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1.李狄三红色文化工作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数据整理完成率</w:t>
            </w:r>
          </w:p>
        </w:tc>
        <w:tc>
          <w:tcPr>
            <w:tcW w:w="5386" w:type="dxa"/>
            <w:vAlign w:val="center"/>
          </w:tcPr>
          <w:p>
            <w:pPr>
              <w:pStyle w:val="12"/>
            </w:pPr>
            <w:r>
              <w:t>数据整理完成率</w:t>
            </w:r>
          </w:p>
        </w:tc>
        <w:tc>
          <w:tcPr>
            <w:tcW w:w="2268" w:type="dxa"/>
            <w:vAlign w:val="center"/>
          </w:tcPr>
          <w:p>
            <w:pPr>
              <w:pStyle w:val="12"/>
            </w:pPr>
            <w:r>
              <w:t>≥98考证、收集、整理、挖掘、编审、书号、印制李狄三红色文化资料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w:t>
            </w:r>
          </w:p>
        </w:tc>
        <w:tc>
          <w:tcPr>
            <w:tcW w:w="5386" w:type="dxa"/>
            <w:vAlign w:val="center"/>
          </w:tcPr>
          <w:p>
            <w:pPr>
              <w:pStyle w:val="12"/>
            </w:pPr>
            <w:r>
              <w:t>印制质量</w:t>
            </w:r>
          </w:p>
        </w:tc>
        <w:tc>
          <w:tcPr>
            <w:tcW w:w="2268" w:type="dxa"/>
            <w:vAlign w:val="center"/>
          </w:tcPr>
          <w:p>
            <w:pPr>
              <w:pStyle w:val="12"/>
            </w:pPr>
            <w:r>
              <w:t>≥98收集、整理、挖掘、编审、印制李狄三相关宣传报到资料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按时完成编制规划任务</w:t>
            </w:r>
          </w:p>
        </w:tc>
        <w:tc>
          <w:tcPr>
            <w:tcW w:w="5386" w:type="dxa"/>
            <w:vAlign w:val="center"/>
          </w:tcPr>
          <w:p>
            <w:pPr>
              <w:pStyle w:val="12"/>
            </w:pPr>
            <w:r>
              <w:t>按时完成编制任务</w:t>
            </w:r>
          </w:p>
        </w:tc>
        <w:tc>
          <w:tcPr>
            <w:tcW w:w="2268" w:type="dxa"/>
            <w:vAlign w:val="center"/>
          </w:tcPr>
          <w:p>
            <w:pPr>
              <w:pStyle w:val="12"/>
            </w:pPr>
            <w:r>
              <w:t>≥98按时完成编制任务</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≥98成本控制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≥98经济效益指标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≥98社会效益指标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≥98生态效益指标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≥98可持续性服务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≥98服务对象满意度</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4、2024年政协十四届四次全会绩效目标表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13013024P000036100990</w:t>
            </w:r>
          </w:p>
        </w:tc>
        <w:tc>
          <w:tcPr>
            <w:tcW w:w="2835" w:type="dxa"/>
            <w:vAlign w:val="center"/>
          </w:tcPr>
          <w:p>
            <w:pPr>
              <w:pStyle w:val="10"/>
            </w:pPr>
            <w:r>
              <w:t>项目名称</w:t>
            </w:r>
          </w:p>
        </w:tc>
        <w:tc>
          <w:tcPr>
            <w:tcW w:w="6094" w:type="dxa"/>
            <w:gridSpan w:val="3"/>
            <w:vAlign w:val="center"/>
          </w:tcPr>
          <w:p>
            <w:pPr>
              <w:pStyle w:val="12"/>
            </w:pPr>
            <w:r>
              <w:t>2024年政协十四届四次全会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2024年政协十四届四次全会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1.2024年政协十四届四次全会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14"/>
        <w:gridCol w:w="4340"/>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314" w:type="dxa"/>
            <w:vAlign w:val="center"/>
          </w:tcPr>
          <w:p>
            <w:pPr>
              <w:pStyle w:val="10"/>
            </w:pPr>
            <w:r>
              <w:t>绩效指标描述</w:t>
            </w:r>
          </w:p>
        </w:tc>
        <w:tc>
          <w:tcPr>
            <w:tcW w:w="4340"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召开会议次数</w:t>
            </w:r>
          </w:p>
        </w:tc>
        <w:tc>
          <w:tcPr>
            <w:tcW w:w="3314" w:type="dxa"/>
            <w:vAlign w:val="center"/>
          </w:tcPr>
          <w:p>
            <w:pPr>
              <w:pStyle w:val="12"/>
            </w:pPr>
            <w:r>
              <w:t>召开会议次数</w:t>
            </w:r>
          </w:p>
        </w:tc>
        <w:tc>
          <w:tcPr>
            <w:tcW w:w="4340" w:type="dxa"/>
            <w:vAlign w:val="center"/>
          </w:tcPr>
          <w:p>
            <w:pPr>
              <w:pStyle w:val="12"/>
            </w:pPr>
            <w:r>
              <w:t>≥98就大方针政策以及政治、、经济、文化、和生态文明中的重要问题，在决策前进行协商和就决策执行过程中的重要问题进行协商。</w:t>
            </w:r>
          </w:p>
        </w:tc>
        <w:tc>
          <w:tcPr>
            <w:tcW w:w="1276" w:type="dxa"/>
            <w:vAlign w:val="center"/>
          </w:tcPr>
          <w:p>
            <w:pPr>
              <w:pStyle w:val="12"/>
            </w:pPr>
            <w:r>
              <w:t>上级文件精神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推进政党协商制度建设工作完成率</w:t>
            </w:r>
          </w:p>
        </w:tc>
        <w:tc>
          <w:tcPr>
            <w:tcW w:w="3314" w:type="dxa"/>
            <w:vAlign w:val="center"/>
          </w:tcPr>
          <w:p>
            <w:pPr>
              <w:pStyle w:val="12"/>
            </w:pPr>
            <w:r>
              <w:t>推进政党协商制度建设工作完成率</w:t>
            </w:r>
          </w:p>
        </w:tc>
        <w:tc>
          <w:tcPr>
            <w:tcW w:w="4340" w:type="dxa"/>
            <w:vAlign w:val="center"/>
          </w:tcPr>
          <w:p>
            <w:pPr>
              <w:pStyle w:val="12"/>
            </w:pPr>
            <w:r>
              <w:t>≥98围绕县委、县政府中心工作</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会议组织情况</w:t>
            </w:r>
          </w:p>
        </w:tc>
        <w:tc>
          <w:tcPr>
            <w:tcW w:w="3314" w:type="dxa"/>
            <w:vAlign w:val="center"/>
          </w:tcPr>
          <w:p>
            <w:pPr>
              <w:pStyle w:val="12"/>
            </w:pPr>
            <w:r>
              <w:t>会议组织情况</w:t>
            </w:r>
          </w:p>
        </w:tc>
        <w:tc>
          <w:tcPr>
            <w:tcW w:w="4340" w:type="dxa"/>
            <w:vAlign w:val="center"/>
          </w:tcPr>
          <w:p>
            <w:pPr>
              <w:pStyle w:val="12"/>
            </w:pPr>
            <w:r>
              <w:t>≥98会议是人民政协履行职能的主要形式，是开展工作的主体，是委员履行自身职责的主要途径。</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会议人均成本</w:t>
            </w:r>
          </w:p>
        </w:tc>
        <w:tc>
          <w:tcPr>
            <w:tcW w:w="3314" w:type="dxa"/>
            <w:vAlign w:val="center"/>
          </w:tcPr>
          <w:p>
            <w:pPr>
              <w:pStyle w:val="12"/>
            </w:pPr>
            <w:r>
              <w:t>会议人均成本</w:t>
            </w:r>
          </w:p>
        </w:tc>
        <w:tc>
          <w:tcPr>
            <w:tcW w:w="4340" w:type="dxa"/>
            <w:vAlign w:val="center"/>
          </w:tcPr>
          <w:p>
            <w:pPr>
              <w:pStyle w:val="12"/>
            </w:pPr>
            <w:r>
              <w:t>≥98召开各种常委会、主席会、专委会议</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3314" w:type="dxa"/>
            <w:vAlign w:val="center"/>
          </w:tcPr>
          <w:p>
            <w:pPr>
              <w:pStyle w:val="12"/>
            </w:pPr>
            <w:r>
              <w:t>经济效益指标</w:t>
            </w:r>
          </w:p>
        </w:tc>
        <w:tc>
          <w:tcPr>
            <w:tcW w:w="4340" w:type="dxa"/>
            <w:vAlign w:val="center"/>
          </w:tcPr>
          <w:p>
            <w:pPr>
              <w:pStyle w:val="12"/>
            </w:pPr>
            <w:r>
              <w:t>≥98促进我县经济的发展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3314" w:type="dxa"/>
            <w:vAlign w:val="center"/>
          </w:tcPr>
          <w:p>
            <w:pPr>
              <w:pStyle w:val="12"/>
            </w:pPr>
            <w:r>
              <w:t>社会效益指标</w:t>
            </w:r>
          </w:p>
        </w:tc>
        <w:tc>
          <w:tcPr>
            <w:tcW w:w="4340" w:type="dxa"/>
            <w:vAlign w:val="center"/>
          </w:tcPr>
          <w:p>
            <w:pPr>
              <w:pStyle w:val="12"/>
            </w:pPr>
            <w:r>
              <w:t>≥98政策建议采纳</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3314" w:type="dxa"/>
            <w:vAlign w:val="center"/>
          </w:tcPr>
          <w:p>
            <w:pPr>
              <w:pStyle w:val="12"/>
            </w:pPr>
            <w:r>
              <w:t>生态效益指标</w:t>
            </w:r>
          </w:p>
        </w:tc>
        <w:tc>
          <w:tcPr>
            <w:tcW w:w="4340" w:type="dxa"/>
            <w:vAlign w:val="center"/>
          </w:tcPr>
          <w:p>
            <w:pPr>
              <w:pStyle w:val="12"/>
            </w:pPr>
            <w:r>
              <w:t>≥98营造良好的生态环境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党员参政议政、建言献策的比例</w:t>
            </w:r>
          </w:p>
        </w:tc>
        <w:tc>
          <w:tcPr>
            <w:tcW w:w="3314" w:type="dxa"/>
            <w:vAlign w:val="center"/>
          </w:tcPr>
          <w:p>
            <w:pPr>
              <w:pStyle w:val="12"/>
            </w:pPr>
            <w:r>
              <w:t>党员参政议政、建言献策的比例</w:t>
            </w:r>
          </w:p>
        </w:tc>
        <w:tc>
          <w:tcPr>
            <w:tcW w:w="4340" w:type="dxa"/>
            <w:vAlign w:val="center"/>
          </w:tcPr>
          <w:p>
            <w:pPr>
              <w:pStyle w:val="12"/>
            </w:pPr>
            <w:r>
              <w:t>≥98党员参政议政、建言献策的比例</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3314" w:type="dxa"/>
            <w:vAlign w:val="center"/>
          </w:tcPr>
          <w:p>
            <w:pPr>
              <w:pStyle w:val="12"/>
            </w:pPr>
            <w:r>
              <w:t>服务对象满意度指标</w:t>
            </w:r>
          </w:p>
        </w:tc>
        <w:tc>
          <w:tcPr>
            <w:tcW w:w="4340" w:type="dxa"/>
            <w:vAlign w:val="center"/>
          </w:tcPr>
          <w:p>
            <w:pPr>
              <w:pStyle w:val="12"/>
            </w:pPr>
            <w:r>
              <w:t>≥98服务对象满意度</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中国人民政治协商会议无极县委员会办公室（含所属单位）上年末固定资产金额为1394676.00万元（详见下表）。本年度拟购置固定资产总额为0.00万元，已按要求列入政府采购预算，详见政府采购预算表。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1394676.00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702201.00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446</w:t>
            </w:r>
          </w:p>
        </w:tc>
        <w:tc>
          <w:tcPr>
            <w:tcW w:w="2835" w:type="dxa"/>
            <w:vAlign w:val="center"/>
          </w:tcPr>
          <w:p>
            <w:pPr>
              <w:pStyle w:val="11"/>
            </w:pPr>
            <w:r>
              <w:t>692475.00</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26D5A"/>
    <w:multiLevelType w:val="singleLevel"/>
    <w:tmpl w:val="45D26D5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50E9C"/>
    <w:rsid w:val="00152B9C"/>
    <w:rsid w:val="008F4001"/>
    <w:rsid w:val="00D50E9C"/>
    <w:rsid w:val="1A9F5AEC"/>
    <w:rsid w:val="30E54C6F"/>
    <w:rsid w:val="37A5011B"/>
    <w:rsid w:val="383F59F4"/>
    <w:rsid w:val="39D16B65"/>
    <w:rsid w:val="3CD662DF"/>
    <w:rsid w:val="58271849"/>
    <w:rsid w:val="67470E33"/>
    <w:rsid w:val="74242C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customXml" Target="../customXml/item16.xml"/><Relationship Id="rId27" Type="http://schemas.openxmlformats.org/officeDocument/2006/relationships/customXml" Target="../customXml/item15.xml"/><Relationship Id="rId26" Type="http://schemas.openxmlformats.org/officeDocument/2006/relationships/customXml" Target="../customXml/item14.xml"/><Relationship Id="rId25" Type="http://schemas.openxmlformats.org/officeDocument/2006/relationships/customXml" Target="../customXml/item13.xml"/><Relationship Id="rId24" Type="http://schemas.openxmlformats.org/officeDocument/2006/relationships/customXml" Target="../customXml/item12.xml"/><Relationship Id="rId23" Type="http://schemas.openxmlformats.org/officeDocument/2006/relationships/customXml" Target="../customXml/item11.xml"/><Relationship Id="rId22" Type="http://schemas.openxmlformats.org/officeDocument/2006/relationships/customXml" Target="../customXml/item10.xml"/><Relationship Id="rId21" Type="http://schemas.openxmlformats.org/officeDocument/2006/relationships/customXml" Target="../customXml/item9.xml"/><Relationship Id="rId20" Type="http://schemas.openxmlformats.org/officeDocument/2006/relationships/customXml" Target="../customXml/item8.xml"/><Relationship Id="rId2" Type="http://schemas.openxmlformats.org/officeDocument/2006/relationships/settings" Target="settings.xml"/><Relationship Id="rId19" Type="http://schemas.openxmlformats.org/officeDocument/2006/relationships/customXml" Target="../customXml/item7.xml"/><Relationship Id="rId18" Type="http://schemas.openxmlformats.org/officeDocument/2006/relationships/customXml" Target="../customXml/item6.xml"/><Relationship Id="rId17" Type="http://schemas.openxmlformats.org/officeDocument/2006/relationships/customXml" Target="../customXml/item5.xml"/><Relationship Id="rId16" Type="http://schemas.openxmlformats.org/officeDocument/2006/relationships/customXml" Target="../customXml/item4.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2024-02-02T15:36:22Z</dcterms:created>
  <dcterms:modified xsi:type="dcterms:W3CDTF">2024-02-02T07:36:22Z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2024-02-02T15:36:21Z</dcterms:created>
  <dcterms:modified xsi:type="dcterms:W3CDTF">2024-02-02T07:36:21Z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2024-02-02T15:36:21Z</dcterms:created>
  <dcterms:modified xsi:type="dcterms:W3CDTF">2024-02-02T07:36:21Z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2024-02-02T15:36:20Z</dcterms:created>
  <dcterms:modified xsi:type="dcterms:W3CDTF">2024-02-02T07:36:19Z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2024-02-02T15:36:22Z</dcterms:created>
  <dcterms:modified xsi:type="dcterms:W3CDTF">2024-02-02T07:36:22Z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2024-02-02T15:36:22Z</dcterms:created>
  <dcterms:modified xsi:type="dcterms:W3CDTF">2024-02-02T07:36:22Z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2024-02-02T15:36:21Z</dcterms:created>
  <dcterms:modified xsi:type="dcterms:W3CDTF">2024-02-02T07:36:21Z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2024-02-02T15:36:21Z</dcterms:created>
  <dcterms:modified xsi:type="dcterms:W3CDTF">2024-02-02T07:36:21Z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17B80D5-B3DC-4E52-881D-458F6A4BB395}">
  <ds:schemaRefs/>
</ds:datastoreItem>
</file>

<file path=customXml/itemProps10.xml><?xml version="1.0" encoding="utf-8"?>
<ds:datastoreItem xmlns:ds="http://schemas.openxmlformats.org/officeDocument/2006/customXml" ds:itemID="{3C68DCF4-A63A-4671-92C3-6E6FE48F1788}">
  <ds:schemaRefs/>
</ds:datastoreItem>
</file>

<file path=customXml/itemProps11.xml><?xml version="1.0" encoding="utf-8"?>
<ds:datastoreItem xmlns:ds="http://schemas.openxmlformats.org/officeDocument/2006/customXml" ds:itemID="{E097CF85-186F-4695-A92A-D13773495EAA}">
  <ds:schemaRefs/>
</ds:datastoreItem>
</file>

<file path=customXml/itemProps12.xml><?xml version="1.0" encoding="utf-8"?>
<ds:datastoreItem xmlns:ds="http://schemas.openxmlformats.org/officeDocument/2006/customXml" ds:itemID="{1B89C41C-1397-4D12-91D0-DF1161A835AC}">
  <ds:schemaRefs/>
</ds:datastoreItem>
</file>

<file path=customXml/itemProps13.xml><?xml version="1.0" encoding="utf-8"?>
<ds:datastoreItem xmlns:ds="http://schemas.openxmlformats.org/officeDocument/2006/customXml" ds:itemID="{3293CF39-5E44-4173-B920-DE7CC06782E0}">
  <ds:schemaRefs/>
</ds:datastoreItem>
</file>

<file path=customXml/itemProps14.xml><?xml version="1.0" encoding="utf-8"?>
<ds:datastoreItem xmlns:ds="http://schemas.openxmlformats.org/officeDocument/2006/customXml" ds:itemID="{573C643D-8F86-40AB-A80B-4E33E0B87356}">
  <ds:schemaRefs/>
</ds:datastoreItem>
</file>

<file path=customXml/itemProps15.xml><?xml version="1.0" encoding="utf-8"?>
<ds:datastoreItem xmlns:ds="http://schemas.openxmlformats.org/officeDocument/2006/customXml" ds:itemID="{560612C6-21AC-4286-990B-8FFE3179ED29}">
  <ds:schemaRefs/>
</ds:datastoreItem>
</file>

<file path=customXml/itemProps16.xml><?xml version="1.0" encoding="utf-8"?>
<ds:datastoreItem xmlns:ds="http://schemas.openxmlformats.org/officeDocument/2006/customXml" ds:itemID="{157149C5-D6B8-45D6-86A4-EB47426747A1}">
  <ds:schemaRefs/>
</ds:datastoreItem>
</file>

<file path=customXml/itemProps2.xml><?xml version="1.0" encoding="utf-8"?>
<ds:datastoreItem xmlns:ds="http://schemas.openxmlformats.org/officeDocument/2006/customXml" ds:itemID="{F471A2E1-9432-4792-83A7-90C2A8060779}">
  <ds:schemaRefs/>
</ds:datastoreItem>
</file>

<file path=customXml/itemProps3.xml><?xml version="1.0" encoding="utf-8"?>
<ds:datastoreItem xmlns:ds="http://schemas.openxmlformats.org/officeDocument/2006/customXml" ds:itemID="{70F74276-AE06-4B1D-9648-566B539D953E}">
  <ds:schemaRefs/>
</ds:datastoreItem>
</file>

<file path=customXml/itemProps4.xml><?xml version="1.0" encoding="utf-8"?>
<ds:datastoreItem xmlns:ds="http://schemas.openxmlformats.org/officeDocument/2006/customXml" ds:itemID="{60715CBD-7284-4027-BDE7-D0D41C599E8D}">
  <ds:schemaRefs/>
</ds:datastoreItem>
</file>

<file path=customXml/itemProps5.xml><?xml version="1.0" encoding="utf-8"?>
<ds:datastoreItem xmlns:ds="http://schemas.openxmlformats.org/officeDocument/2006/customXml" ds:itemID="{F5A368A9-D141-4956-887D-55DCA9FADB88}">
  <ds:schemaRefs/>
</ds:datastoreItem>
</file>

<file path=customXml/itemProps6.xml><?xml version="1.0" encoding="utf-8"?>
<ds:datastoreItem xmlns:ds="http://schemas.openxmlformats.org/officeDocument/2006/customXml" ds:itemID="{720025F6-7D0A-4B8A-8428-566E9F6EAB83}">
  <ds:schemaRefs/>
</ds:datastoreItem>
</file>

<file path=customXml/itemProps7.xml><?xml version="1.0" encoding="utf-8"?>
<ds:datastoreItem xmlns:ds="http://schemas.openxmlformats.org/officeDocument/2006/customXml" ds:itemID="{3514070F-1291-4A13-9E6E-05352FF03FC1}">
  <ds:schemaRefs/>
</ds:datastoreItem>
</file>

<file path=customXml/itemProps8.xml><?xml version="1.0" encoding="utf-8"?>
<ds:datastoreItem xmlns:ds="http://schemas.openxmlformats.org/officeDocument/2006/customXml" ds:itemID="{E4CCE37C-EFE6-41A9-8343-DCD91ABD47AE}">
  <ds:schemaRefs/>
</ds:datastoreItem>
</file>

<file path=customXml/itemProps9.xml><?xml version="1.0" encoding="utf-8"?>
<ds:datastoreItem xmlns:ds="http://schemas.openxmlformats.org/officeDocument/2006/customXml" ds:itemID="{ACF0987C-9C36-48B9-8FE2-D867AD9F94D3}">
  <ds:schemaRefs/>
</ds:datastoreItem>
</file>

<file path=docProps/app.xml><?xml version="1.0" encoding="utf-8"?>
<Properties xmlns="http://schemas.openxmlformats.org/officeDocument/2006/extended-properties" xmlns:vt="http://schemas.openxmlformats.org/officeDocument/2006/docPropsVTypes">
  <Template>Normal.dotm</Template>
  <Company>微软公司</Company>
  <Pages>28</Pages>
  <Words>2085</Words>
  <Characters>11886</Characters>
  <Lines>99</Lines>
  <Paragraphs>27</Paragraphs>
  <TotalTime>3</TotalTime>
  <ScaleCrop>false</ScaleCrop>
  <LinksUpToDate>false</LinksUpToDate>
  <CharactersWithSpaces>13944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2024-02-02T15:36:00Z</dcterms:created>
  <dc:creator>Administrator</dc:creator>
  <cp:lastModifiedBy>Administrator</cp:lastModifiedBy>
  <dcterms:modified xsi:type="dcterms:W3CDTF">2024-06-20T16:05:27Z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DEB7317E8E814872B95B1FCEB217AD27</vt:lpwstr>
  </property>
</Properties>
</file>