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2024年部门预算信息公开目录</w:t>
      </w:r>
      <w:bookmarkStart w:id="20" w:name="_GoBack"/>
      <w:bookmarkEnd w:id="20"/>
    </w:p>
    <w:p>
      <w:pPr>
        <w:jc w:val="center"/>
      </w:pPr>
    </w:p>
    <w:p>
      <w:r>
        <w:rPr>
          <w:rFonts w:ascii="方正楷体_GBK" w:hAnsi="方正楷体_GBK" w:eastAsia="方正楷体_GBK" w:cs="方正楷体_GBK"/>
          <w:b/>
          <w:color w:val="000000"/>
          <w:sz w:val="28"/>
        </w:rPr>
        <w:t>部门预算公开表</w:t>
      </w:r>
    </w:p>
    <w:p>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13</w:t>
      </w:r>
      <w:r>
        <w:fldChar w:fldCharType="end"/>
      </w:r>
      <w:r>
        <w:fldChar w:fldCharType="end"/>
      </w:r>
    </w:p>
    <w:p>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933无极县高头回族乡人民政府</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1186.71</w:t>
            </w:r>
          </w:p>
        </w:tc>
        <w:tc>
          <w:tcPr>
            <w:tcW w:w="4535" w:type="dxa"/>
            <w:vAlign w:val="center"/>
          </w:tcPr>
          <w:p>
            <w:pPr>
              <w:pStyle w:val="12"/>
            </w:pPr>
            <w:r>
              <w:t>一、一般公共服务支出</w:t>
            </w:r>
          </w:p>
        </w:tc>
        <w:tc>
          <w:tcPr>
            <w:tcW w:w="2126" w:type="dxa"/>
            <w:vAlign w:val="center"/>
          </w:tcPr>
          <w:p>
            <w:pPr>
              <w:pStyle w:val="11"/>
            </w:pPr>
            <w:r>
              <w:t>892.71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1186.71</w:t>
            </w:r>
          </w:p>
        </w:tc>
        <w:tc>
          <w:tcPr>
            <w:tcW w:w="4535" w:type="dxa"/>
            <w:vAlign w:val="center"/>
          </w:tcPr>
          <w:p>
            <w:pPr>
              <w:pStyle w:val="14"/>
            </w:pPr>
            <w:r>
              <w:t>本年支出合计</w:t>
            </w:r>
          </w:p>
        </w:tc>
        <w:tc>
          <w:tcPr>
            <w:tcW w:w="2126" w:type="dxa"/>
            <w:vAlign w:val="center"/>
          </w:tcPr>
          <w:p>
            <w:pPr>
              <w:pStyle w:val="15"/>
            </w:pPr>
            <w:r>
              <w:t>1186.71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1186.71</w:t>
            </w:r>
          </w:p>
        </w:tc>
        <w:tc>
          <w:tcPr>
            <w:tcW w:w="4535" w:type="dxa"/>
            <w:vAlign w:val="center"/>
          </w:tcPr>
          <w:p>
            <w:pPr>
              <w:pStyle w:val="14"/>
            </w:pPr>
            <w:r>
              <w:t>支出总计</w:t>
            </w:r>
          </w:p>
        </w:tc>
        <w:tc>
          <w:tcPr>
            <w:tcW w:w="2126" w:type="dxa"/>
            <w:vAlign w:val="center"/>
          </w:tcPr>
          <w:p>
            <w:pPr>
              <w:pStyle w:val="15"/>
            </w:pPr>
            <w:r>
              <w:t>1186.71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933无极县高头回族乡人民政府</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1186.71</w:t>
            </w:r>
          </w:p>
        </w:tc>
        <w:tc>
          <w:tcPr>
            <w:tcW w:w="1134" w:type="dxa"/>
            <w:vAlign w:val="center"/>
          </w:tcPr>
          <w:p>
            <w:pPr>
              <w:pStyle w:val="15"/>
            </w:pPr>
            <w:r>
              <w:t>1186.71</w:t>
            </w:r>
          </w:p>
        </w:tc>
        <w:tc>
          <w:tcPr>
            <w:tcW w:w="1134" w:type="dxa"/>
            <w:vAlign w:val="center"/>
          </w:tcPr>
          <w:p>
            <w:pPr>
              <w:pStyle w:val="15"/>
            </w:pPr>
            <w:r>
              <w:t>1186.71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892.71</w:t>
            </w:r>
          </w:p>
        </w:tc>
        <w:tc>
          <w:tcPr>
            <w:tcW w:w="1134" w:type="dxa"/>
            <w:vAlign w:val="center"/>
          </w:tcPr>
          <w:p>
            <w:pPr>
              <w:pStyle w:val="11"/>
            </w:pPr>
            <w:r>
              <w:t>892.71</w:t>
            </w:r>
          </w:p>
        </w:tc>
        <w:tc>
          <w:tcPr>
            <w:tcW w:w="1134" w:type="dxa"/>
            <w:vAlign w:val="center"/>
          </w:tcPr>
          <w:p>
            <w:pPr>
              <w:pStyle w:val="11"/>
            </w:pPr>
            <w:r>
              <w:t>892.71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880.71</w:t>
            </w:r>
          </w:p>
        </w:tc>
        <w:tc>
          <w:tcPr>
            <w:tcW w:w="1134" w:type="dxa"/>
            <w:vAlign w:val="center"/>
          </w:tcPr>
          <w:p>
            <w:pPr>
              <w:pStyle w:val="11"/>
            </w:pPr>
            <w:r>
              <w:t>880.71</w:t>
            </w:r>
          </w:p>
        </w:tc>
        <w:tc>
          <w:tcPr>
            <w:tcW w:w="1134" w:type="dxa"/>
            <w:vAlign w:val="center"/>
          </w:tcPr>
          <w:p>
            <w:pPr>
              <w:pStyle w:val="11"/>
            </w:pPr>
            <w:r>
              <w:t>880.71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880.71</w:t>
            </w:r>
          </w:p>
        </w:tc>
        <w:tc>
          <w:tcPr>
            <w:tcW w:w="1134" w:type="dxa"/>
            <w:vAlign w:val="center"/>
          </w:tcPr>
          <w:p>
            <w:pPr>
              <w:pStyle w:val="11"/>
            </w:pPr>
            <w:r>
              <w:t>880.71</w:t>
            </w:r>
          </w:p>
        </w:tc>
        <w:tc>
          <w:tcPr>
            <w:tcW w:w="1134" w:type="dxa"/>
            <w:vAlign w:val="center"/>
          </w:tcPr>
          <w:p>
            <w:pPr>
              <w:pStyle w:val="11"/>
            </w:pPr>
            <w:r>
              <w:t>880.71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20123</w:t>
            </w:r>
          </w:p>
        </w:tc>
        <w:tc>
          <w:tcPr>
            <w:tcW w:w="1559" w:type="dxa"/>
            <w:vAlign w:val="center"/>
          </w:tcPr>
          <w:p>
            <w:pPr>
              <w:pStyle w:val="12"/>
            </w:pPr>
            <w:r>
              <w:t>民族事务</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2012399</w:t>
            </w:r>
          </w:p>
        </w:tc>
        <w:tc>
          <w:tcPr>
            <w:tcW w:w="1559" w:type="dxa"/>
            <w:vAlign w:val="center"/>
          </w:tcPr>
          <w:p>
            <w:pPr>
              <w:pStyle w:val="12"/>
            </w:pPr>
            <w:r>
              <w:t>其他民族事务支出</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152.00</w:t>
            </w:r>
          </w:p>
        </w:tc>
        <w:tc>
          <w:tcPr>
            <w:tcW w:w="1134" w:type="dxa"/>
            <w:vAlign w:val="center"/>
          </w:tcPr>
          <w:p>
            <w:pPr>
              <w:pStyle w:val="11"/>
            </w:pPr>
            <w:r>
              <w:t>152.00</w:t>
            </w:r>
          </w:p>
        </w:tc>
        <w:tc>
          <w:tcPr>
            <w:tcW w:w="1134" w:type="dxa"/>
            <w:vAlign w:val="center"/>
          </w:tcPr>
          <w:p>
            <w:pPr>
              <w:pStyle w:val="11"/>
            </w:pPr>
            <w:r>
              <w:t>152.00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152.00</w:t>
            </w:r>
          </w:p>
        </w:tc>
        <w:tc>
          <w:tcPr>
            <w:tcW w:w="1134" w:type="dxa"/>
            <w:vAlign w:val="center"/>
          </w:tcPr>
          <w:p>
            <w:pPr>
              <w:pStyle w:val="11"/>
            </w:pPr>
            <w:r>
              <w:t>152.00</w:t>
            </w:r>
          </w:p>
        </w:tc>
        <w:tc>
          <w:tcPr>
            <w:tcW w:w="1134" w:type="dxa"/>
            <w:vAlign w:val="center"/>
          </w:tcPr>
          <w:p>
            <w:pPr>
              <w:pStyle w:val="11"/>
            </w:pPr>
            <w:r>
              <w:t>152.00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57.00</w:t>
            </w:r>
          </w:p>
        </w:tc>
        <w:tc>
          <w:tcPr>
            <w:tcW w:w="1134" w:type="dxa"/>
            <w:vAlign w:val="center"/>
          </w:tcPr>
          <w:p>
            <w:pPr>
              <w:pStyle w:val="11"/>
            </w:pPr>
            <w:r>
              <w:t>57.00</w:t>
            </w:r>
          </w:p>
        </w:tc>
        <w:tc>
          <w:tcPr>
            <w:tcW w:w="1134" w:type="dxa"/>
            <w:vAlign w:val="center"/>
          </w:tcPr>
          <w:p>
            <w:pPr>
              <w:pStyle w:val="11"/>
            </w:pPr>
            <w:r>
              <w:t>57.00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57.00</w:t>
            </w:r>
          </w:p>
        </w:tc>
        <w:tc>
          <w:tcPr>
            <w:tcW w:w="1134" w:type="dxa"/>
            <w:vAlign w:val="center"/>
          </w:tcPr>
          <w:p>
            <w:pPr>
              <w:pStyle w:val="11"/>
            </w:pPr>
            <w:r>
              <w:t>57.00</w:t>
            </w:r>
          </w:p>
        </w:tc>
        <w:tc>
          <w:tcPr>
            <w:tcW w:w="1134" w:type="dxa"/>
            <w:vAlign w:val="center"/>
          </w:tcPr>
          <w:p>
            <w:pPr>
              <w:pStyle w:val="11"/>
            </w:pPr>
            <w:r>
              <w:t>57.00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57.00</w:t>
            </w:r>
          </w:p>
        </w:tc>
        <w:tc>
          <w:tcPr>
            <w:tcW w:w="1134" w:type="dxa"/>
            <w:vAlign w:val="center"/>
          </w:tcPr>
          <w:p>
            <w:pPr>
              <w:pStyle w:val="11"/>
            </w:pPr>
            <w:r>
              <w:t>57.00</w:t>
            </w:r>
          </w:p>
        </w:tc>
        <w:tc>
          <w:tcPr>
            <w:tcW w:w="1134" w:type="dxa"/>
            <w:vAlign w:val="center"/>
          </w:tcPr>
          <w:p>
            <w:pPr>
              <w:pStyle w:val="11"/>
            </w:pPr>
            <w:r>
              <w:t>57.00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85.00</w:t>
            </w:r>
          </w:p>
        </w:tc>
        <w:tc>
          <w:tcPr>
            <w:tcW w:w="1134" w:type="dxa"/>
            <w:vAlign w:val="center"/>
          </w:tcPr>
          <w:p>
            <w:pPr>
              <w:pStyle w:val="11"/>
            </w:pPr>
            <w:r>
              <w:t>85.00</w:t>
            </w:r>
          </w:p>
        </w:tc>
        <w:tc>
          <w:tcPr>
            <w:tcW w:w="1134" w:type="dxa"/>
            <w:vAlign w:val="center"/>
          </w:tcPr>
          <w:p>
            <w:pPr>
              <w:pStyle w:val="11"/>
            </w:pPr>
            <w:r>
              <w:t>85.00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22999</w:t>
            </w:r>
          </w:p>
        </w:tc>
        <w:tc>
          <w:tcPr>
            <w:tcW w:w="1559" w:type="dxa"/>
            <w:vAlign w:val="center"/>
          </w:tcPr>
          <w:p>
            <w:pPr>
              <w:pStyle w:val="12"/>
            </w:pPr>
            <w:r>
              <w:t>其他支出</w:t>
            </w:r>
          </w:p>
        </w:tc>
        <w:tc>
          <w:tcPr>
            <w:tcW w:w="1134" w:type="dxa"/>
            <w:vAlign w:val="center"/>
          </w:tcPr>
          <w:p>
            <w:pPr>
              <w:pStyle w:val="11"/>
            </w:pPr>
            <w:r>
              <w:t>85.00</w:t>
            </w:r>
          </w:p>
        </w:tc>
        <w:tc>
          <w:tcPr>
            <w:tcW w:w="1134" w:type="dxa"/>
            <w:vAlign w:val="center"/>
          </w:tcPr>
          <w:p>
            <w:pPr>
              <w:pStyle w:val="11"/>
            </w:pPr>
            <w:r>
              <w:t>85.00</w:t>
            </w:r>
          </w:p>
        </w:tc>
        <w:tc>
          <w:tcPr>
            <w:tcW w:w="1134" w:type="dxa"/>
            <w:vAlign w:val="center"/>
          </w:tcPr>
          <w:p>
            <w:pPr>
              <w:pStyle w:val="11"/>
            </w:pPr>
            <w:r>
              <w:t>85.00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2299999</w:t>
            </w:r>
          </w:p>
        </w:tc>
        <w:tc>
          <w:tcPr>
            <w:tcW w:w="1559" w:type="dxa"/>
            <w:vAlign w:val="center"/>
          </w:tcPr>
          <w:p>
            <w:pPr>
              <w:pStyle w:val="12"/>
            </w:pPr>
            <w:r>
              <w:t>其他支出</w:t>
            </w:r>
          </w:p>
        </w:tc>
        <w:tc>
          <w:tcPr>
            <w:tcW w:w="1134" w:type="dxa"/>
            <w:vAlign w:val="center"/>
          </w:tcPr>
          <w:p>
            <w:pPr>
              <w:pStyle w:val="11"/>
            </w:pPr>
            <w:r>
              <w:t>85.00</w:t>
            </w:r>
          </w:p>
        </w:tc>
        <w:tc>
          <w:tcPr>
            <w:tcW w:w="1134" w:type="dxa"/>
            <w:vAlign w:val="center"/>
          </w:tcPr>
          <w:p>
            <w:pPr>
              <w:pStyle w:val="11"/>
            </w:pPr>
            <w:r>
              <w:t>85.00</w:t>
            </w:r>
          </w:p>
        </w:tc>
        <w:tc>
          <w:tcPr>
            <w:tcW w:w="1134" w:type="dxa"/>
            <w:vAlign w:val="center"/>
          </w:tcPr>
          <w:p>
            <w:pPr>
              <w:pStyle w:val="11"/>
            </w:pPr>
            <w:r>
              <w:t>85.00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933无极县高头回族乡人民政府</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1186.71</w:t>
            </w:r>
          </w:p>
        </w:tc>
        <w:tc>
          <w:tcPr>
            <w:tcW w:w="1361" w:type="dxa"/>
            <w:vAlign w:val="center"/>
          </w:tcPr>
          <w:p>
            <w:pPr>
              <w:pStyle w:val="15"/>
            </w:pPr>
            <w:r>
              <w:t>1089.71</w:t>
            </w:r>
          </w:p>
        </w:tc>
        <w:tc>
          <w:tcPr>
            <w:tcW w:w="1361" w:type="dxa"/>
            <w:vAlign w:val="center"/>
          </w:tcPr>
          <w:p>
            <w:pPr>
              <w:pStyle w:val="15"/>
            </w:pPr>
            <w:r>
              <w:t>97.00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892.71</w:t>
            </w:r>
          </w:p>
        </w:tc>
        <w:tc>
          <w:tcPr>
            <w:tcW w:w="1361" w:type="dxa"/>
            <w:vAlign w:val="center"/>
          </w:tcPr>
          <w:p>
            <w:pPr>
              <w:pStyle w:val="11"/>
            </w:pPr>
            <w:r>
              <w:t>880.71</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880.71</w:t>
            </w:r>
          </w:p>
        </w:tc>
        <w:tc>
          <w:tcPr>
            <w:tcW w:w="1361" w:type="dxa"/>
            <w:vAlign w:val="center"/>
          </w:tcPr>
          <w:p>
            <w:pPr>
              <w:pStyle w:val="11"/>
            </w:pPr>
            <w:r>
              <w:t>880.71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880.71</w:t>
            </w:r>
          </w:p>
        </w:tc>
        <w:tc>
          <w:tcPr>
            <w:tcW w:w="1361" w:type="dxa"/>
            <w:vAlign w:val="center"/>
          </w:tcPr>
          <w:p>
            <w:pPr>
              <w:pStyle w:val="11"/>
            </w:pPr>
            <w:r>
              <w:t>880.71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20123</w:t>
            </w:r>
          </w:p>
        </w:tc>
        <w:tc>
          <w:tcPr>
            <w:tcW w:w="4535" w:type="dxa"/>
            <w:vAlign w:val="center"/>
          </w:tcPr>
          <w:p>
            <w:pPr>
              <w:pStyle w:val="12"/>
            </w:pPr>
            <w:r>
              <w:t>民族事务</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2012399</w:t>
            </w:r>
          </w:p>
        </w:tc>
        <w:tc>
          <w:tcPr>
            <w:tcW w:w="4535" w:type="dxa"/>
            <w:vAlign w:val="center"/>
          </w:tcPr>
          <w:p>
            <w:pPr>
              <w:pStyle w:val="12"/>
            </w:pPr>
            <w:r>
              <w:t>其他民族事务支出</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152.00</w:t>
            </w:r>
          </w:p>
        </w:tc>
        <w:tc>
          <w:tcPr>
            <w:tcW w:w="1361" w:type="dxa"/>
            <w:vAlign w:val="center"/>
          </w:tcPr>
          <w:p>
            <w:pPr>
              <w:pStyle w:val="11"/>
            </w:pPr>
            <w:r>
              <w:t>152.00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152.00</w:t>
            </w:r>
          </w:p>
        </w:tc>
        <w:tc>
          <w:tcPr>
            <w:tcW w:w="1361" w:type="dxa"/>
            <w:vAlign w:val="center"/>
          </w:tcPr>
          <w:p>
            <w:pPr>
              <w:pStyle w:val="11"/>
            </w:pPr>
            <w:r>
              <w:t>152.00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130.00</w:t>
            </w: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22.00</w:t>
            </w:r>
          </w:p>
        </w:tc>
        <w:tc>
          <w:tcPr>
            <w:tcW w:w="1361" w:type="dxa"/>
            <w:vAlign w:val="center"/>
          </w:tcPr>
          <w:p>
            <w:pPr>
              <w:pStyle w:val="11"/>
            </w:pPr>
            <w:r>
              <w:t>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57.00</w:t>
            </w:r>
          </w:p>
        </w:tc>
        <w:tc>
          <w:tcPr>
            <w:tcW w:w="1361" w:type="dxa"/>
            <w:vAlign w:val="center"/>
          </w:tcPr>
          <w:p>
            <w:pPr>
              <w:pStyle w:val="11"/>
            </w:pPr>
            <w:r>
              <w:t>57.00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57.00</w:t>
            </w:r>
          </w:p>
        </w:tc>
        <w:tc>
          <w:tcPr>
            <w:tcW w:w="1361" w:type="dxa"/>
            <w:vAlign w:val="center"/>
          </w:tcPr>
          <w:p>
            <w:pPr>
              <w:pStyle w:val="11"/>
            </w:pPr>
            <w:r>
              <w:t>57.00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57.00</w:t>
            </w:r>
          </w:p>
        </w:tc>
        <w:tc>
          <w:tcPr>
            <w:tcW w:w="1361" w:type="dxa"/>
            <w:vAlign w:val="center"/>
          </w:tcPr>
          <w:p>
            <w:pPr>
              <w:pStyle w:val="11"/>
            </w:pPr>
            <w:r>
              <w:t>57.00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85.00</w:t>
            </w:r>
          </w:p>
        </w:tc>
        <w:tc>
          <w:tcPr>
            <w:tcW w:w="1361" w:type="dxa"/>
            <w:vAlign w:val="center"/>
          </w:tcPr>
          <w:p>
            <w:pPr>
              <w:pStyle w:val="11"/>
            </w:pPr>
          </w:p>
        </w:tc>
        <w:tc>
          <w:tcPr>
            <w:tcW w:w="1361" w:type="dxa"/>
            <w:vAlign w:val="center"/>
          </w:tcPr>
          <w:p>
            <w:pPr>
              <w:pStyle w:val="11"/>
            </w:pPr>
            <w:r>
              <w:t>85.00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22999</w:t>
            </w:r>
          </w:p>
        </w:tc>
        <w:tc>
          <w:tcPr>
            <w:tcW w:w="4535" w:type="dxa"/>
            <w:vAlign w:val="center"/>
          </w:tcPr>
          <w:p>
            <w:pPr>
              <w:pStyle w:val="12"/>
            </w:pPr>
            <w:r>
              <w:t>其他支出</w:t>
            </w:r>
          </w:p>
        </w:tc>
        <w:tc>
          <w:tcPr>
            <w:tcW w:w="1361" w:type="dxa"/>
            <w:vAlign w:val="center"/>
          </w:tcPr>
          <w:p>
            <w:pPr>
              <w:pStyle w:val="11"/>
            </w:pPr>
            <w:r>
              <w:t>85.00</w:t>
            </w:r>
          </w:p>
        </w:tc>
        <w:tc>
          <w:tcPr>
            <w:tcW w:w="1361" w:type="dxa"/>
            <w:vAlign w:val="center"/>
          </w:tcPr>
          <w:p>
            <w:pPr>
              <w:pStyle w:val="11"/>
            </w:pPr>
          </w:p>
        </w:tc>
        <w:tc>
          <w:tcPr>
            <w:tcW w:w="1361" w:type="dxa"/>
            <w:vAlign w:val="center"/>
          </w:tcPr>
          <w:p>
            <w:pPr>
              <w:pStyle w:val="11"/>
            </w:pPr>
            <w:r>
              <w:t>85.00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2299999</w:t>
            </w:r>
          </w:p>
        </w:tc>
        <w:tc>
          <w:tcPr>
            <w:tcW w:w="4535" w:type="dxa"/>
            <w:vAlign w:val="center"/>
          </w:tcPr>
          <w:p>
            <w:pPr>
              <w:pStyle w:val="12"/>
            </w:pPr>
            <w:r>
              <w:t>其他支出</w:t>
            </w:r>
          </w:p>
        </w:tc>
        <w:tc>
          <w:tcPr>
            <w:tcW w:w="1361" w:type="dxa"/>
            <w:vAlign w:val="center"/>
          </w:tcPr>
          <w:p>
            <w:pPr>
              <w:pStyle w:val="11"/>
            </w:pPr>
            <w:r>
              <w:t>85.00</w:t>
            </w:r>
          </w:p>
        </w:tc>
        <w:tc>
          <w:tcPr>
            <w:tcW w:w="1361" w:type="dxa"/>
            <w:vAlign w:val="center"/>
          </w:tcPr>
          <w:p>
            <w:pPr>
              <w:pStyle w:val="11"/>
            </w:pPr>
          </w:p>
        </w:tc>
        <w:tc>
          <w:tcPr>
            <w:tcW w:w="1361" w:type="dxa"/>
            <w:vAlign w:val="center"/>
          </w:tcPr>
          <w:p>
            <w:pPr>
              <w:pStyle w:val="11"/>
            </w:pPr>
            <w:r>
              <w:t>85.00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933无极县高头回族乡人民政府</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1186.71</w:t>
            </w:r>
          </w:p>
        </w:tc>
        <w:tc>
          <w:tcPr>
            <w:tcW w:w="3402" w:type="dxa"/>
            <w:vAlign w:val="center"/>
          </w:tcPr>
          <w:p>
            <w:pPr>
              <w:pStyle w:val="12"/>
            </w:pPr>
            <w:r>
              <w:t>一、一般公共服务支出</w:t>
            </w:r>
          </w:p>
        </w:tc>
        <w:tc>
          <w:tcPr>
            <w:tcW w:w="1474" w:type="dxa"/>
            <w:vAlign w:val="center"/>
          </w:tcPr>
          <w:p>
            <w:pPr>
              <w:pStyle w:val="11"/>
            </w:pPr>
            <w:r>
              <w:t>892.71</w:t>
            </w:r>
          </w:p>
        </w:tc>
        <w:tc>
          <w:tcPr>
            <w:tcW w:w="1474" w:type="dxa"/>
            <w:vAlign w:val="center"/>
          </w:tcPr>
          <w:p>
            <w:pPr>
              <w:pStyle w:val="11"/>
            </w:pPr>
            <w:r>
              <w:t>892.71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152.00</w:t>
            </w:r>
          </w:p>
        </w:tc>
        <w:tc>
          <w:tcPr>
            <w:tcW w:w="1474" w:type="dxa"/>
            <w:vAlign w:val="center"/>
          </w:tcPr>
          <w:p>
            <w:pPr>
              <w:pStyle w:val="11"/>
            </w:pPr>
            <w:r>
              <w:t>152.00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57.00</w:t>
            </w:r>
          </w:p>
        </w:tc>
        <w:tc>
          <w:tcPr>
            <w:tcW w:w="1474" w:type="dxa"/>
            <w:vAlign w:val="center"/>
          </w:tcPr>
          <w:p>
            <w:pPr>
              <w:pStyle w:val="11"/>
            </w:pPr>
            <w:r>
              <w:t>57.00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85.00</w:t>
            </w:r>
          </w:p>
        </w:tc>
        <w:tc>
          <w:tcPr>
            <w:tcW w:w="1474" w:type="dxa"/>
            <w:vAlign w:val="center"/>
          </w:tcPr>
          <w:p>
            <w:pPr>
              <w:pStyle w:val="11"/>
            </w:pPr>
            <w:r>
              <w:t>85.00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1186.71</w:t>
            </w:r>
          </w:p>
        </w:tc>
        <w:tc>
          <w:tcPr>
            <w:tcW w:w="3402" w:type="dxa"/>
            <w:vAlign w:val="center"/>
          </w:tcPr>
          <w:p>
            <w:pPr>
              <w:pStyle w:val="14"/>
            </w:pPr>
            <w:r>
              <w:t>本年支出合计</w:t>
            </w:r>
          </w:p>
        </w:tc>
        <w:tc>
          <w:tcPr>
            <w:tcW w:w="1474" w:type="dxa"/>
            <w:vAlign w:val="center"/>
          </w:tcPr>
          <w:p>
            <w:pPr>
              <w:pStyle w:val="15"/>
            </w:pPr>
            <w:r>
              <w:t>1186.71</w:t>
            </w:r>
          </w:p>
        </w:tc>
        <w:tc>
          <w:tcPr>
            <w:tcW w:w="1474" w:type="dxa"/>
            <w:vAlign w:val="center"/>
          </w:tcPr>
          <w:p>
            <w:pPr>
              <w:pStyle w:val="15"/>
            </w:pPr>
            <w:r>
              <w:t>1186.71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1186.71</w:t>
            </w:r>
          </w:p>
        </w:tc>
        <w:tc>
          <w:tcPr>
            <w:tcW w:w="3402" w:type="dxa"/>
            <w:vAlign w:val="center"/>
          </w:tcPr>
          <w:p>
            <w:pPr>
              <w:pStyle w:val="14"/>
            </w:pPr>
            <w:r>
              <w:t>支出总计</w:t>
            </w:r>
          </w:p>
        </w:tc>
        <w:tc>
          <w:tcPr>
            <w:tcW w:w="1474" w:type="dxa"/>
            <w:vAlign w:val="center"/>
          </w:tcPr>
          <w:p>
            <w:pPr>
              <w:pStyle w:val="15"/>
            </w:pPr>
            <w:r>
              <w:t>1186.71</w:t>
            </w:r>
          </w:p>
        </w:tc>
        <w:tc>
          <w:tcPr>
            <w:tcW w:w="1474" w:type="dxa"/>
            <w:vAlign w:val="center"/>
          </w:tcPr>
          <w:p>
            <w:pPr>
              <w:pStyle w:val="15"/>
            </w:pPr>
            <w:r>
              <w:t>1186.71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933无极县高头回族乡人民政府</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1186.71</w:t>
            </w:r>
          </w:p>
        </w:tc>
        <w:tc>
          <w:tcPr>
            <w:tcW w:w="2551" w:type="dxa"/>
            <w:vAlign w:val="center"/>
          </w:tcPr>
          <w:p>
            <w:pPr>
              <w:pStyle w:val="15"/>
            </w:pPr>
            <w:r>
              <w:t>1089.71</w:t>
            </w:r>
          </w:p>
        </w:tc>
        <w:tc>
          <w:tcPr>
            <w:tcW w:w="2551" w:type="dxa"/>
            <w:vAlign w:val="center"/>
          </w:tcPr>
          <w:p>
            <w:pPr>
              <w:pStyle w:val="15"/>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892.71</w:t>
            </w:r>
          </w:p>
        </w:tc>
        <w:tc>
          <w:tcPr>
            <w:tcW w:w="2551" w:type="dxa"/>
            <w:vAlign w:val="center"/>
          </w:tcPr>
          <w:p>
            <w:pPr>
              <w:pStyle w:val="11"/>
            </w:pPr>
            <w:r>
              <w:t>880.71</w:t>
            </w:r>
          </w:p>
        </w:tc>
        <w:tc>
          <w:tcPr>
            <w:tcW w:w="2551"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880.71</w:t>
            </w:r>
          </w:p>
        </w:tc>
        <w:tc>
          <w:tcPr>
            <w:tcW w:w="2551" w:type="dxa"/>
            <w:vAlign w:val="center"/>
          </w:tcPr>
          <w:p>
            <w:pPr>
              <w:pStyle w:val="11"/>
            </w:pPr>
            <w:r>
              <w:t>880.71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880.71</w:t>
            </w:r>
          </w:p>
        </w:tc>
        <w:tc>
          <w:tcPr>
            <w:tcW w:w="2551" w:type="dxa"/>
            <w:vAlign w:val="center"/>
          </w:tcPr>
          <w:p>
            <w:pPr>
              <w:pStyle w:val="11"/>
            </w:pPr>
            <w:r>
              <w:t>880.71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20123</w:t>
            </w:r>
          </w:p>
        </w:tc>
        <w:tc>
          <w:tcPr>
            <w:tcW w:w="4535" w:type="dxa"/>
            <w:vAlign w:val="center"/>
          </w:tcPr>
          <w:p>
            <w:pPr>
              <w:pStyle w:val="12"/>
            </w:pPr>
            <w:r>
              <w:t>民族事务</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2012399</w:t>
            </w:r>
          </w:p>
        </w:tc>
        <w:tc>
          <w:tcPr>
            <w:tcW w:w="4535" w:type="dxa"/>
            <w:vAlign w:val="center"/>
          </w:tcPr>
          <w:p>
            <w:pPr>
              <w:pStyle w:val="12"/>
            </w:pPr>
            <w:r>
              <w:t>其他民族事务支出</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152.00</w:t>
            </w:r>
          </w:p>
        </w:tc>
        <w:tc>
          <w:tcPr>
            <w:tcW w:w="2551" w:type="dxa"/>
            <w:vAlign w:val="center"/>
          </w:tcPr>
          <w:p>
            <w:pPr>
              <w:pStyle w:val="11"/>
            </w:pPr>
            <w:r>
              <w:t>152.00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152.00</w:t>
            </w:r>
          </w:p>
        </w:tc>
        <w:tc>
          <w:tcPr>
            <w:tcW w:w="2551" w:type="dxa"/>
            <w:vAlign w:val="center"/>
          </w:tcPr>
          <w:p>
            <w:pPr>
              <w:pStyle w:val="11"/>
            </w:pPr>
            <w:r>
              <w:t>152.00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130.00</w:t>
            </w:r>
          </w:p>
        </w:tc>
        <w:tc>
          <w:tcPr>
            <w:tcW w:w="2551" w:type="dxa"/>
            <w:vAlign w:val="center"/>
          </w:tcPr>
          <w:p>
            <w:pPr>
              <w:pStyle w:val="11"/>
            </w:pPr>
            <w:r>
              <w:t>130.00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22.00</w:t>
            </w:r>
          </w:p>
        </w:tc>
        <w:tc>
          <w:tcPr>
            <w:tcW w:w="2551" w:type="dxa"/>
            <w:vAlign w:val="center"/>
          </w:tcPr>
          <w:p>
            <w:pPr>
              <w:pStyle w:val="11"/>
            </w:pPr>
            <w:r>
              <w:t>22.00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57.00</w:t>
            </w:r>
          </w:p>
        </w:tc>
        <w:tc>
          <w:tcPr>
            <w:tcW w:w="2551" w:type="dxa"/>
            <w:vAlign w:val="center"/>
          </w:tcPr>
          <w:p>
            <w:pPr>
              <w:pStyle w:val="11"/>
            </w:pPr>
            <w:r>
              <w:t>57.00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57.00</w:t>
            </w:r>
          </w:p>
        </w:tc>
        <w:tc>
          <w:tcPr>
            <w:tcW w:w="2551" w:type="dxa"/>
            <w:vAlign w:val="center"/>
          </w:tcPr>
          <w:p>
            <w:pPr>
              <w:pStyle w:val="11"/>
            </w:pPr>
            <w:r>
              <w:t>57.00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57.00</w:t>
            </w:r>
          </w:p>
        </w:tc>
        <w:tc>
          <w:tcPr>
            <w:tcW w:w="2551" w:type="dxa"/>
            <w:vAlign w:val="center"/>
          </w:tcPr>
          <w:p>
            <w:pPr>
              <w:pStyle w:val="11"/>
            </w:pPr>
            <w:r>
              <w:t>57.00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85.00</w:t>
            </w:r>
          </w:p>
        </w:tc>
        <w:tc>
          <w:tcPr>
            <w:tcW w:w="2551" w:type="dxa"/>
            <w:vAlign w:val="center"/>
          </w:tcPr>
          <w:p>
            <w:pPr>
              <w:pStyle w:val="11"/>
            </w:pPr>
          </w:p>
        </w:tc>
        <w:tc>
          <w:tcPr>
            <w:tcW w:w="2551" w:type="dxa"/>
            <w:vAlign w:val="center"/>
          </w:tcPr>
          <w:p>
            <w:pPr>
              <w:pStyle w:val="11"/>
            </w:pPr>
            <w:r>
              <w:t>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22999</w:t>
            </w:r>
          </w:p>
        </w:tc>
        <w:tc>
          <w:tcPr>
            <w:tcW w:w="4535" w:type="dxa"/>
            <w:vAlign w:val="center"/>
          </w:tcPr>
          <w:p>
            <w:pPr>
              <w:pStyle w:val="12"/>
            </w:pPr>
            <w:r>
              <w:t>其他支出</w:t>
            </w:r>
          </w:p>
        </w:tc>
        <w:tc>
          <w:tcPr>
            <w:tcW w:w="2551" w:type="dxa"/>
            <w:vAlign w:val="center"/>
          </w:tcPr>
          <w:p>
            <w:pPr>
              <w:pStyle w:val="11"/>
            </w:pPr>
            <w:r>
              <w:t>85.00</w:t>
            </w:r>
          </w:p>
        </w:tc>
        <w:tc>
          <w:tcPr>
            <w:tcW w:w="2551" w:type="dxa"/>
            <w:vAlign w:val="center"/>
          </w:tcPr>
          <w:p>
            <w:pPr>
              <w:pStyle w:val="11"/>
            </w:pPr>
          </w:p>
        </w:tc>
        <w:tc>
          <w:tcPr>
            <w:tcW w:w="2551" w:type="dxa"/>
            <w:vAlign w:val="center"/>
          </w:tcPr>
          <w:p>
            <w:pPr>
              <w:pStyle w:val="11"/>
            </w:pPr>
            <w:r>
              <w:t>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2299999</w:t>
            </w:r>
          </w:p>
        </w:tc>
        <w:tc>
          <w:tcPr>
            <w:tcW w:w="4535" w:type="dxa"/>
            <w:vAlign w:val="center"/>
          </w:tcPr>
          <w:p>
            <w:pPr>
              <w:pStyle w:val="12"/>
            </w:pPr>
            <w:r>
              <w:t>其他支出</w:t>
            </w:r>
          </w:p>
        </w:tc>
        <w:tc>
          <w:tcPr>
            <w:tcW w:w="2551" w:type="dxa"/>
            <w:vAlign w:val="center"/>
          </w:tcPr>
          <w:p>
            <w:pPr>
              <w:pStyle w:val="11"/>
            </w:pPr>
            <w:r>
              <w:t>85.00</w:t>
            </w:r>
          </w:p>
        </w:tc>
        <w:tc>
          <w:tcPr>
            <w:tcW w:w="2551" w:type="dxa"/>
            <w:vAlign w:val="center"/>
          </w:tcPr>
          <w:p>
            <w:pPr>
              <w:pStyle w:val="11"/>
            </w:pPr>
          </w:p>
        </w:tc>
        <w:tc>
          <w:tcPr>
            <w:tcW w:w="2551" w:type="dxa"/>
            <w:vAlign w:val="center"/>
          </w:tcPr>
          <w:p>
            <w:pPr>
              <w:pStyle w:val="11"/>
            </w:pPr>
            <w:r>
              <w:t>85.00</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933无极县高头回族乡人民政府</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1089.71</w:t>
            </w:r>
          </w:p>
        </w:tc>
        <w:tc>
          <w:tcPr>
            <w:tcW w:w="2551" w:type="dxa"/>
            <w:vAlign w:val="center"/>
          </w:tcPr>
          <w:p>
            <w:pPr>
              <w:pStyle w:val="15"/>
            </w:pPr>
            <w:r>
              <w:t>903.21</w:t>
            </w:r>
          </w:p>
        </w:tc>
        <w:tc>
          <w:tcPr>
            <w:tcW w:w="2551" w:type="dxa"/>
            <w:vAlign w:val="center"/>
          </w:tcPr>
          <w:p>
            <w:pPr>
              <w:pStyle w:val="15"/>
            </w:pPr>
            <w:r>
              <w:t>186.50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870.23</w:t>
            </w:r>
          </w:p>
        </w:tc>
        <w:tc>
          <w:tcPr>
            <w:tcW w:w="2551" w:type="dxa"/>
            <w:vAlign w:val="center"/>
          </w:tcPr>
          <w:p>
            <w:pPr>
              <w:pStyle w:val="11"/>
            </w:pPr>
            <w:r>
              <w:t>870.23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233.00</w:t>
            </w:r>
          </w:p>
        </w:tc>
        <w:tc>
          <w:tcPr>
            <w:tcW w:w="2551" w:type="dxa"/>
            <w:vAlign w:val="center"/>
          </w:tcPr>
          <w:p>
            <w:pPr>
              <w:pStyle w:val="11"/>
            </w:pPr>
            <w:r>
              <w:t>233.00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140.03</w:t>
            </w:r>
          </w:p>
        </w:tc>
        <w:tc>
          <w:tcPr>
            <w:tcW w:w="2551" w:type="dxa"/>
            <w:vAlign w:val="center"/>
          </w:tcPr>
          <w:p>
            <w:pPr>
              <w:pStyle w:val="11"/>
            </w:pPr>
            <w:r>
              <w:t>140.03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85.70</w:t>
            </w:r>
          </w:p>
        </w:tc>
        <w:tc>
          <w:tcPr>
            <w:tcW w:w="2551" w:type="dxa"/>
            <w:vAlign w:val="center"/>
          </w:tcPr>
          <w:p>
            <w:pPr>
              <w:pStyle w:val="11"/>
            </w:pPr>
            <w:r>
              <w:t>85.70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92.00</w:t>
            </w:r>
          </w:p>
        </w:tc>
        <w:tc>
          <w:tcPr>
            <w:tcW w:w="2551" w:type="dxa"/>
            <w:vAlign w:val="center"/>
          </w:tcPr>
          <w:p>
            <w:pPr>
              <w:pStyle w:val="11"/>
            </w:pPr>
            <w:r>
              <w:t>92.00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130.00</w:t>
            </w:r>
          </w:p>
        </w:tc>
        <w:tc>
          <w:tcPr>
            <w:tcW w:w="2551" w:type="dxa"/>
            <w:vAlign w:val="center"/>
          </w:tcPr>
          <w:p>
            <w:pPr>
              <w:pStyle w:val="11"/>
            </w:pPr>
            <w:r>
              <w:t>130.00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22.00</w:t>
            </w:r>
          </w:p>
        </w:tc>
        <w:tc>
          <w:tcPr>
            <w:tcW w:w="2551" w:type="dxa"/>
            <w:vAlign w:val="center"/>
          </w:tcPr>
          <w:p>
            <w:pPr>
              <w:pStyle w:val="11"/>
            </w:pPr>
            <w:r>
              <w:t>22.00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57.00</w:t>
            </w:r>
          </w:p>
        </w:tc>
        <w:tc>
          <w:tcPr>
            <w:tcW w:w="2551" w:type="dxa"/>
            <w:vAlign w:val="center"/>
          </w:tcPr>
          <w:p>
            <w:pPr>
              <w:pStyle w:val="11"/>
            </w:pPr>
            <w:r>
              <w:t>57.00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4.50</w:t>
            </w:r>
          </w:p>
        </w:tc>
        <w:tc>
          <w:tcPr>
            <w:tcW w:w="2551" w:type="dxa"/>
            <w:vAlign w:val="center"/>
          </w:tcPr>
          <w:p>
            <w:pPr>
              <w:pStyle w:val="11"/>
            </w:pPr>
            <w:r>
              <w:t>4.50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106.00</w:t>
            </w:r>
          </w:p>
        </w:tc>
        <w:tc>
          <w:tcPr>
            <w:tcW w:w="2551" w:type="dxa"/>
            <w:vAlign w:val="center"/>
          </w:tcPr>
          <w:p>
            <w:pPr>
              <w:pStyle w:val="11"/>
            </w:pPr>
            <w:r>
              <w:t>106.00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186.50</w:t>
            </w:r>
          </w:p>
        </w:tc>
        <w:tc>
          <w:tcPr>
            <w:tcW w:w="2551" w:type="dxa"/>
            <w:vAlign w:val="center"/>
          </w:tcPr>
          <w:p>
            <w:pPr>
              <w:pStyle w:val="11"/>
            </w:pPr>
          </w:p>
        </w:tc>
        <w:tc>
          <w:tcPr>
            <w:tcW w:w="2551" w:type="dxa"/>
            <w:vAlign w:val="center"/>
          </w:tcPr>
          <w:p>
            <w:pPr>
              <w:pStyle w:val="11"/>
            </w:pPr>
            <w:r>
              <w:t>186.50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135.00</w:t>
            </w:r>
          </w:p>
        </w:tc>
        <w:tc>
          <w:tcPr>
            <w:tcW w:w="2551" w:type="dxa"/>
            <w:vAlign w:val="center"/>
          </w:tcPr>
          <w:p>
            <w:pPr>
              <w:pStyle w:val="11"/>
            </w:pPr>
          </w:p>
        </w:tc>
        <w:tc>
          <w:tcPr>
            <w:tcW w:w="2551" w:type="dxa"/>
            <w:vAlign w:val="center"/>
          </w:tcPr>
          <w:p>
            <w:pPr>
              <w:pStyle w:val="11"/>
            </w:pPr>
            <w:r>
              <w:t>135.00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13.50</w:t>
            </w:r>
          </w:p>
        </w:tc>
        <w:tc>
          <w:tcPr>
            <w:tcW w:w="2551" w:type="dxa"/>
            <w:vAlign w:val="center"/>
          </w:tcPr>
          <w:p>
            <w:pPr>
              <w:pStyle w:val="11"/>
            </w:pPr>
          </w:p>
        </w:tc>
        <w:tc>
          <w:tcPr>
            <w:tcW w:w="2551" w:type="dxa"/>
            <w:vAlign w:val="center"/>
          </w:tcPr>
          <w:p>
            <w:pPr>
              <w:pStyle w:val="11"/>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35.00</w:t>
            </w:r>
          </w:p>
        </w:tc>
        <w:tc>
          <w:tcPr>
            <w:tcW w:w="2551" w:type="dxa"/>
            <w:vAlign w:val="center"/>
          </w:tcPr>
          <w:p>
            <w:pPr>
              <w:pStyle w:val="11"/>
            </w:pPr>
          </w:p>
        </w:tc>
        <w:tc>
          <w:tcPr>
            <w:tcW w:w="2551" w:type="dxa"/>
            <w:vAlign w:val="center"/>
          </w:tcPr>
          <w:p>
            <w:pPr>
              <w:pStyle w:val="11"/>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32.98</w:t>
            </w:r>
          </w:p>
        </w:tc>
        <w:tc>
          <w:tcPr>
            <w:tcW w:w="2551" w:type="dxa"/>
            <w:vAlign w:val="center"/>
          </w:tcPr>
          <w:p>
            <w:pPr>
              <w:pStyle w:val="11"/>
            </w:pPr>
            <w:r>
              <w:t>32.98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32.98</w:t>
            </w:r>
          </w:p>
        </w:tc>
        <w:tc>
          <w:tcPr>
            <w:tcW w:w="2551" w:type="dxa"/>
            <w:vAlign w:val="center"/>
          </w:tcPr>
          <w:p>
            <w:pPr>
              <w:pStyle w:val="11"/>
            </w:pPr>
            <w:r>
              <w:t>32.98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933无极县高头回族乡人民政府</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933无极县高头回族乡人民政府</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933无极县高头回族乡人民政府</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无极县高头回族乡人民政府2024年部门预算信息公开情况说明</w:t>
      </w:r>
    </w:p>
    <w:p>
      <w:pPr>
        <w:jc w:val="center"/>
      </w:pPr>
      <w:r>
        <w:rPr>
          <w:rFonts w:ascii="方正小标宋_GBK" w:hAnsi="方正小标宋_GBK" w:eastAsia="方正小标宋_GBK" w:cs="方正小标宋_GBK"/>
          <w:color w:val="000000"/>
          <w:sz w:val="44"/>
        </w:rPr>
        <w:t>无极县高头回族乡人民政府2024年部门预算信息公开情况说明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按照《中华人民共和国预算法》、《地方预决算公开操作规程》和《关于进一步推进预算公开工作的实施意见》规定，现将无极县高头回族乡人民政府2024年部门预算公开如下：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30"/>
      </w:pPr>
      <w:r>
        <w:t>乡镇党委，政府要通过组织群众，宣传群众、教育群众、服务群众，切实贯彻落实党和国家在农村的各项方针政策和法律法规，执行本级人民代表大会的决议和上级行政机关的决定和命令，围绕农业、农村、农民搞好服务。</w:t>
      </w:r>
    </w:p>
    <w:p>
      <w:pPr>
        <w:pStyle w:val="30"/>
      </w:pPr>
      <w:r>
        <w:t>一是促进经济发展、增加农民收入。搞好本乡镇产业发展规划，引导农民立足自然资源和区位条件，发挥优势，大力发展区域特色经济，为农民提供政策、信息等服务，促进农民脱贫致富。加强工业经济管理，为招商引资营造良好环境，大力发展第二、第三产业，加快城镇化进程。配合民政商务和供销社等部门，培育和发展农村经济合作组织(各种协会及中介组织)；配合农口部门做好农业技术推广和服务工作。</w:t>
      </w:r>
    </w:p>
    <w:p>
      <w:pPr>
        <w:pStyle w:val="30"/>
      </w:pPr>
      <w:r>
        <w:t>二是加强社会管理，营建和谐社会。加强乡村财政资金监督管理、本村合同管及农民减负工作；做好乡镇统计、审计等工作、做好人口和计划生育管理工作及计划生育协会工作。推进农村民主政治建设和村民自治，加强农村基层组织建设，为实现公民在选举、决策、管理等方面的民主权利创造条件、加强农村精神文明建设和生态文明村建设，制定构建和谐社会的具体措施，并抓好组织实施。配合城建、国土资源部门做好镇村建设规划、保护耕地工作、配合安全生产监督管理部门做好安全生产管理工作。配合武装部做好征兵工作及民兵工作。配合环保部门做好保护环境、改善生态环境工作，提高资源利用率。配合交通部门完善道路硬化、加强公路养护。</w:t>
      </w:r>
    </w:p>
    <w:p>
      <w:pPr>
        <w:pStyle w:val="30"/>
      </w:pPr>
      <w:r>
        <w:t>三是强化公共服务，着力改善民生。组织乡村公共基础设施建设，配合数育、科技、文体、卫生等部门搞好九年义务教育，普及推广科学技术。丰富农村文化健身运动、推行和和完善新型合作医疗制度，提高参保率，加强农村食品安全监管。配合农口部门做好农业技术服务和技术推广以及动物防疫工作；加强农田水利基本建设，增强农业抗御自然灾害的能力。配合广播有线电视、电网改造工作，扩大通讯网络在农村的覆盖面。配合民政、残联部门做好农村扶贫和低保工作以及特困户救助和残疾人服务工作。配合人力资源和社会保障部门做好农村劳动力职业培训、劳动就业和社会保障工作。</w:t>
      </w:r>
    </w:p>
    <w:p>
      <w:pPr>
        <w:pStyle w:val="30"/>
      </w:pPr>
      <w:r>
        <w:t>四是维护农村稳定，做好社会治安综合治理工作。做好社会治安综合治理工作，正确指导农村治保和民兵连的工作、宣传贯彻国家法律、法规政策、增强农民法律意识，教育农民知法、懂法、守法。做好司法、宗教工作，打击邪教。做好群众来信来访、法律咨询、搞好农村矛盾纠纷排查调处。妥善处理突发性、群体性事件、维护社会稳定。协助司法机关打击各类刑事犯罪活动。</w:t>
      </w:r>
    </w:p>
    <w:p>
      <w:pPr>
        <w:pStyle w:val="17"/>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无极县高头回族乡人民政府本级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8"/>
      </w:pPr>
      <w:r>
        <w:t>按照预算管理有关规定，目前部门预算的编制实行综合预算管理，即全部收入和支出都反映在预算中。无极县高头回族乡人民政府机关及所属事业单位的收支包含在部门预算中。</w:t>
      </w:r>
    </w:p>
    <w:p>
      <w:pPr>
        <w:pStyle w:val="18"/>
      </w:pPr>
      <w:r>
        <w:t>1、收入说明</w:t>
      </w:r>
    </w:p>
    <w:p>
      <w:pPr>
        <w:pStyle w:val="18"/>
      </w:pPr>
      <w:r>
        <w:t>反映本部门当年全部收入。2024年预算收入1186.71万元，其中：一般公共预算收入1186.71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高头回族乡人民政府年度部门预算中支出预算的总体情况。2024年支出预算1186.71万元，其中基本支出1089.71万元，包括人员经费903.21万元和日常公用经费186.50万元；项目支出97.00万元，主要为2024年民族地区转移支付12万元、无极县高头回族乡革命老区小西门村道路硬化工程85万元。</w:t>
      </w:r>
    </w:p>
    <w:p>
      <w:pPr>
        <w:pStyle w:val="18"/>
      </w:pPr>
      <w:r>
        <w:t>3、比上年增减情况</w:t>
      </w:r>
    </w:p>
    <w:p>
      <w:pPr>
        <w:pStyle w:val="18"/>
      </w:pPr>
      <w:r>
        <w:t>2024年预算收支安排1186.71万元，较2023年预算减少337.14万元，其中：基本支出减少323.14万元，主要为厉行节约，减少开支。项目支出减少14.00万元，主要为项目工程量减少，开支减少。</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2024年，我部门机关运行经费共计安排186.50万元，主要用于日常维修、办公用房水电费、办公用房取暖费、办公用房物业管理费等日常运行支出。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2024年，我部门财政拨款“三公”经费预算安排3.00万元，其中因公出国（境）费0.00万元；公务用车购置及运维费3.00万元（其中：公务用车购置费为0.00万元，公务用车运维费3.00万元)；公务接待费0.00万元。与2023年相比增加0.00万元，增减变化的主要原因是无增减。</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1"/>
      </w:pPr>
      <w:r>
        <w:t>认真落实国家的方针、政策，稳步推进作风建设，加强对权利的监督和制约。严格依法行政，充分发挥对社会事务、综合事务与经济事务的管理职能，加强对本乡全体民众的政策引导，制定本乡的发展规划，为全乡人民提供公共服务。主动维护社会稳定与安全，积极构建和谐社会。按照无极</w:t>
      </w:r>
      <w:r>
        <w:rPr>
          <w:rFonts w:hint="eastAsia"/>
          <w:lang w:eastAsia="zh-CN"/>
        </w:rPr>
        <w:t>县委、县政府</w:t>
      </w:r>
      <w:r>
        <w:t>等上级机关关于乡镇各项工作安排，进一步推进新农村建设，加快农村基础设施建设，保护农业资源，进行自然生态建设。支持新型工业化发展和第三产业发展，招商引资，确保安全生产，同时做好环境污染综合防治。保障便民服务中心的正常运转，宣传并落实社会救助政策，保障义务教育、信访、安全维稳、党代会、人代会、纪检监察、党建、服务群众等各项工作正常开展。加强对财政收入管理，预算管理和财政资源配置管理，及时保障政府机关人员、村组干部补助经费的发放，按时兑付村民的地力补偿、退耕还林补助、五保、低保、民政优抚以及扶贫工作领域的各项资金。按时、按质、按量完成各项工作任务，确保高头回族乡的社会安全与稳定。</w:t>
      </w:r>
    </w:p>
    <w:p>
      <w:pPr>
        <w:spacing w:line="500" w:lineRule="exact"/>
        <w:ind w:firstLine="560"/>
      </w:pPr>
      <w:r>
        <w:rPr>
          <w:rFonts w:eastAsia="方正仿宋_GBK"/>
          <w:color w:val="000000"/>
          <w:sz w:val="28"/>
        </w:rPr>
        <w:t>（二）分项绩效目标</w:t>
      </w:r>
    </w:p>
    <w:p>
      <w:pPr>
        <w:pStyle w:val="22"/>
      </w:pPr>
    </w:p>
    <w:p>
      <w:pPr>
        <w:pStyle w:val="22"/>
      </w:pPr>
      <w:r>
        <w:rPr>
          <w:rFonts w:hint="eastAsia"/>
          <w:lang w:val="en-US" w:eastAsia="zh-CN"/>
        </w:rPr>
        <w:t>1、</w:t>
      </w:r>
      <w:r>
        <w:t>开展党风党纪教育，加强党内监督。</w:t>
      </w:r>
    </w:p>
    <w:p>
      <w:pPr>
        <w:pStyle w:val="22"/>
      </w:pPr>
      <w:r>
        <w:t>绩效目标：扎实开展党性党风党纪教育，宣传典型，弘扬正气和优良传统，推进廉洁文化建设，不断增强广大党员干部和企业的廉洁从政意识和拒腐防变能力。加强党内监督，严格落实民主集中制、“三重一大”集体决策制度和个人重大事项报告制度。</w:t>
      </w:r>
    </w:p>
    <w:p>
      <w:pPr>
        <w:pStyle w:val="22"/>
      </w:pPr>
      <w:r>
        <w:t>绩效指标：廉政教育与党内监督工作完成率95%以上。</w:t>
      </w:r>
    </w:p>
    <w:p>
      <w:pPr>
        <w:pStyle w:val="22"/>
      </w:pPr>
      <w:r>
        <w:rPr>
          <w:rFonts w:hint="eastAsia"/>
          <w:lang w:val="en-US" w:eastAsia="zh-CN"/>
        </w:rPr>
        <w:t>2、</w:t>
      </w:r>
      <w:r>
        <w:t>协调机关综合事务和乡镇综合业务，强化社会管理和公共服务，完成上级交办的各项任务。</w:t>
      </w:r>
    </w:p>
    <w:p>
      <w:pPr>
        <w:pStyle w:val="22"/>
      </w:pPr>
      <w:r>
        <w:t>绩效目标：改善硬件、软件水平，加强队伍和教育建设，加快信息化建设，保障机关工作正常高效运转，确保各项业务工作谋划到位、顺利开展。</w:t>
      </w:r>
    </w:p>
    <w:p>
      <w:pPr>
        <w:pStyle w:val="22"/>
      </w:pPr>
      <w:r>
        <w:t>绩效指标：公共服务工作完成率90%以上。</w:t>
      </w:r>
    </w:p>
    <w:p>
      <w:pPr>
        <w:pStyle w:val="22"/>
      </w:pPr>
      <w:r>
        <w:rPr>
          <w:rFonts w:hint="eastAsia"/>
          <w:lang w:val="en-US" w:eastAsia="zh-CN"/>
        </w:rPr>
        <w:t>3、</w:t>
      </w:r>
      <w:r>
        <w:t>乡镇的信息化建设和维护，平稳推进信访工作和新闻宣传工作。</w:t>
      </w:r>
    </w:p>
    <w:p>
      <w:pPr>
        <w:pStyle w:val="22"/>
      </w:pPr>
      <w:r>
        <w:t>绩效目标：确保新闻宣传工作正常开展，信息系统运行正常，机关基础设施运转良好，信访工作平稳。机关文书档案印信管理和保密，机关人事、离退休人员服务、基建、后勤服务。</w:t>
      </w:r>
    </w:p>
    <w:p>
      <w:pPr>
        <w:pStyle w:val="22"/>
      </w:pPr>
      <w:r>
        <w:t>绩效指标：综合事务管理工作完成率90%以上。</w:t>
      </w:r>
    </w:p>
    <w:p>
      <w:pPr>
        <w:pStyle w:val="22"/>
      </w:pPr>
      <w:r>
        <w:rPr>
          <w:rFonts w:hint="eastAsia"/>
          <w:lang w:val="en-US" w:eastAsia="zh-CN"/>
        </w:rPr>
        <w:t>4、</w:t>
      </w:r>
      <w:r>
        <w:t>指导、协调和督导各村村委、村干部排查与化解影响社会稳定的重大不稳定隐患、群体性事件和突发事件。</w:t>
      </w:r>
    </w:p>
    <w:p>
      <w:pPr>
        <w:pStyle w:val="22"/>
      </w:pPr>
      <w:r>
        <w:t>绩效目标：预防和减少不稳定因素的发生，有效化解不稳定隐患、群体性事件和突发事件，维护乡镇的安全与稳定。</w:t>
      </w:r>
    </w:p>
    <w:p>
      <w:pPr>
        <w:pStyle w:val="22"/>
      </w:pPr>
      <w:r>
        <w:t>绩效指标：妥善处置突发事件（件）占发生突发事件（件）的比例90%以上。</w:t>
      </w:r>
    </w:p>
    <w:p>
      <w:pPr>
        <w:pStyle w:val="22"/>
      </w:pPr>
      <w:r>
        <w:rPr>
          <w:rFonts w:hint="eastAsia"/>
          <w:lang w:val="en-US" w:eastAsia="zh-CN"/>
        </w:rPr>
        <w:t>5、</w:t>
      </w:r>
      <w:r>
        <w:t>按照统筹城乡发展的要求，组织实施农村面貌改造提升行动，加快社会主义新农村建设。</w:t>
      </w:r>
    </w:p>
    <w:p>
      <w:pPr>
        <w:pStyle w:val="22"/>
      </w:pPr>
      <w:r>
        <w:t>绩效目标：通过实施农村面貌改造提升行动，加快农村基础设施建设，改善农村环境面貌，提升农民生产生活条件。</w:t>
      </w:r>
    </w:p>
    <w:p>
      <w:pPr>
        <w:pStyle w:val="22"/>
      </w:pPr>
      <w:r>
        <w:t>绩效指标：改造提升完成率90%以上。</w:t>
      </w:r>
    </w:p>
    <w:p>
      <w:pPr>
        <w:pStyle w:val="22"/>
      </w:pPr>
      <w:r>
        <w:rPr>
          <w:rFonts w:hint="eastAsia"/>
          <w:lang w:val="en-US" w:eastAsia="zh-CN"/>
        </w:rPr>
        <w:t>6、</w:t>
      </w:r>
      <w:r>
        <w:t>承担社会救助体系建设，负责全镇居民最低生活保障、五保供养、医疗救助。</w:t>
      </w:r>
    </w:p>
    <w:p>
      <w:pPr>
        <w:pStyle w:val="22"/>
      </w:pPr>
      <w:r>
        <w:t>绩效目标：完善城乡社会救助制度，实施分类救助，应保尽保,动态管理。负责符合条件的城乡居民最低生活保障工作,负责农村五保户的集中供养和分散供养工作。</w:t>
      </w:r>
    </w:p>
    <w:p>
      <w:pPr>
        <w:pStyle w:val="22"/>
      </w:pPr>
      <w:r>
        <w:t>绩效指标：社会救助覆盖率95%以上。</w:t>
      </w:r>
    </w:p>
    <w:p>
      <w:pPr>
        <w:pStyle w:val="22"/>
      </w:pPr>
      <w:r>
        <w:rPr>
          <w:rFonts w:hint="eastAsia"/>
          <w:lang w:val="en-US" w:eastAsia="zh-CN"/>
        </w:rPr>
        <w:t>7、</w:t>
      </w:r>
      <w:r>
        <w:t>负责制定污染防治管理制度并组织实施，会同有关部门监督管理饮用水水源地环境保护。</w:t>
      </w:r>
    </w:p>
    <w:p>
      <w:pPr>
        <w:pStyle w:val="22"/>
      </w:pPr>
      <w:r>
        <w:t>绩效目标：加强大气、水体、机动车污染防治，加强固体废弃物、重金属等重点污染治理工程的防治工作。重点对PM、VOC、二氧化硫等大气污染物进行综合防治，推动乡镇环境空气质量改善。加强河流湖泊水污染防治、地下水污染防治、饮用水源保护、污染水体整治、水污染源监督管理、水污染防治和水环境保护工程。</w:t>
      </w:r>
    </w:p>
    <w:p>
      <w:pPr>
        <w:pStyle w:val="22"/>
      </w:pPr>
      <w:r>
        <w:t>绩效指标：污染治理覆盖率95%以上。</w:t>
      </w:r>
    </w:p>
    <w:p>
      <w:pPr>
        <w:pStyle w:val="22"/>
      </w:pPr>
      <w:r>
        <w:rPr>
          <w:rFonts w:hint="eastAsia"/>
          <w:lang w:val="en-US" w:eastAsia="zh-CN"/>
        </w:rPr>
        <w:t>8、</w:t>
      </w:r>
      <w:r>
        <w:t>强化生态保护和监察监管，提高自然保护区建设水平，加强生物多样性保护力度，提升农村生态环境质量</w:t>
      </w:r>
    </w:p>
    <w:p>
      <w:pPr>
        <w:pStyle w:val="22"/>
      </w:pPr>
      <w:r>
        <w:t>绩效目标：加强自然生态保护，解决影响群众生活和健康较为直接的饮用水安全、生活垃圾和污水治理、畜禽养殖污染治理防治等突出环境问题，改善环境重点、敏感区域的农村人居和生态环境质量。</w:t>
      </w:r>
    </w:p>
    <w:p>
      <w:pPr>
        <w:pStyle w:val="22"/>
      </w:pPr>
      <w:r>
        <w:t>绩效指标：上级城乡环境综合治理机关和群众满意度95%以上；聘请高头回族乡环境保洁人员业务培训1—2次；保障高头回族乡整体环境随时随地环保、干净、整洁。</w:t>
      </w:r>
    </w:p>
    <w:p>
      <w:pPr>
        <w:pStyle w:val="22"/>
      </w:pPr>
      <w:r>
        <w:rPr>
          <w:rFonts w:hint="eastAsia"/>
          <w:lang w:val="en-US" w:eastAsia="zh-CN"/>
        </w:rPr>
        <w:t>9、</w:t>
      </w:r>
      <w:r>
        <w:t>对食品制作流通各环节进行监管，及时发现和排除食品安全问题，确保大型活动期间的餐饮安全。</w:t>
      </w:r>
    </w:p>
    <w:p>
      <w:pPr>
        <w:pStyle w:val="22"/>
      </w:pPr>
      <w:r>
        <w:t>绩效目标：通过对食品各个环节的强力监管，及时发现食品监管中存在的问题，重点突出食品安全建设以及做好重大活动和暑期食品安全保障.</w:t>
      </w:r>
    </w:p>
    <w:p>
      <w:pPr>
        <w:pStyle w:val="22"/>
      </w:pPr>
      <w:r>
        <w:t>绩效指标：不定时进行执法检查，食品安全事故发生率≤5%</w:t>
      </w:r>
    </w:p>
    <w:p>
      <w:pPr>
        <w:pStyle w:val="22"/>
      </w:pPr>
      <w:r>
        <w:rPr>
          <w:rFonts w:hint="eastAsia"/>
          <w:lang w:val="en-US" w:eastAsia="zh-CN"/>
        </w:rPr>
        <w:t>10、</w:t>
      </w:r>
      <w:r>
        <w:t>按照可持续发展和建设生态农业的要求，保护农业资源，改善和保护农村环境。</w:t>
      </w:r>
    </w:p>
    <w:p>
      <w:pPr>
        <w:pStyle w:val="22"/>
      </w:pPr>
      <w:r>
        <w:t>绩效目标：组织开展农业统计，监测分析农业和农村经济运行，发布农业和农村经济信息，建设农业信息管理体系，指导农业信息服务。按照国家、省部署，组织开展职业教育和新型职业农民教育培训。</w:t>
      </w:r>
    </w:p>
    <w:p>
      <w:pPr>
        <w:pStyle w:val="22"/>
      </w:pPr>
      <w:r>
        <w:t>绩效指标：持续清理垃圾、治理污水、推进亮化工程，向社会主义新农村进一步迈进。</w:t>
      </w:r>
    </w:p>
    <w:p>
      <w:pPr>
        <w:pStyle w:val="22"/>
      </w:pPr>
      <w:r>
        <w:rPr>
          <w:rFonts w:hint="eastAsia"/>
          <w:lang w:val="en-US" w:eastAsia="zh-CN"/>
        </w:rPr>
        <w:t>11、</w:t>
      </w:r>
      <w:r>
        <w:t>严格执行财政法与财经制度，管理乡镇财政收入和支出，编制预算，合理配置财政资源。</w:t>
      </w:r>
    </w:p>
    <w:p>
      <w:pPr>
        <w:pStyle w:val="22"/>
      </w:pPr>
      <w:r>
        <w:t>绩效目标：贯彻国家税收政策，负责制定财政和预算收入计划，管理和监督各项财政收入；管理财政票据；研究制定完善的预算政策体系，提高预算管理的科学化水平。</w:t>
      </w:r>
    </w:p>
    <w:p>
      <w:pPr>
        <w:pStyle w:val="22"/>
      </w:pPr>
      <w:r>
        <w:t>绩效指标：按时、按量、按质保证各项经费的发放，保障乡镇各项工作的正常运转。</w:t>
      </w:r>
    </w:p>
    <w:p>
      <w:pPr>
        <w:spacing w:line="500" w:lineRule="exact"/>
        <w:ind w:firstLine="560"/>
      </w:pPr>
      <w:r>
        <w:rPr>
          <w:rFonts w:eastAsia="方正仿宋_GBK"/>
          <w:color w:val="000000"/>
          <w:sz w:val="28"/>
        </w:rPr>
        <w:t>（三）工作保障措施</w:t>
      </w:r>
    </w:p>
    <w:p>
      <w:pPr>
        <w:pStyle w:val="23"/>
      </w:pPr>
      <w:r>
        <w:rPr>
          <w:rFonts w:hint="eastAsia"/>
          <w:lang w:val="en-US" w:eastAsia="zh-CN"/>
        </w:rPr>
        <w:t>1、</w:t>
      </w:r>
      <w:r>
        <w:t>严把财务关</w:t>
      </w:r>
    </w:p>
    <w:p>
      <w:pPr>
        <w:pStyle w:val="23"/>
      </w:pPr>
      <w:r>
        <w:t>完善制度建设。加强乡镇财政预算管理，提高预算编制的完整性、科学性和统一性。细化预算编制，规范预算执行，健全预算执行机制，强化预算约束，切实增强预算的执行力和约束力，加大”村财镇管”、乡镇和村级债务管理，为全年预算绩效目标的实现奠定制度基础。</w:t>
      </w:r>
    </w:p>
    <w:p>
      <w:pPr>
        <w:pStyle w:val="23"/>
      </w:pPr>
      <w:r>
        <w:t>加强支出管理。通过优化支出结构、编细编实预算、加快履行政府采购手续、尽快启动项目、及时支付资金、6月底前细化代编预算、按规定及时下达资金等多种措施，确保支出进度达标。具体表现为：加强对人员经费的支出管理，足额安排人员经费预算，加强津补贴管理，严格人员经费动态管理，杜绝“吃空饷”和不符合政策规定的人员享受社会保障性补助。严格执行各项公用经费支出标准，在预算执行过程中不得随意调整预算或追加预算。</w:t>
      </w:r>
    </w:p>
    <w:p>
      <w:pPr>
        <w:pStyle w:val="23"/>
      </w:pPr>
      <w:r>
        <w:t>加强绩效运行监控。按要求开展绩效运行监控，发现问题及时采取措施，确保绩效目标如期保质实现。及时掌握项目绩效目标的完成情况、项目实施进程和资金支出进度。当绩效运行情况与预期绩效目标发生偏离时，及时采取措施予以纠正。预算执行过程中，因政策变化、突发事件等因素影响绩效目标实现，需要调整绩效目标的，要根据绩效目标管理的要求和审核流程，随预算一起调整。</w:t>
      </w:r>
    </w:p>
    <w:p>
      <w:pPr>
        <w:pStyle w:val="23"/>
      </w:pPr>
      <w:r>
        <w:t>做好绩效自评。按要求开展上年度部门预算绩效自评和重点评价工作，对评价中发现的问题及时整改，调整优化支出结构，提高财政资金使用效益。</w:t>
      </w:r>
    </w:p>
    <w:p>
      <w:pPr>
        <w:pStyle w:val="23"/>
      </w:pPr>
      <w:r>
        <w:t>规范财务资产管理。完善财务管理制度，严格审批程序，加强固定资产登记、使用和报废处置管理，做到支出合理，物尽其用。</w:t>
      </w:r>
    </w:p>
    <w:p>
      <w:pPr>
        <w:pStyle w:val="23"/>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3"/>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pStyle w:val="23"/>
      </w:pPr>
    </w:p>
    <w:p>
      <w:pPr>
        <w:pStyle w:val="23"/>
      </w:pPr>
      <w:r>
        <w:rPr>
          <w:rFonts w:hint="eastAsia"/>
          <w:lang w:val="en-US" w:eastAsia="zh-CN"/>
        </w:rPr>
        <w:t>2、</w:t>
      </w:r>
      <w:r>
        <w:t>加大招商引资力度，推进新型工业化。</w:t>
      </w:r>
    </w:p>
    <w:p>
      <w:pPr>
        <w:pStyle w:val="23"/>
      </w:pPr>
      <w:r>
        <w:t>实施“工业立乡”战略，继续优化投资环境，始终不渝地把发展工业作为今后我镇经济工作的重中之重，把扩大招商引资和发展民营经济作为经济工作的突破口，实现工业经济的跨越式发展。</w:t>
      </w:r>
    </w:p>
    <w:p>
      <w:pPr>
        <w:pStyle w:val="23"/>
      </w:pPr>
      <w:r>
        <w:t>一是要加大招商引资力度。牢固树立机遇、责任、大局和主体四个意识，广借外力，力求招商引资工作实现新突破。营造好凝聚人心的“人和”环境，使营里成为投资创业的热土。主要做好现有企业的经营管理，完善招商引资的软硬环境，加大招商引资工作力度，重点引进高效益、污染小的企业，增加财政税收。</w:t>
      </w:r>
    </w:p>
    <w:p>
      <w:pPr>
        <w:pStyle w:val="23"/>
      </w:pPr>
      <w:r>
        <w:t>二是要做大做强民营经济。重点扶持发展民营科技企业、外向型民营企业、吸纳下岗职工就业型的民营企业和从事农产品加工的民营企业。扶持发展一大批个体、民营经济，推动全乡第三产业的发展，繁荣我乡的经济。</w:t>
      </w:r>
    </w:p>
    <w:p>
      <w:pPr>
        <w:pStyle w:val="23"/>
      </w:pPr>
      <w:r>
        <w:rPr>
          <w:rFonts w:hint="eastAsia"/>
          <w:lang w:val="en-US" w:eastAsia="zh-CN"/>
        </w:rPr>
        <w:t>3、</w:t>
      </w:r>
      <w:r>
        <w:t>全力维护社会稳定，推进和谐社会建设。</w:t>
      </w:r>
    </w:p>
    <w:p>
      <w:pPr>
        <w:pStyle w:val="23"/>
      </w:pPr>
      <w:r>
        <w:t>全镇上下一定要牢固树立稳定压倒一切、稳定是第一责任的思想。要做好维稳工作，主要是抓好以下三个方面工作：一是要切实把信访工作作为维稳工作的一项重点来抓。加强信访和社会矛盾排查工作，扎实开展民生信访问题专项治理，积极解决人民群众最关心、最直接、最现实的利益问题，最大限度地增加和谐因素。严格落实好省征地拆迁“三条红线”的要求，严查损害群众利益的行为。建立健全和落实领导阅批群众来信制度、领导接访群众来访日制度、领导包案责任制度等，积极探索新形势下做好信访工作的新路子，把问题解决在萌芽状态。二是要加强社会治安综合治理。继续加大社会治安综合治理力度，深入开展平安建设活动，逐步建立社会治安综合治理工作中心，强化群防群治。建立健全社会治安防控体系和公共安全防控体系，坚持“严打”方针，抓住治安热点问题，适时开展专项整治活动，严厉打击各类刑事犯罪活动，坚决遏制“黄赌毒”，加强流动人口、出租屋管理工作，维护社会的公平与正义，积极创建“和谐乡村”活动，营造良好的生产生活环境。三是要抓好安全工作。建立全乡统一的应急指挥工作机制，增强应对处置突发事件的能力。积极抓好地质灾害防治，对存在较大安全隐患的农户实行移居。全乡干部群众都要树立安全责任意识，做好维护人民群众生命财产安全工作，要强化安全生产责任意识，正确处理好安全与发展、安全与效益的关系，要采取有效措施，定期对我镇范围内的生产企业进行安全生产检查，确保不出安全事故，实现安全生产与经济社会同步协调发展。</w:t>
      </w:r>
    </w:p>
    <w:p>
      <w:pPr>
        <w:pStyle w:val="23"/>
      </w:pPr>
      <w:r>
        <w:rPr>
          <w:rFonts w:hint="eastAsia"/>
          <w:lang w:val="en-US" w:eastAsia="zh-CN"/>
        </w:rPr>
        <w:t>4、</w:t>
      </w:r>
      <w:r>
        <w:t>认真解决“三农”问题，扎实推进新农村建设。</w:t>
      </w:r>
    </w:p>
    <w:p>
      <w:pPr>
        <w:pStyle w:val="23"/>
      </w:pPr>
      <w:r>
        <w:t>一是要巩固提高农业农村经济。坚持“多予少取放活”方针，重在“多予”，加大对农业农村发展的扶持力度，进一步加强“三农”工作，要大胆引进资金和技术，增加对农业的资金投入和技术投入，促进科技兴农。加快农业产业化、农村城镇化步伐，积极推进新农村建设。</w:t>
      </w:r>
    </w:p>
    <w:p>
      <w:pPr>
        <w:pStyle w:val="23"/>
      </w:pPr>
      <w:r>
        <w:t>二是要优化农业产业结构。要以市场为导向，因地制宜，以发展为城镇服务的高效农业为主。发展以生产、生活、生态一体的农产品，提高农产品的质量，加速传统型农业向效益型农业的转变要采取有效措施，加快农业结构调整，发展壮大特色支柱产业，促进农民持续增收。要积极鼓励和引导广大农民群众立足当地实际，充分挖掘农业内部增收潜力，积极发展品质优良、特色明显、附加值高的优势农产品和特色支柱产业，形成“一村一品”。</w:t>
      </w:r>
    </w:p>
    <w:p>
      <w:pPr>
        <w:pStyle w:val="23"/>
      </w:pPr>
      <w:r>
        <w:t>发展和壮大农业龙头企业。支持现有农业龙头企业做大做强，积极推进龙头企业带动农户，农产品生产加工销售有机结合的农业产业化经营。鼓励和扶持水果专业合作社、协会等各种农民合作经济组织。继续推广农业标准化栽培和管理。努力培育农产品销售大户，组建农副产品流通服务队，搞活农产品流通，建立农副产品批发市场。完善科技推广、信息服务体系和农产品质量安全体系，要大力推广龙头企业、合作经济组织与农户有机结合的组织形式，让广大农民群众从产业化经营中得到更多的实惠。</w:t>
      </w:r>
    </w:p>
    <w:p>
      <w:pPr>
        <w:pStyle w:val="23"/>
      </w:pPr>
      <w:r>
        <w:t xml:space="preserve">三是发展农村社会事业。坚持以规划为龙头，统筹推进农村公共基础设施建设和农田水利设施建设。按照“生产发展、生活宽裕、乡风文明、村容整洁、管理民主”的社会主义新农村建设要求，协调推进农村经济建设、政治建设、文化建设、社会建设和党的建设。加快社会主义新农村建设步伐，因地制宜，强化规划，稳步推进。继续完善农村道路、饮水、电网、通信等基础设施，大力推进农村改水、改厕、改路、改房、改灶工作，抓好农田水利基本建设。继续增加农村教育、文化、卫生等方面的投入，妥善处理农村垃圾，大力发展农村沼气，推进“洁净家园”建设。强化涉农收费和农资价格监管，健全对被征地农民补偿机制和安置机置。加强各类职业技能培训，抓好农村劳动力对外输出，推进农村富余劳动力转移就业，提高农民工资性收入。优化基层民主法治环境，倡导农村文明法治新风尚。        </w:t>
      </w:r>
    </w:p>
    <w:p>
      <w:pPr>
        <w:pStyle w:val="23"/>
      </w:pPr>
      <w:r>
        <w:rPr>
          <w:rFonts w:hint="eastAsia"/>
          <w:lang w:val="en-US" w:eastAsia="zh-CN"/>
        </w:rPr>
        <w:t>5、</w:t>
      </w:r>
      <w:r>
        <w:t>加强党委、政府自身建设，提高党组织的战斗力和政府的行政管理能力。</w:t>
      </w:r>
    </w:p>
    <w:p>
      <w:pPr>
        <w:pStyle w:val="23"/>
      </w:pPr>
      <w:r>
        <w:rPr>
          <w:rFonts w:hint="eastAsia"/>
          <w:lang w:eastAsia="zh-CN"/>
        </w:rPr>
        <w:t>（</w:t>
      </w:r>
      <w:r>
        <w:rPr>
          <w:rFonts w:hint="eastAsia"/>
          <w:lang w:val="en-US" w:eastAsia="zh-CN"/>
        </w:rPr>
        <w:t>1</w:t>
      </w:r>
      <w:r>
        <w:rPr>
          <w:rFonts w:hint="eastAsia"/>
          <w:lang w:eastAsia="zh-CN"/>
        </w:rPr>
        <w:t>）</w:t>
      </w:r>
      <w:r>
        <w:t>要加强领导班子和干部队伍建设，形成坚强领导核心。首先要提高素质，改进作风。要通过抓学习培训，抓制度建设，抓作风建设，抓民主集中制执行等提高班子素质的有效措施，努力把镇党政班子建设成为朝气蓬勃、务实创新、勤政清廉、团结协调的领导集体，为推进社会主义新农村建设提供坚强的组织保证。再次，要牢记宗旨，树立亲民形象。要坚持立党为公、执政为民，牢记“两个务必”。要坚持实事求是，树立正确的政绩观。要大力弘扬求真务实精神，大兴求真务实之风，坚持按规律办事，不搞“数字游戏”，不树“虚假政绩”，不造“形象工程”。要加强</w:t>
      </w:r>
      <w:r>
        <w:rPr>
          <w:rFonts w:hint="eastAsia"/>
          <w:lang w:eastAsia="zh-CN"/>
        </w:rPr>
        <w:t>反腐倡廉</w:t>
      </w:r>
      <w:r>
        <w:t>工作，干净干事。要深入推进党风廉政建设和反腐败工作，建立健全教育、惩处、监督并重的惩治和预防腐败体系，落实好党风廉政建设责任制，不断提高拒腐防变能力。要加强党内监督，依纪依法严惩违法违纪案件，切实纠正损害群众利益的不正之风。</w:t>
      </w:r>
    </w:p>
    <w:p>
      <w:pPr>
        <w:pStyle w:val="23"/>
      </w:pPr>
      <w:r>
        <w:rPr>
          <w:rFonts w:hint="eastAsia"/>
          <w:lang w:eastAsia="zh-CN"/>
        </w:rPr>
        <w:t>（</w:t>
      </w:r>
      <w:r>
        <w:rPr>
          <w:rFonts w:hint="eastAsia"/>
          <w:lang w:val="en-US" w:eastAsia="zh-CN"/>
        </w:rPr>
        <w:t>2</w:t>
      </w:r>
      <w:r>
        <w:rPr>
          <w:rFonts w:hint="eastAsia"/>
          <w:lang w:eastAsia="zh-CN"/>
        </w:rPr>
        <w:t>）</w:t>
      </w:r>
      <w:r>
        <w:t>要切实加强农村党组织和党员队伍建设，扎实推进社会主义新农村建设。加强农村党的建设，一是培养好“领头雁”。要把有理想、有能力、有冲劲、有公心的人才培养成为农村的“领头雁”，并注重引导群众在村级换届时将带头致富能力强、带领群众致富能力强的“双强型”干部选到村主任岗位上来，以团结带领党员群众积极投身到社会主义新农村建设高潮中去。二是补充“新鲜血液”。要注重培养发展退伍军人、经济能人、种养能人入党，改善党员队伍结构，增添党的活力。三是继续组织好“明确努力方向，投身新农村建设”的主题实践活动。要积极扶持建立农业产业化龙头企业，组建各类经济合作组织和协会，实现“生产发展、生活富裕”的目标。</w:t>
      </w:r>
    </w:p>
    <w:p>
      <w:pPr>
        <w:pStyle w:val="23"/>
        <w:sectPr>
          <w:pgSz w:w="16840" w:h="11900" w:orient="landscape"/>
          <w:pgMar w:top="1361" w:right="1020" w:bottom="1361" w:left="1020" w:header="720" w:footer="720" w:gutter="0"/>
          <w:cols w:space="720" w:num="1"/>
        </w:sectPr>
      </w:pPr>
      <w:r>
        <w:rPr>
          <w:rFonts w:hint="eastAsia"/>
          <w:lang w:eastAsia="zh-CN"/>
        </w:rPr>
        <w:t>（</w:t>
      </w:r>
      <w:r>
        <w:rPr>
          <w:rFonts w:hint="eastAsia"/>
          <w:lang w:val="en-US" w:eastAsia="zh-CN"/>
        </w:rPr>
        <w:t>3</w:t>
      </w:r>
      <w:r>
        <w:rPr>
          <w:rFonts w:hint="eastAsia"/>
          <w:lang w:eastAsia="zh-CN"/>
        </w:rPr>
        <w:t>）</w:t>
      </w:r>
      <w:r>
        <w:t>要转变政府职能，按照“廉洁、勤政、务实、高效”的要求，建立和完善精简高效、运行协调、行为规范的行政管理体系，切实把政府职能转到经济调节、市场监管、社会管理和公共服务上来，构建亲民、便民、利民“服务型”政府。加强干部队伍建设，提高干部素质和服务水平，使全镇干部聚精会神搞建设，一心一意谋发展，不断开创工作新局面。</w:t>
      </w:r>
    </w:p>
    <w:p>
      <w:p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bidi w:val="0"/>
        <w:rPr>
          <w:rFonts w:ascii="Times New Roman" w:hAnsi="Times New Roman" w:eastAsia="Times New Roman" w:cs="Times New Roman"/>
          <w:sz w:val="24"/>
          <w:szCs w:val="24"/>
          <w:lang w:val="en-US" w:eastAsia="uk-UA" w:bidi="ar-SA"/>
        </w:rPr>
      </w:pPr>
    </w:p>
    <w:p>
      <w:pPr>
        <w:bidi w:val="0"/>
        <w:rPr>
          <w:lang w:val="en-US" w:eastAsia="uk-UA"/>
        </w:rPr>
      </w:pPr>
    </w:p>
    <w:p>
      <w:pPr>
        <w:pStyle w:val="23"/>
        <w:numPr>
          <w:ilvl w:val="0"/>
          <w:numId w:val="0"/>
        </w:numPr>
        <w:rPr>
          <w:rFonts w:hint="default" w:ascii="黑体" w:hAnsi="黑体" w:eastAsia="黑体" w:cs="黑体"/>
          <w:color w:val="000000"/>
          <w:sz w:val="32"/>
          <w:lang w:val="en-US" w:eastAsia="zh-CN"/>
        </w:rPr>
      </w:pPr>
      <w:r>
        <w:rPr>
          <w:rFonts w:hint="eastAsia" w:eastAsia="宋体"/>
          <w:lang w:val="en-US" w:eastAsia="zh-CN"/>
        </w:rPr>
        <w:tab/>
      </w:r>
      <w:r>
        <w:rPr>
          <w:rFonts w:hint="eastAsia" w:ascii="黑体" w:hAnsi="黑体" w:eastAsia="黑体" w:cs="黑体"/>
          <w:color w:val="000000"/>
          <w:sz w:val="32"/>
          <w:lang w:val="en-US" w:eastAsia="zh-CN"/>
        </w:rPr>
        <w:t xml:space="preserve"> </w:t>
      </w:r>
      <w:r>
        <w:rPr>
          <w:rFonts w:hint="eastAsia"/>
          <w:lang w:val="en-US" w:eastAsia="zh-CN"/>
        </w:rPr>
        <w:t xml:space="preserve">  我部门本年度无专项资金安排</w:t>
      </w:r>
    </w:p>
    <w:p>
      <w:pPr>
        <w:tabs>
          <w:tab w:val="left" w:pos="1310"/>
        </w:tabs>
        <w:bidi w:val="0"/>
        <w:jc w:val="left"/>
        <w:rPr>
          <w:rFonts w:hint="eastAsia" w:eastAsia="宋体"/>
          <w:lang w:val="en-US" w:eastAsia="zh-CN"/>
        </w:rPr>
        <w:sectPr>
          <w:pgSz w:w="16840" w:h="11900" w:orient="landscape"/>
          <w:pgMar w:top="1361" w:right="1020" w:bottom="1134" w:left="1020" w:header="720" w:footer="720" w:gutter="0"/>
          <w:cols w:space="720" w:num="1"/>
        </w:sectPr>
      </w:pP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1、2024年民族地区转移支付绩效目标表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13013024P000026100011</w:t>
            </w:r>
          </w:p>
        </w:tc>
        <w:tc>
          <w:tcPr>
            <w:tcW w:w="2835" w:type="dxa"/>
            <w:vAlign w:val="center"/>
          </w:tcPr>
          <w:p>
            <w:pPr>
              <w:pStyle w:val="10"/>
            </w:pPr>
            <w:r>
              <w:t>项目名称</w:t>
            </w:r>
          </w:p>
        </w:tc>
        <w:tc>
          <w:tcPr>
            <w:tcW w:w="6095" w:type="dxa"/>
            <w:gridSpan w:val="3"/>
            <w:vAlign w:val="center"/>
          </w:tcPr>
          <w:p>
            <w:pPr>
              <w:pStyle w:val="12"/>
            </w:pPr>
            <w:r>
              <w:t>2024年民族地区转移支付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民族地区转移支付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835" w:type="dxa"/>
            <w:vAlign w:val="center"/>
          </w:tcPr>
          <w:p>
            <w:pPr>
              <w:pStyle w:val="13"/>
              <w:rPr>
                <w:rFonts w:ascii="方正书宋_GBK" w:hAnsi="方正书宋_GBK" w:eastAsia="方正书宋_GBK" w:cs="方正书宋_GBK"/>
                <w:sz w:val="21"/>
                <w:szCs w:val="24"/>
                <w:lang w:val="en-US" w:eastAsia="uk-UA" w:bidi="ar-SA"/>
              </w:rPr>
            </w:pPr>
            <w:r>
              <w:rPr>
                <w:rFonts w:hint="eastAsia"/>
                <w:lang w:val="en-US" w:eastAsia="zh-CN"/>
              </w:rPr>
              <w:t>50%</w:t>
            </w:r>
          </w:p>
        </w:tc>
        <w:tc>
          <w:tcPr>
            <w:tcW w:w="2551" w:type="dxa"/>
            <w:vAlign w:val="center"/>
          </w:tcPr>
          <w:p>
            <w:pPr>
              <w:pStyle w:val="13"/>
              <w:rPr>
                <w:rFonts w:ascii="方正书宋_GBK" w:hAnsi="方正书宋_GBK" w:eastAsia="方正书宋_GBK" w:cs="方正书宋_GBK"/>
                <w:sz w:val="21"/>
                <w:szCs w:val="24"/>
                <w:lang w:val="en-US" w:eastAsia="uk-UA" w:bidi="ar-SA"/>
              </w:rPr>
            </w:pPr>
            <w:r>
              <w:rPr>
                <w:rFonts w:hint="eastAsia"/>
                <w:lang w:val="en-US" w:eastAsia="zh-CN"/>
              </w:rPr>
              <w:t>75%</w:t>
            </w:r>
          </w:p>
        </w:tc>
        <w:tc>
          <w:tcPr>
            <w:tcW w:w="3544" w:type="dxa"/>
            <w:gridSpan w:val="2"/>
            <w:vAlign w:val="center"/>
          </w:tcPr>
          <w:p>
            <w:pPr>
              <w:pStyle w:val="13"/>
              <w:rPr>
                <w:rFonts w:ascii="方正书宋_GBK" w:hAnsi="方正书宋_GBK" w:eastAsia="方正书宋_GBK" w:cs="方正书宋_GBK"/>
                <w:sz w:val="21"/>
                <w:szCs w:val="24"/>
                <w:lang w:val="en-US" w:eastAsia="uk-UA"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1.按时完成目标任务</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年度信息系统数量</w:t>
            </w:r>
          </w:p>
        </w:tc>
        <w:tc>
          <w:tcPr>
            <w:tcW w:w="5386" w:type="dxa"/>
            <w:vAlign w:val="center"/>
          </w:tcPr>
          <w:p>
            <w:pPr>
              <w:pStyle w:val="12"/>
            </w:pPr>
            <w:r>
              <w:t>年度信息系统数量</w:t>
            </w:r>
          </w:p>
        </w:tc>
        <w:tc>
          <w:tcPr>
            <w:tcW w:w="2268" w:type="dxa"/>
            <w:vAlign w:val="center"/>
          </w:tcPr>
          <w:p>
            <w:pPr>
              <w:pStyle w:val="12"/>
            </w:pPr>
            <w:r>
              <w:t>规划数</w:t>
            </w:r>
          </w:p>
        </w:tc>
        <w:tc>
          <w:tcPr>
            <w:tcW w:w="1276" w:type="dxa"/>
            <w:vAlign w:val="center"/>
          </w:tcPr>
          <w:p>
            <w:pPr>
              <w:pStyle w:val="12"/>
            </w:pPr>
            <w:r>
              <w:t>区域规划数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工作完成情况</w:t>
            </w:r>
          </w:p>
        </w:tc>
        <w:tc>
          <w:tcPr>
            <w:tcW w:w="5386" w:type="dxa"/>
            <w:vAlign w:val="center"/>
          </w:tcPr>
          <w:p>
            <w:pPr>
              <w:pStyle w:val="12"/>
            </w:pPr>
            <w:r>
              <w:t>工作完成情况</w:t>
            </w:r>
          </w:p>
        </w:tc>
        <w:tc>
          <w:tcPr>
            <w:tcW w:w="2268" w:type="dxa"/>
            <w:vAlign w:val="center"/>
          </w:tcPr>
          <w:p>
            <w:pPr>
              <w:pStyle w:val="12"/>
            </w:pPr>
            <w:r>
              <w:t>建设进度</w:t>
            </w:r>
          </w:p>
        </w:tc>
        <w:tc>
          <w:tcPr>
            <w:tcW w:w="1276" w:type="dxa"/>
            <w:vAlign w:val="center"/>
          </w:tcPr>
          <w:p>
            <w:pPr>
              <w:pStyle w:val="12"/>
            </w:pPr>
            <w:r>
              <w:t>施工进度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资金支出率（%）</w:t>
            </w:r>
          </w:p>
        </w:tc>
        <w:tc>
          <w:tcPr>
            <w:tcW w:w="5386" w:type="dxa"/>
            <w:vAlign w:val="center"/>
          </w:tcPr>
          <w:p>
            <w:pPr>
              <w:pStyle w:val="12"/>
            </w:pPr>
            <w:r>
              <w:t>资金支出率（%）</w:t>
            </w:r>
          </w:p>
        </w:tc>
        <w:tc>
          <w:tcPr>
            <w:tcW w:w="2268" w:type="dxa"/>
            <w:vAlign w:val="center"/>
          </w:tcPr>
          <w:p>
            <w:pPr>
              <w:pStyle w:val="12"/>
            </w:pPr>
            <w:r>
              <w:t>100</w:t>
            </w:r>
          </w:p>
        </w:tc>
        <w:tc>
          <w:tcPr>
            <w:tcW w:w="1276" w:type="dxa"/>
            <w:vAlign w:val="center"/>
          </w:tcPr>
          <w:p>
            <w:pPr>
              <w:pStyle w:val="12"/>
            </w:pPr>
            <w:r>
              <w:t>支出进度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完成进度</w:t>
            </w:r>
          </w:p>
        </w:tc>
        <w:tc>
          <w:tcPr>
            <w:tcW w:w="1276" w:type="dxa"/>
            <w:vAlign w:val="center"/>
          </w:tcPr>
          <w:p>
            <w:pPr>
              <w:pStyle w:val="12"/>
            </w:pPr>
            <w:r>
              <w:t>评审测评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经济效益指标</w:t>
            </w:r>
          </w:p>
        </w:tc>
        <w:tc>
          <w:tcPr>
            <w:tcW w:w="2268" w:type="dxa"/>
            <w:vAlign w:val="center"/>
          </w:tcPr>
          <w:p>
            <w:pPr>
              <w:pStyle w:val="12"/>
            </w:pPr>
            <w:r>
              <w:t>经济程度</w:t>
            </w:r>
          </w:p>
        </w:tc>
        <w:tc>
          <w:tcPr>
            <w:tcW w:w="1276" w:type="dxa"/>
            <w:vAlign w:val="center"/>
          </w:tcPr>
          <w:p>
            <w:pPr>
              <w:pStyle w:val="12"/>
            </w:pPr>
            <w:r>
              <w:t>经济发展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社会效益指标</w:t>
            </w:r>
          </w:p>
        </w:tc>
        <w:tc>
          <w:tcPr>
            <w:tcW w:w="2268" w:type="dxa"/>
            <w:vAlign w:val="center"/>
          </w:tcPr>
          <w:p>
            <w:pPr>
              <w:pStyle w:val="12"/>
            </w:pPr>
            <w:r>
              <w:t>社会效益</w:t>
            </w:r>
          </w:p>
        </w:tc>
        <w:tc>
          <w:tcPr>
            <w:tcW w:w="1276" w:type="dxa"/>
            <w:vAlign w:val="center"/>
          </w:tcPr>
          <w:p>
            <w:pPr>
              <w:pStyle w:val="12"/>
            </w:pPr>
            <w:r>
              <w:t>便捷群众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生态环境</w:t>
            </w:r>
          </w:p>
        </w:tc>
        <w:tc>
          <w:tcPr>
            <w:tcW w:w="1276" w:type="dxa"/>
            <w:vAlign w:val="center"/>
          </w:tcPr>
          <w:p>
            <w:pPr>
              <w:pStyle w:val="12"/>
            </w:pPr>
            <w:r>
              <w:t>环境保障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w:t>
            </w:r>
          </w:p>
        </w:tc>
        <w:tc>
          <w:tcPr>
            <w:tcW w:w="5386" w:type="dxa"/>
            <w:vAlign w:val="center"/>
          </w:tcPr>
          <w:p>
            <w:pPr>
              <w:pStyle w:val="12"/>
            </w:pPr>
            <w:r>
              <w:t>可持续性</w:t>
            </w:r>
          </w:p>
        </w:tc>
        <w:tc>
          <w:tcPr>
            <w:tcW w:w="2268" w:type="dxa"/>
            <w:vAlign w:val="center"/>
          </w:tcPr>
          <w:p>
            <w:pPr>
              <w:pStyle w:val="12"/>
            </w:pPr>
            <w:r>
              <w:t>持续程度</w:t>
            </w:r>
          </w:p>
        </w:tc>
        <w:tc>
          <w:tcPr>
            <w:tcW w:w="1276" w:type="dxa"/>
            <w:vAlign w:val="center"/>
          </w:tcPr>
          <w:p>
            <w:pPr>
              <w:pStyle w:val="12"/>
            </w:pPr>
            <w:r>
              <w:t>持续程度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≥97%</w:t>
            </w:r>
          </w:p>
        </w:tc>
        <w:tc>
          <w:tcPr>
            <w:tcW w:w="1276" w:type="dxa"/>
            <w:vAlign w:val="center"/>
          </w:tcPr>
          <w:p>
            <w:pPr>
              <w:pStyle w:val="12"/>
            </w:pPr>
            <w:r>
              <w:t>群众满意度</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2、无极县高头回族乡革命老区小西门村道路硬化工程绩效目标表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13013024P00E3K4101111</w:t>
            </w:r>
          </w:p>
        </w:tc>
        <w:tc>
          <w:tcPr>
            <w:tcW w:w="2835" w:type="dxa"/>
            <w:vAlign w:val="center"/>
          </w:tcPr>
          <w:p>
            <w:pPr>
              <w:pStyle w:val="10"/>
            </w:pPr>
            <w:r>
              <w:t>项目名称</w:t>
            </w:r>
          </w:p>
        </w:tc>
        <w:tc>
          <w:tcPr>
            <w:tcW w:w="6095" w:type="dxa"/>
            <w:gridSpan w:val="3"/>
            <w:vAlign w:val="center"/>
          </w:tcPr>
          <w:p>
            <w:pPr>
              <w:pStyle w:val="12"/>
            </w:pPr>
            <w:r>
              <w:t>无极县高头回族乡革命老区小西门村道路硬化工程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85.00</w:t>
            </w:r>
          </w:p>
        </w:tc>
        <w:tc>
          <w:tcPr>
            <w:tcW w:w="2835" w:type="dxa"/>
            <w:vAlign w:val="center"/>
          </w:tcPr>
          <w:p>
            <w:pPr>
              <w:pStyle w:val="10"/>
            </w:pPr>
            <w:r>
              <w:t>其中：财政    资金</w:t>
            </w:r>
          </w:p>
        </w:tc>
        <w:tc>
          <w:tcPr>
            <w:tcW w:w="2551" w:type="dxa"/>
            <w:vAlign w:val="center"/>
          </w:tcPr>
          <w:p>
            <w:pPr>
              <w:pStyle w:val="12"/>
            </w:pPr>
            <w:r>
              <w:t>85.00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道路硬化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835" w:type="dxa"/>
            <w:vAlign w:val="center"/>
          </w:tcPr>
          <w:p>
            <w:pPr>
              <w:pStyle w:val="13"/>
              <w:rPr>
                <w:rFonts w:ascii="方正书宋_GBK" w:hAnsi="方正书宋_GBK" w:eastAsia="方正书宋_GBK" w:cs="方正书宋_GBK"/>
                <w:sz w:val="21"/>
                <w:szCs w:val="24"/>
                <w:lang w:val="en-US" w:eastAsia="uk-UA" w:bidi="ar-SA"/>
              </w:rPr>
            </w:pPr>
            <w:r>
              <w:rPr>
                <w:rFonts w:hint="eastAsia"/>
                <w:lang w:val="en-US" w:eastAsia="zh-CN"/>
              </w:rPr>
              <w:t>50%</w:t>
            </w:r>
          </w:p>
        </w:tc>
        <w:tc>
          <w:tcPr>
            <w:tcW w:w="2551" w:type="dxa"/>
            <w:vAlign w:val="center"/>
          </w:tcPr>
          <w:p>
            <w:pPr>
              <w:pStyle w:val="13"/>
              <w:rPr>
                <w:rFonts w:ascii="方正书宋_GBK" w:hAnsi="方正书宋_GBK" w:eastAsia="方正书宋_GBK" w:cs="方正书宋_GBK"/>
                <w:sz w:val="21"/>
                <w:szCs w:val="24"/>
                <w:lang w:val="en-US" w:eastAsia="uk-UA" w:bidi="ar-SA"/>
              </w:rPr>
            </w:pPr>
            <w:r>
              <w:rPr>
                <w:rFonts w:hint="eastAsia"/>
                <w:lang w:val="en-US" w:eastAsia="zh-CN"/>
              </w:rPr>
              <w:t>75%</w:t>
            </w:r>
          </w:p>
        </w:tc>
        <w:tc>
          <w:tcPr>
            <w:tcW w:w="3544" w:type="dxa"/>
            <w:gridSpan w:val="2"/>
            <w:vAlign w:val="center"/>
          </w:tcPr>
          <w:p>
            <w:pPr>
              <w:pStyle w:val="13"/>
              <w:rPr>
                <w:rFonts w:ascii="方正书宋_GBK" w:hAnsi="方正书宋_GBK" w:eastAsia="方正书宋_GBK" w:cs="方正书宋_GBK"/>
                <w:sz w:val="21"/>
                <w:szCs w:val="24"/>
                <w:lang w:val="en-US" w:eastAsia="uk-UA"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1.支出达标</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年度信息系统数量</w:t>
            </w:r>
          </w:p>
        </w:tc>
        <w:tc>
          <w:tcPr>
            <w:tcW w:w="5386" w:type="dxa"/>
            <w:vAlign w:val="center"/>
          </w:tcPr>
          <w:p>
            <w:pPr>
              <w:pStyle w:val="12"/>
            </w:pPr>
            <w:r>
              <w:t>年度信息系统数量</w:t>
            </w:r>
          </w:p>
        </w:tc>
        <w:tc>
          <w:tcPr>
            <w:tcW w:w="2268" w:type="dxa"/>
            <w:vAlign w:val="center"/>
          </w:tcPr>
          <w:p>
            <w:pPr>
              <w:pStyle w:val="12"/>
            </w:pPr>
            <w:r>
              <w:t>规划数</w:t>
            </w:r>
          </w:p>
        </w:tc>
        <w:tc>
          <w:tcPr>
            <w:tcW w:w="1276" w:type="dxa"/>
            <w:vAlign w:val="center"/>
          </w:tcPr>
          <w:p>
            <w:pPr>
              <w:pStyle w:val="12"/>
            </w:pPr>
            <w:r>
              <w:t>区域规划数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工作完成情况</w:t>
            </w:r>
          </w:p>
        </w:tc>
        <w:tc>
          <w:tcPr>
            <w:tcW w:w="5386" w:type="dxa"/>
            <w:vAlign w:val="center"/>
          </w:tcPr>
          <w:p>
            <w:pPr>
              <w:pStyle w:val="12"/>
            </w:pPr>
            <w:r>
              <w:t>工作完成情况</w:t>
            </w:r>
          </w:p>
        </w:tc>
        <w:tc>
          <w:tcPr>
            <w:tcW w:w="2268" w:type="dxa"/>
            <w:vAlign w:val="center"/>
          </w:tcPr>
          <w:p>
            <w:pPr>
              <w:pStyle w:val="12"/>
            </w:pPr>
            <w:r>
              <w:t>建设进度</w:t>
            </w:r>
          </w:p>
        </w:tc>
        <w:tc>
          <w:tcPr>
            <w:tcW w:w="1276" w:type="dxa"/>
            <w:vAlign w:val="center"/>
          </w:tcPr>
          <w:p>
            <w:pPr>
              <w:pStyle w:val="12"/>
            </w:pPr>
            <w:r>
              <w:t>施工进度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资金支出率（%）</w:t>
            </w:r>
          </w:p>
        </w:tc>
        <w:tc>
          <w:tcPr>
            <w:tcW w:w="5386" w:type="dxa"/>
            <w:vAlign w:val="center"/>
          </w:tcPr>
          <w:p>
            <w:pPr>
              <w:pStyle w:val="12"/>
            </w:pPr>
            <w:r>
              <w:t>资金支出率（%）</w:t>
            </w:r>
          </w:p>
        </w:tc>
        <w:tc>
          <w:tcPr>
            <w:tcW w:w="2268" w:type="dxa"/>
            <w:vAlign w:val="center"/>
          </w:tcPr>
          <w:p>
            <w:pPr>
              <w:pStyle w:val="12"/>
            </w:pPr>
            <w:r>
              <w:t>100</w:t>
            </w:r>
          </w:p>
        </w:tc>
        <w:tc>
          <w:tcPr>
            <w:tcW w:w="1276" w:type="dxa"/>
            <w:vAlign w:val="center"/>
          </w:tcPr>
          <w:p>
            <w:pPr>
              <w:pStyle w:val="12"/>
            </w:pPr>
            <w:r>
              <w:t>支出进度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完成进度</w:t>
            </w:r>
          </w:p>
        </w:tc>
        <w:tc>
          <w:tcPr>
            <w:tcW w:w="1276" w:type="dxa"/>
            <w:vAlign w:val="center"/>
          </w:tcPr>
          <w:p>
            <w:pPr>
              <w:pStyle w:val="12"/>
            </w:pPr>
            <w:r>
              <w:t>评审测评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经济效益指标</w:t>
            </w:r>
          </w:p>
        </w:tc>
        <w:tc>
          <w:tcPr>
            <w:tcW w:w="2268" w:type="dxa"/>
            <w:vAlign w:val="center"/>
          </w:tcPr>
          <w:p>
            <w:pPr>
              <w:pStyle w:val="12"/>
            </w:pPr>
            <w:r>
              <w:t>经济程度</w:t>
            </w:r>
          </w:p>
        </w:tc>
        <w:tc>
          <w:tcPr>
            <w:tcW w:w="1276" w:type="dxa"/>
            <w:vAlign w:val="center"/>
          </w:tcPr>
          <w:p>
            <w:pPr>
              <w:pStyle w:val="12"/>
            </w:pPr>
            <w:r>
              <w:t>经济发展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社会效益指标</w:t>
            </w:r>
          </w:p>
        </w:tc>
        <w:tc>
          <w:tcPr>
            <w:tcW w:w="2268" w:type="dxa"/>
            <w:vAlign w:val="center"/>
          </w:tcPr>
          <w:p>
            <w:pPr>
              <w:pStyle w:val="12"/>
            </w:pPr>
            <w:r>
              <w:t>社会效益</w:t>
            </w:r>
          </w:p>
        </w:tc>
        <w:tc>
          <w:tcPr>
            <w:tcW w:w="1276" w:type="dxa"/>
            <w:vAlign w:val="center"/>
          </w:tcPr>
          <w:p>
            <w:pPr>
              <w:pStyle w:val="12"/>
            </w:pPr>
            <w:r>
              <w:t>便捷群众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生态环境</w:t>
            </w:r>
          </w:p>
        </w:tc>
        <w:tc>
          <w:tcPr>
            <w:tcW w:w="1276" w:type="dxa"/>
            <w:vAlign w:val="center"/>
          </w:tcPr>
          <w:p>
            <w:pPr>
              <w:pStyle w:val="12"/>
            </w:pPr>
            <w:r>
              <w:t>环境保障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w:t>
            </w:r>
          </w:p>
        </w:tc>
        <w:tc>
          <w:tcPr>
            <w:tcW w:w="5386" w:type="dxa"/>
            <w:vAlign w:val="center"/>
          </w:tcPr>
          <w:p>
            <w:pPr>
              <w:pStyle w:val="12"/>
            </w:pPr>
            <w:r>
              <w:t>可持续性</w:t>
            </w:r>
          </w:p>
        </w:tc>
        <w:tc>
          <w:tcPr>
            <w:tcW w:w="2268" w:type="dxa"/>
            <w:vAlign w:val="center"/>
          </w:tcPr>
          <w:p>
            <w:pPr>
              <w:pStyle w:val="12"/>
            </w:pPr>
            <w:r>
              <w:t>持续程度</w:t>
            </w:r>
          </w:p>
        </w:tc>
        <w:tc>
          <w:tcPr>
            <w:tcW w:w="1276" w:type="dxa"/>
            <w:vAlign w:val="center"/>
          </w:tcPr>
          <w:p>
            <w:pPr>
              <w:pStyle w:val="12"/>
            </w:pPr>
            <w:r>
              <w:t>持续程度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≥97%</w:t>
            </w:r>
          </w:p>
        </w:tc>
        <w:tc>
          <w:tcPr>
            <w:tcW w:w="1276" w:type="dxa"/>
            <w:vAlign w:val="center"/>
          </w:tcPr>
          <w:p>
            <w:pPr>
              <w:pStyle w:val="12"/>
            </w:pPr>
            <w:r>
              <w:t>群众满意度</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933无极县高头回族乡人民政府</w:t>
            </w:r>
          </w:p>
        </w:tc>
        <w:tc>
          <w:tcPr>
            <w:tcW w:w="7710" w:type="dxa"/>
            <w:gridSpan w:val="8"/>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85.00</w:t>
            </w:r>
          </w:p>
        </w:tc>
        <w:tc>
          <w:tcPr>
            <w:tcW w:w="964" w:type="dxa"/>
            <w:vAlign w:val="center"/>
          </w:tcPr>
          <w:p>
            <w:pPr>
              <w:pStyle w:val="15"/>
            </w:pPr>
            <w:r>
              <w:t>85.00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无极县高头回族乡人民政府本级小计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85.00</w:t>
            </w:r>
          </w:p>
        </w:tc>
        <w:tc>
          <w:tcPr>
            <w:tcW w:w="964" w:type="dxa"/>
            <w:vAlign w:val="center"/>
          </w:tcPr>
          <w:p>
            <w:pPr>
              <w:pStyle w:val="15"/>
            </w:pPr>
            <w:r>
              <w:t>85.00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无极县高头回族乡革命老区小西门村道路硬化工程</w:t>
            </w:r>
          </w:p>
        </w:tc>
        <w:tc>
          <w:tcPr>
            <w:tcW w:w="964" w:type="dxa"/>
            <w:vAlign w:val="center"/>
          </w:tcPr>
          <w:p>
            <w:pPr>
              <w:pStyle w:val="11"/>
            </w:pPr>
            <w:r>
              <w:t>85.00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85.00</w:t>
            </w:r>
          </w:p>
        </w:tc>
        <w:tc>
          <w:tcPr>
            <w:tcW w:w="964" w:type="dxa"/>
            <w:vAlign w:val="center"/>
          </w:tcPr>
          <w:p>
            <w:pPr>
              <w:pStyle w:val="11"/>
            </w:pPr>
            <w:r>
              <w:t>85.00</w:t>
            </w:r>
          </w:p>
        </w:tc>
        <w:tc>
          <w:tcPr>
            <w:tcW w:w="964" w:type="dxa"/>
            <w:vAlign w:val="center"/>
          </w:tcPr>
          <w:p>
            <w:pPr>
              <w:pStyle w:val="11"/>
            </w:pPr>
            <w:r>
              <w:t>85.00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85.00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无极县高头回族乡人民政府（含所属单位）上年末固定资产金额为298.96万元（详见下表）。本年度拟购置固定资产总额为0.00万元。</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933无极县高头回族乡人民政府</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298.96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2261</w:t>
            </w:r>
          </w:p>
        </w:tc>
        <w:tc>
          <w:tcPr>
            <w:tcW w:w="2835" w:type="dxa"/>
            <w:vAlign w:val="center"/>
          </w:tcPr>
          <w:p>
            <w:pPr>
              <w:pStyle w:val="11"/>
            </w:pPr>
            <w:r>
              <w:t>118.09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2261</w:t>
            </w:r>
          </w:p>
        </w:tc>
        <w:tc>
          <w:tcPr>
            <w:tcW w:w="2835" w:type="dxa"/>
            <w:vAlign w:val="center"/>
          </w:tcPr>
          <w:p>
            <w:pPr>
              <w:pStyle w:val="11"/>
            </w:pPr>
            <w:r>
              <w:t>118.09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420</w:t>
            </w:r>
          </w:p>
        </w:tc>
        <w:tc>
          <w:tcPr>
            <w:tcW w:w="2835" w:type="dxa"/>
            <w:vAlign w:val="center"/>
          </w:tcPr>
          <w:p>
            <w:pPr>
              <w:pStyle w:val="11"/>
            </w:pPr>
            <w:r>
              <w:t>174.39</w:t>
            </w:r>
          </w:p>
        </w:tc>
      </w:tr>
    </w:tbl>
    <w:p>
      <w:pPr>
        <w:ind w:firstLine="640"/>
      </w:pP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B04F6F"/>
    <w:rsid w:val="00123341"/>
    <w:rsid w:val="00982EC5"/>
    <w:rsid w:val="00B04F6F"/>
    <w:rsid w:val="1D725B60"/>
    <w:rsid w:val="497D252E"/>
    <w:rsid w:val="50552718"/>
    <w:rsid w:val="6F3614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qFormat/>
    <w:uiPriority w:val="99"/>
    <w:pPr>
      <w:tabs>
        <w:tab w:val="center" w:pos="4153"/>
        <w:tab w:val="right" w:pos="8306"/>
      </w:tabs>
      <w:snapToGrid w:val="0"/>
    </w:pPr>
    <w:rPr>
      <w:sz w:val="18"/>
      <w:szCs w:val="18"/>
    </w:rPr>
  </w:style>
  <w:style w:type="paragraph" w:styleId="3">
    <w:name w:val="header"/>
    <w:basedOn w:val="1"/>
    <w:link w:val="28"/>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qFormat/>
    <w:uiPriority w:val="99"/>
    <w:rPr>
      <w:rFonts w:eastAsia="Times New Roman"/>
      <w:sz w:val="18"/>
      <w:szCs w:val="18"/>
      <w:lang w:eastAsia="uk-UA"/>
    </w:rPr>
  </w:style>
  <w:style w:type="character" w:customStyle="1" w:styleId="29">
    <w:name w:val="页脚 Char"/>
    <w:basedOn w:val="6"/>
    <w:link w:val="2"/>
    <w:semiHidden/>
    <w:qFormat/>
    <w:uiPriority w:val="99"/>
    <w:rPr>
      <w:rFonts w:eastAsia="Times New Roman"/>
      <w:sz w:val="18"/>
      <w:szCs w:val="18"/>
      <w:lang w:eastAsia="uk-UA"/>
    </w:rPr>
  </w:style>
  <w:style w:type="paragraph" w:customStyle="1" w:styleId="30">
    <w:name w:val="插入文本样式-插入部门职责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2024-02-01T16:02:09Z</dcterms:created>
  <dcterms:modified xsi:type="dcterms:W3CDTF">2024-02-01T08:02:09Z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2024-02-01T16:02:10Z</dcterms:created>
  <dcterms:modified xsi:type="dcterms:W3CDTF">2024-02-01T08:02:10Z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2024-02-01T16:02:11Z</dcterms:created>
  <dcterms:modified xsi:type="dcterms:W3CDTF">2024-02-01T08:02:11Z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2024-02-01T16:02:09Z</dcterms:created>
  <dcterms:modified xsi:type="dcterms:W3CDTF">2024-02-01T08:02:09Z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2024-02-01T16:02:10Z</dcterms:created>
  <dcterms:modified xsi:type="dcterms:W3CDTF">2024-02-01T08:02:10Z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2024-02-01T16:02:09Z</dcterms:created>
  <dcterms:modified xsi:type="dcterms:W3CDTF">2024-02-01T08:02:09Z</dcterms:modified>
</cp:coreProperties>
</file>

<file path=customXml/itemProps1.xml><?xml version="1.0" encoding="utf-8"?>
<ds:datastoreItem xmlns:ds="http://schemas.openxmlformats.org/officeDocument/2006/customXml" ds:itemID="{FA50B15F-13B7-4EDC-AC73-4B211121EE0D}">
  <ds:schemaRefs/>
</ds:datastoreItem>
</file>

<file path=customXml/itemProps10.xml><?xml version="1.0" encoding="utf-8"?>
<ds:datastoreItem xmlns:ds="http://schemas.openxmlformats.org/officeDocument/2006/customXml" ds:itemID="{8A79ABF6-4419-41D9-B6EF-3D97CCB80598}">
  <ds:schemaRefs/>
</ds:datastoreItem>
</file>

<file path=customXml/itemProps11.xml><?xml version="1.0" encoding="utf-8"?>
<ds:datastoreItem xmlns:ds="http://schemas.openxmlformats.org/officeDocument/2006/customXml" ds:itemID="{29809400-3658-4C1A-8290-99FD9BA7348D}">
  <ds:schemaRefs/>
</ds:datastoreItem>
</file>

<file path=customXml/itemProps12.xml><?xml version="1.0" encoding="utf-8"?>
<ds:datastoreItem xmlns:ds="http://schemas.openxmlformats.org/officeDocument/2006/customXml" ds:itemID="{6AB0E6D7-47F9-44D5-8967-E96904157717}">
  <ds:schemaRefs/>
</ds:datastoreItem>
</file>

<file path=customXml/itemProps2.xml><?xml version="1.0" encoding="utf-8"?>
<ds:datastoreItem xmlns:ds="http://schemas.openxmlformats.org/officeDocument/2006/customXml" ds:itemID="{7734B585-E933-4482-BBBD-8ECE1A704C93}">
  <ds:schemaRefs/>
</ds:datastoreItem>
</file>

<file path=customXml/itemProps3.xml><?xml version="1.0" encoding="utf-8"?>
<ds:datastoreItem xmlns:ds="http://schemas.openxmlformats.org/officeDocument/2006/customXml" ds:itemID="{87BC389B-A901-4703-8E68-EF3108F0D8AB}">
  <ds:schemaRefs/>
</ds:datastoreItem>
</file>

<file path=customXml/itemProps4.xml><?xml version="1.0" encoding="utf-8"?>
<ds:datastoreItem xmlns:ds="http://schemas.openxmlformats.org/officeDocument/2006/customXml" ds:itemID="{8004727D-0C5A-4C87-A33D-CE0B375B732C}">
  <ds:schemaRefs/>
</ds:datastoreItem>
</file>

<file path=customXml/itemProps5.xml><?xml version="1.0" encoding="utf-8"?>
<ds:datastoreItem xmlns:ds="http://schemas.openxmlformats.org/officeDocument/2006/customXml" ds:itemID="{C4D4A353-DA69-4C82-AC2A-4ADA29BBBBBE}">
  <ds:schemaRefs/>
</ds:datastoreItem>
</file>

<file path=customXml/itemProps6.xml><?xml version="1.0" encoding="utf-8"?>
<ds:datastoreItem xmlns:ds="http://schemas.openxmlformats.org/officeDocument/2006/customXml" ds:itemID="{4F63A71C-5607-4E8A-8437-B76494CBA56F}">
  <ds:schemaRefs/>
</ds:datastoreItem>
</file>

<file path=customXml/itemProps7.xml><?xml version="1.0" encoding="utf-8"?>
<ds:datastoreItem xmlns:ds="http://schemas.openxmlformats.org/officeDocument/2006/customXml" ds:itemID="{B44FC4CA-BD77-45DE-98EC-B0206159827B}">
  <ds:schemaRefs/>
</ds:datastoreItem>
</file>

<file path=customXml/itemProps8.xml><?xml version="1.0" encoding="utf-8"?>
<ds:datastoreItem xmlns:ds="http://schemas.openxmlformats.org/officeDocument/2006/customXml" ds:itemID="{699F41D3-DA02-4690-B770-8C72F815FFDC}">
  <ds:schemaRefs/>
</ds:datastoreItem>
</file>

<file path=customXml/itemProps9.xml><?xml version="1.0" encoding="utf-8"?>
<ds:datastoreItem xmlns:ds="http://schemas.openxmlformats.org/officeDocument/2006/customXml" ds:itemID="{1BF852CB-B875-4742-A3BB-F0A105133FC5}">
  <ds:schemaRefs/>
</ds:datastoreItem>
</file>

<file path=docProps/app.xml><?xml version="1.0" encoding="utf-8"?>
<Properties xmlns="http://schemas.openxmlformats.org/officeDocument/2006/extended-properties" xmlns:vt="http://schemas.openxmlformats.org/officeDocument/2006/docPropsVTypes">
  <Template>Normal.dotm</Template>
  <Pages>32</Pages>
  <Words>2655</Words>
  <Characters>15138</Characters>
  <Lines>126</Lines>
  <Paragraphs>35</Paragraphs>
  <TotalTime>0</TotalTime>
  <ScaleCrop>false</ScaleCrop>
  <LinksUpToDate>false</LinksUpToDate>
  <CharactersWithSpaces>17758</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2024-02-01T16:02:00Z</dcterms:created>
  <dc:creator>lenovo</dc:creator>
  <cp:lastModifiedBy>Administrator</cp:lastModifiedBy>
  <dcterms:modified xsi:type="dcterms:W3CDTF">2024-06-20T16:08:26Z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59179EC07324437E830B7C654FE3A60E</vt:lpwstr>
  </property>
</Properties>
</file>