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一、无极县七汲镇人民政府本级收支预算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一、无极县七汲镇人民政府本级收支预算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1156.64</w:t>
            </w:r>
          </w:p>
        </w:tc>
        <w:tc>
          <w:tcPr>
            <w:tcW w:w="4535" w:type="dxa"/>
            <w:vAlign w:val="center"/>
          </w:tcPr>
          <w:p>
            <w:pPr>
              <w:pStyle w:val="12"/>
            </w:pPr>
            <w:r>
              <w:t>一、一般公共服务支出</w:t>
            </w:r>
          </w:p>
        </w:tc>
        <w:tc>
          <w:tcPr>
            <w:tcW w:w="2126" w:type="dxa"/>
            <w:vAlign w:val="center"/>
          </w:tcPr>
          <w:p>
            <w:pPr>
              <w:pStyle w:val="11"/>
            </w:pPr>
            <w:r>
              <w:t>927.14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1156.64</w:t>
            </w:r>
          </w:p>
        </w:tc>
        <w:tc>
          <w:tcPr>
            <w:tcW w:w="4535" w:type="dxa"/>
            <w:vAlign w:val="center"/>
          </w:tcPr>
          <w:p>
            <w:pPr>
              <w:pStyle w:val="14"/>
            </w:pPr>
            <w:r>
              <w:t>本年支出合计</w:t>
            </w:r>
          </w:p>
        </w:tc>
        <w:tc>
          <w:tcPr>
            <w:tcW w:w="2126" w:type="dxa"/>
            <w:vAlign w:val="center"/>
          </w:tcPr>
          <w:p>
            <w:pPr>
              <w:pStyle w:val="15"/>
            </w:pPr>
            <w:r>
              <w:t>1156.64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1156.64</w:t>
            </w:r>
          </w:p>
        </w:tc>
        <w:tc>
          <w:tcPr>
            <w:tcW w:w="4535" w:type="dxa"/>
            <w:vAlign w:val="center"/>
          </w:tcPr>
          <w:p>
            <w:pPr>
              <w:pStyle w:val="14"/>
            </w:pPr>
            <w:r>
              <w:t>支出总计</w:t>
            </w:r>
          </w:p>
        </w:tc>
        <w:tc>
          <w:tcPr>
            <w:tcW w:w="2126" w:type="dxa"/>
            <w:vAlign w:val="center"/>
          </w:tcPr>
          <w:p>
            <w:pPr>
              <w:pStyle w:val="15"/>
            </w:pPr>
            <w:r>
              <w:t>1156.64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1156.64</w:t>
            </w:r>
          </w:p>
        </w:tc>
        <w:tc>
          <w:tcPr>
            <w:tcW w:w="1134" w:type="dxa"/>
            <w:vAlign w:val="center"/>
          </w:tcPr>
          <w:p>
            <w:pPr>
              <w:pStyle w:val="15"/>
            </w:pPr>
            <w:r>
              <w:t>1156.64</w:t>
            </w:r>
          </w:p>
        </w:tc>
        <w:tc>
          <w:tcPr>
            <w:tcW w:w="1134" w:type="dxa"/>
            <w:vAlign w:val="center"/>
          </w:tcPr>
          <w:p>
            <w:pPr>
              <w:pStyle w:val="15"/>
            </w:pPr>
            <w:r>
              <w:t>1156.64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927.14</w:t>
            </w:r>
          </w:p>
        </w:tc>
        <w:tc>
          <w:tcPr>
            <w:tcW w:w="1134" w:type="dxa"/>
            <w:vAlign w:val="center"/>
          </w:tcPr>
          <w:p>
            <w:pPr>
              <w:pStyle w:val="11"/>
            </w:pPr>
            <w:r>
              <w:t>927.14</w:t>
            </w:r>
          </w:p>
        </w:tc>
        <w:tc>
          <w:tcPr>
            <w:tcW w:w="1134" w:type="dxa"/>
            <w:vAlign w:val="center"/>
          </w:tcPr>
          <w:p>
            <w:pPr>
              <w:pStyle w:val="11"/>
            </w:pPr>
            <w:r>
              <w:t>927.14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927.14</w:t>
            </w:r>
          </w:p>
        </w:tc>
        <w:tc>
          <w:tcPr>
            <w:tcW w:w="1134" w:type="dxa"/>
            <w:vAlign w:val="center"/>
          </w:tcPr>
          <w:p>
            <w:pPr>
              <w:pStyle w:val="11"/>
            </w:pPr>
            <w:r>
              <w:t>927.14</w:t>
            </w:r>
          </w:p>
        </w:tc>
        <w:tc>
          <w:tcPr>
            <w:tcW w:w="1134" w:type="dxa"/>
            <w:vAlign w:val="center"/>
          </w:tcPr>
          <w:p>
            <w:pPr>
              <w:pStyle w:val="11"/>
            </w:pPr>
            <w:r>
              <w:t>927.14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927.14</w:t>
            </w:r>
          </w:p>
        </w:tc>
        <w:tc>
          <w:tcPr>
            <w:tcW w:w="1134" w:type="dxa"/>
            <w:vAlign w:val="center"/>
          </w:tcPr>
          <w:p>
            <w:pPr>
              <w:pStyle w:val="11"/>
            </w:pPr>
            <w:r>
              <w:t>927.14</w:t>
            </w:r>
          </w:p>
        </w:tc>
        <w:tc>
          <w:tcPr>
            <w:tcW w:w="1134" w:type="dxa"/>
            <w:vAlign w:val="center"/>
          </w:tcPr>
          <w:p>
            <w:pPr>
              <w:pStyle w:val="11"/>
            </w:pPr>
            <w:r>
              <w:t>927.14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167.50</w:t>
            </w:r>
          </w:p>
        </w:tc>
        <w:tc>
          <w:tcPr>
            <w:tcW w:w="1134" w:type="dxa"/>
            <w:vAlign w:val="center"/>
          </w:tcPr>
          <w:p>
            <w:pPr>
              <w:pStyle w:val="11"/>
            </w:pPr>
            <w:r>
              <w:t>167.50</w:t>
            </w:r>
          </w:p>
        </w:tc>
        <w:tc>
          <w:tcPr>
            <w:tcW w:w="1134" w:type="dxa"/>
            <w:vAlign w:val="center"/>
          </w:tcPr>
          <w:p>
            <w:pPr>
              <w:pStyle w:val="11"/>
            </w:pPr>
            <w:r>
              <w:t>167.50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167.50</w:t>
            </w:r>
          </w:p>
        </w:tc>
        <w:tc>
          <w:tcPr>
            <w:tcW w:w="1134" w:type="dxa"/>
            <w:vAlign w:val="center"/>
          </w:tcPr>
          <w:p>
            <w:pPr>
              <w:pStyle w:val="11"/>
            </w:pPr>
            <w:r>
              <w:t>167.50</w:t>
            </w:r>
          </w:p>
        </w:tc>
        <w:tc>
          <w:tcPr>
            <w:tcW w:w="1134" w:type="dxa"/>
            <w:vAlign w:val="center"/>
          </w:tcPr>
          <w:p>
            <w:pPr>
              <w:pStyle w:val="11"/>
            </w:pPr>
            <w:r>
              <w:t>167.50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142.00</w:t>
            </w:r>
          </w:p>
        </w:tc>
        <w:tc>
          <w:tcPr>
            <w:tcW w:w="1134" w:type="dxa"/>
            <w:vAlign w:val="center"/>
          </w:tcPr>
          <w:p>
            <w:pPr>
              <w:pStyle w:val="11"/>
            </w:pPr>
            <w:r>
              <w:t>142.00</w:t>
            </w:r>
          </w:p>
        </w:tc>
        <w:tc>
          <w:tcPr>
            <w:tcW w:w="1134" w:type="dxa"/>
            <w:vAlign w:val="center"/>
          </w:tcPr>
          <w:p>
            <w:pPr>
              <w:pStyle w:val="11"/>
            </w:pPr>
            <w:r>
              <w:t>142.00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25.50</w:t>
            </w:r>
          </w:p>
        </w:tc>
        <w:tc>
          <w:tcPr>
            <w:tcW w:w="1134" w:type="dxa"/>
            <w:vAlign w:val="center"/>
          </w:tcPr>
          <w:p>
            <w:pPr>
              <w:pStyle w:val="11"/>
            </w:pPr>
            <w:r>
              <w:t>25.50</w:t>
            </w:r>
          </w:p>
        </w:tc>
        <w:tc>
          <w:tcPr>
            <w:tcW w:w="1134" w:type="dxa"/>
            <w:vAlign w:val="center"/>
          </w:tcPr>
          <w:p>
            <w:pPr>
              <w:pStyle w:val="11"/>
            </w:pPr>
            <w:r>
              <w:t>25.50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1156.64</w:t>
            </w:r>
          </w:p>
        </w:tc>
        <w:tc>
          <w:tcPr>
            <w:tcW w:w="1361" w:type="dxa"/>
            <w:vAlign w:val="center"/>
          </w:tcPr>
          <w:p>
            <w:pPr>
              <w:pStyle w:val="15"/>
            </w:pPr>
            <w:r>
              <w:t>1156.64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927.14</w:t>
            </w:r>
          </w:p>
        </w:tc>
        <w:tc>
          <w:tcPr>
            <w:tcW w:w="1361" w:type="dxa"/>
            <w:vAlign w:val="center"/>
          </w:tcPr>
          <w:p>
            <w:pPr>
              <w:pStyle w:val="11"/>
            </w:pPr>
            <w:r>
              <w:t>927.14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927.14</w:t>
            </w:r>
          </w:p>
        </w:tc>
        <w:tc>
          <w:tcPr>
            <w:tcW w:w="1361" w:type="dxa"/>
            <w:vAlign w:val="center"/>
          </w:tcPr>
          <w:p>
            <w:pPr>
              <w:pStyle w:val="11"/>
            </w:pPr>
            <w:r>
              <w:t>927.14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927.14</w:t>
            </w:r>
          </w:p>
        </w:tc>
        <w:tc>
          <w:tcPr>
            <w:tcW w:w="1361" w:type="dxa"/>
            <w:vAlign w:val="center"/>
          </w:tcPr>
          <w:p>
            <w:pPr>
              <w:pStyle w:val="11"/>
            </w:pPr>
            <w:r>
              <w:t>927.14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167.50</w:t>
            </w:r>
          </w:p>
        </w:tc>
        <w:tc>
          <w:tcPr>
            <w:tcW w:w="1361" w:type="dxa"/>
            <w:vAlign w:val="center"/>
          </w:tcPr>
          <w:p>
            <w:pPr>
              <w:pStyle w:val="11"/>
            </w:pPr>
            <w:r>
              <w:t>167.50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167.50</w:t>
            </w:r>
          </w:p>
        </w:tc>
        <w:tc>
          <w:tcPr>
            <w:tcW w:w="1361" w:type="dxa"/>
            <w:vAlign w:val="center"/>
          </w:tcPr>
          <w:p>
            <w:pPr>
              <w:pStyle w:val="11"/>
            </w:pPr>
            <w:r>
              <w:t>167.50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142.00</w:t>
            </w:r>
          </w:p>
        </w:tc>
        <w:tc>
          <w:tcPr>
            <w:tcW w:w="1361" w:type="dxa"/>
            <w:vAlign w:val="center"/>
          </w:tcPr>
          <w:p>
            <w:pPr>
              <w:pStyle w:val="11"/>
            </w:pPr>
            <w:r>
              <w:t>142.00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25.50</w:t>
            </w:r>
          </w:p>
        </w:tc>
        <w:tc>
          <w:tcPr>
            <w:tcW w:w="1361" w:type="dxa"/>
            <w:vAlign w:val="center"/>
          </w:tcPr>
          <w:p>
            <w:pPr>
              <w:pStyle w:val="11"/>
            </w:pPr>
            <w:r>
              <w:t>25.50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62.00</w:t>
            </w: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62.00</w:t>
            </w: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62.00</w:t>
            </w: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1156.64</w:t>
            </w:r>
          </w:p>
        </w:tc>
        <w:tc>
          <w:tcPr>
            <w:tcW w:w="3402" w:type="dxa"/>
            <w:vAlign w:val="center"/>
          </w:tcPr>
          <w:p>
            <w:pPr>
              <w:pStyle w:val="12"/>
            </w:pPr>
            <w:r>
              <w:t>一、一般公共服务支出</w:t>
            </w:r>
          </w:p>
        </w:tc>
        <w:tc>
          <w:tcPr>
            <w:tcW w:w="1474" w:type="dxa"/>
            <w:vAlign w:val="center"/>
          </w:tcPr>
          <w:p>
            <w:pPr>
              <w:pStyle w:val="11"/>
            </w:pPr>
            <w:r>
              <w:t>927.14</w:t>
            </w:r>
          </w:p>
        </w:tc>
        <w:tc>
          <w:tcPr>
            <w:tcW w:w="1474" w:type="dxa"/>
            <w:vAlign w:val="center"/>
          </w:tcPr>
          <w:p>
            <w:pPr>
              <w:pStyle w:val="11"/>
            </w:pPr>
            <w:r>
              <w:t>927.14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167.50</w:t>
            </w:r>
          </w:p>
        </w:tc>
        <w:tc>
          <w:tcPr>
            <w:tcW w:w="1474" w:type="dxa"/>
            <w:vAlign w:val="center"/>
          </w:tcPr>
          <w:p>
            <w:pPr>
              <w:pStyle w:val="11"/>
            </w:pPr>
            <w:r>
              <w:t>167.50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62.00</w:t>
            </w:r>
          </w:p>
        </w:tc>
        <w:tc>
          <w:tcPr>
            <w:tcW w:w="1474" w:type="dxa"/>
            <w:vAlign w:val="center"/>
          </w:tcPr>
          <w:p>
            <w:pPr>
              <w:pStyle w:val="11"/>
            </w:pPr>
            <w:r>
              <w:t>62.00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1156.64</w:t>
            </w:r>
          </w:p>
        </w:tc>
        <w:tc>
          <w:tcPr>
            <w:tcW w:w="3402" w:type="dxa"/>
            <w:vAlign w:val="center"/>
          </w:tcPr>
          <w:p>
            <w:pPr>
              <w:pStyle w:val="14"/>
            </w:pPr>
            <w:r>
              <w:t>本年支出合计</w:t>
            </w:r>
          </w:p>
        </w:tc>
        <w:tc>
          <w:tcPr>
            <w:tcW w:w="1474" w:type="dxa"/>
            <w:vAlign w:val="center"/>
          </w:tcPr>
          <w:p>
            <w:pPr>
              <w:pStyle w:val="15"/>
            </w:pPr>
            <w:r>
              <w:t>1156.64</w:t>
            </w:r>
          </w:p>
        </w:tc>
        <w:tc>
          <w:tcPr>
            <w:tcW w:w="1474" w:type="dxa"/>
            <w:vAlign w:val="center"/>
          </w:tcPr>
          <w:p>
            <w:pPr>
              <w:pStyle w:val="15"/>
            </w:pPr>
            <w:r>
              <w:t>1156.64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1156.64</w:t>
            </w:r>
          </w:p>
        </w:tc>
        <w:tc>
          <w:tcPr>
            <w:tcW w:w="3402" w:type="dxa"/>
            <w:vAlign w:val="center"/>
          </w:tcPr>
          <w:p>
            <w:pPr>
              <w:pStyle w:val="14"/>
            </w:pPr>
            <w:r>
              <w:t>支出总计</w:t>
            </w:r>
          </w:p>
        </w:tc>
        <w:tc>
          <w:tcPr>
            <w:tcW w:w="1474" w:type="dxa"/>
            <w:vAlign w:val="center"/>
          </w:tcPr>
          <w:p>
            <w:pPr>
              <w:pStyle w:val="15"/>
            </w:pPr>
            <w:r>
              <w:t>1156.64</w:t>
            </w:r>
          </w:p>
        </w:tc>
        <w:tc>
          <w:tcPr>
            <w:tcW w:w="1474" w:type="dxa"/>
            <w:vAlign w:val="center"/>
          </w:tcPr>
          <w:p>
            <w:pPr>
              <w:pStyle w:val="15"/>
            </w:pPr>
            <w:r>
              <w:t>1156.64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1156.64</w:t>
            </w:r>
          </w:p>
        </w:tc>
        <w:tc>
          <w:tcPr>
            <w:tcW w:w="2551" w:type="dxa"/>
            <w:vAlign w:val="center"/>
          </w:tcPr>
          <w:p>
            <w:pPr>
              <w:pStyle w:val="15"/>
            </w:pPr>
            <w:r>
              <w:t>1156.64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927.14</w:t>
            </w:r>
          </w:p>
        </w:tc>
        <w:tc>
          <w:tcPr>
            <w:tcW w:w="2551" w:type="dxa"/>
            <w:vAlign w:val="center"/>
          </w:tcPr>
          <w:p>
            <w:pPr>
              <w:pStyle w:val="11"/>
            </w:pPr>
            <w:r>
              <w:t>927.14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927.14</w:t>
            </w:r>
          </w:p>
        </w:tc>
        <w:tc>
          <w:tcPr>
            <w:tcW w:w="2551" w:type="dxa"/>
            <w:vAlign w:val="center"/>
          </w:tcPr>
          <w:p>
            <w:pPr>
              <w:pStyle w:val="11"/>
            </w:pPr>
            <w:r>
              <w:t>927.14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927.14</w:t>
            </w:r>
          </w:p>
        </w:tc>
        <w:tc>
          <w:tcPr>
            <w:tcW w:w="2551" w:type="dxa"/>
            <w:vAlign w:val="center"/>
          </w:tcPr>
          <w:p>
            <w:pPr>
              <w:pStyle w:val="11"/>
            </w:pPr>
            <w:r>
              <w:t>927.14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167.50</w:t>
            </w:r>
          </w:p>
        </w:tc>
        <w:tc>
          <w:tcPr>
            <w:tcW w:w="2551" w:type="dxa"/>
            <w:vAlign w:val="center"/>
          </w:tcPr>
          <w:p>
            <w:pPr>
              <w:pStyle w:val="11"/>
            </w:pPr>
            <w:r>
              <w:t>167.50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167.50</w:t>
            </w:r>
          </w:p>
        </w:tc>
        <w:tc>
          <w:tcPr>
            <w:tcW w:w="2551" w:type="dxa"/>
            <w:vAlign w:val="center"/>
          </w:tcPr>
          <w:p>
            <w:pPr>
              <w:pStyle w:val="11"/>
            </w:pPr>
            <w:r>
              <w:t>167.50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142.00</w:t>
            </w:r>
          </w:p>
        </w:tc>
        <w:tc>
          <w:tcPr>
            <w:tcW w:w="2551" w:type="dxa"/>
            <w:vAlign w:val="center"/>
          </w:tcPr>
          <w:p>
            <w:pPr>
              <w:pStyle w:val="11"/>
            </w:pPr>
            <w:r>
              <w:t>142.00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25.50</w:t>
            </w:r>
          </w:p>
        </w:tc>
        <w:tc>
          <w:tcPr>
            <w:tcW w:w="2551" w:type="dxa"/>
            <w:vAlign w:val="center"/>
          </w:tcPr>
          <w:p>
            <w:pPr>
              <w:pStyle w:val="11"/>
            </w:pPr>
            <w:r>
              <w:t>25.50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1156.64</w:t>
            </w:r>
          </w:p>
        </w:tc>
        <w:tc>
          <w:tcPr>
            <w:tcW w:w="2551" w:type="dxa"/>
            <w:vAlign w:val="center"/>
          </w:tcPr>
          <w:p>
            <w:pPr>
              <w:pStyle w:val="15"/>
            </w:pPr>
            <w:r>
              <w:t>961.14</w:t>
            </w:r>
          </w:p>
        </w:tc>
        <w:tc>
          <w:tcPr>
            <w:tcW w:w="2551" w:type="dxa"/>
            <w:vAlign w:val="center"/>
          </w:tcPr>
          <w:p>
            <w:pPr>
              <w:pStyle w:val="15"/>
            </w:pPr>
            <w:r>
              <w:t>195.50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913.80</w:t>
            </w:r>
          </w:p>
        </w:tc>
        <w:tc>
          <w:tcPr>
            <w:tcW w:w="2551" w:type="dxa"/>
            <w:vAlign w:val="center"/>
          </w:tcPr>
          <w:p>
            <w:pPr>
              <w:pStyle w:val="11"/>
            </w:pPr>
            <w:r>
              <w:t>913.80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236.15</w:t>
            </w:r>
          </w:p>
        </w:tc>
        <w:tc>
          <w:tcPr>
            <w:tcW w:w="2551" w:type="dxa"/>
            <w:vAlign w:val="center"/>
          </w:tcPr>
          <w:p>
            <w:pPr>
              <w:pStyle w:val="11"/>
            </w:pPr>
            <w:r>
              <w:t>236.15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147.00</w:t>
            </w:r>
          </w:p>
        </w:tc>
        <w:tc>
          <w:tcPr>
            <w:tcW w:w="2551" w:type="dxa"/>
            <w:vAlign w:val="center"/>
          </w:tcPr>
          <w:p>
            <w:pPr>
              <w:pStyle w:val="11"/>
            </w:pPr>
            <w:r>
              <w:t>147.00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88.50</w:t>
            </w:r>
          </w:p>
        </w:tc>
        <w:tc>
          <w:tcPr>
            <w:tcW w:w="2551" w:type="dxa"/>
            <w:vAlign w:val="center"/>
          </w:tcPr>
          <w:p>
            <w:pPr>
              <w:pStyle w:val="11"/>
            </w:pPr>
            <w:r>
              <w:t>88.50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94.00</w:t>
            </w:r>
          </w:p>
        </w:tc>
        <w:tc>
          <w:tcPr>
            <w:tcW w:w="2551" w:type="dxa"/>
            <w:vAlign w:val="center"/>
          </w:tcPr>
          <w:p>
            <w:pPr>
              <w:pStyle w:val="11"/>
            </w:pPr>
            <w:r>
              <w:t>94.00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142.00</w:t>
            </w:r>
          </w:p>
        </w:tc>
        <w:tc>
          <w:tcPr>
            <w:tcW w:w="2551" w:type="dxa"/>
            <w:vAlign w:val="center"/>
          </w:tcPr>
          <w:p>
            <w:pPr>
              <w:pStyle w:val="11"/>
            </w:pPr>
            <w:r>
              <w:t>142.00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25.50</w:t>
            </w:r>
          </w:p>
        </w:tc>
        <w:tc>
          <w:tcPr>
            <w:tcW w:w="2551" w:type="dxa"/>
            <w:vAlign w:val="center"/>
          </w:tcPr>
          <w:p>
            <w:pPr>
              <w:pStyle w:val="11"/>
            </w:pPr>
            <w:r>
              <w:t>25.50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5.15</w:t>
            </w:r>
          </w:p>
        </w:tc>
        <w:tc>
          <w:tcPr>
            <w:tcW w:w="2551" w:type="dxa"/>
            <w:vAlign w:val="center"/>
          </w:tcPr>
          <w:p>
            <w:pPr>
              <w:pStyle w:val="11"/>
            </w:pPr>
            <w:r>
              <w:t>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113.50</w:t>
            </w:r>
          </w:p>
        </w:tc>
        <w:tc>
          <w:tcPr>
            <w:tcW w:w="2551" w:type="dxa"/>
            <w:vAlign w:val="center"/>
          </w:tcPr>
          <w:p>
            <w:pPr>
              <w:pStyle w:val="11"/>
            </w:pPr>
            <w:r>
              <w:t>113.50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195.50</w:t>
            </w:r>
          </w:p>
        </w:tc>
        <w:tc>
          <w:tcPr>
            <w:tcW w:w="2551" w:type="dxa"/>
            <w:vAlign w:val="center"/>
          </w:tcPr>
          <w:p>
            <w:pPr>
              <w:pStyle w:val="11"/>
            </w:pPr>
          </w:p>
        </w:tc>
        <w:tc>
          <w:tcPr>
            <w:tcW w:w="2551" w:type="dxa"/>
            <w:vAlign w:val="center"/>
          </w:tcPr>
          <w:p>
            <w:pPr>
              <w:pStyle w:val="11"/>
            </w:pPr>
            <w:r>
              <w:t>195.50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138.50</w:t>
            </w:r>
          </w:p>
        </w:tc>
        <w:tc>
          <w:tcPr>
            <w:tcW w:w="2551" w:type="dxa"/>
            <w:vAlign w:val="center"/>
          </w:tcPr>
          <w:p>
            <w:pPr>
              <w:pStyle w:val="11"/>
            </w:pPr>
          </w:p>
        </w:tc>
        <w:tc>
          <w:tcPr>
            <w:tcW w:w="2551" w:type="dxa"/>
            <w:vAlign w:val="center"/>
          </w:tcPr>
          <w:p>
            <w:pPr>
              <w:pStyle w:val="11"/>
            </w:pPr>
            <w:r>
              <w:t>138.50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13.50</w:t>
            </w:r>
          </w:p>
        </w:tc>
        <w:tc>
          <w:tcPr>
            <w:tcW w:w="2551" w:type="dxa"/>
            <w:vAlign w:val="center"/>
          </w:tcPr>
          <w:p>
            <w:pPr>
              <w:pStyle w:val="11"/>
            </w:pPr>
          </w:p>
        </w:tc>
        <w:tc>
          <w:tcPr>
            <w:tcW w:w="2551" w:type="dxa"/>
            <w:vAlign w:val="center"/>
          </w:tcPr>
          <w:p>
            <w:pPr>
              <w:pStyle w:val="11"/>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47.34</w:t>
            </w:r>
          </w:p>
        </w:tc>
        <w:tc>
          <w:tcPr>
            <w:tcW w:w="2551" w:type="dxa"/>
            <w:vAlign w:val="center"/>
          </w:tcPr>
          <w:p>
            <w:pPr>
              <w:pStyle w:val="11"/>
            </w:pPr>
            <w:r>
              <w:t>47.34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47.34</w:t>
            </w:r>
          </w:p>
        </w:tc>
        <w:tc>
          <w:tcPr>
            <w:tcW w:w="2551" w:type="dxa"/>
            <w:vAlign w:val="center"/>
          </w:tcPr>
          <w:p>
            <w:pPr>
              <w:pStyle w:val="11"/>
            </w:pPr>
            <w:r>
              <w:t>47.34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9.00</w:t>
            </w:r>
          </w:p>
        </w:tc>
        <w:tc>
          <w:tcPr>
            <w:tcW w:w="1643" w:type="dxa"/>
            <w:vAlign w:val="center"/>
          </w:tcPr>
          <w:p>
            <w:pPr>
              <w:pStyle w:val="15"/>
            </w:pPr>
            <w:r>
              <w:t>9.00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9.00</w:t>
            </w:r>
          </w:p>
        </w:tc>
        <w:tc>
          <w:tcPr>
            <w:tcW w:w="1643" w:type="dxa"/>
            <w:vAlign w:val="center"/>
          </w:tcPr>
          <w:p>
            <w:pPr>
              <w:pStyle w:val="11"/>
            </w:pPr>
            <w:r>
              <w:t>9.00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9.00</w:t>
            </w:r>
          </w:p>
        </w:tc>
        <w:tc>
          <w:tcPr>
            <w:tcW w:w="1643" w:type="dxa"/>
            <w:vAlign w:val="center"/>
          </w:tcPr>
          <w:p>
            <w:pPr>
              <w:pStyle w:val="11"/>
            </w:pPr>
            <w:r>
              <w:t>9.00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9.00</w:t>
            </w:r>
          </w:p>
        </w:tc>
        <w:tc>
          <w:tcPr>
            <w:tcW w:w="1643" w:type="dxa"/>
            <w:vAlign w:val="center"/>
          </w:tcPr>
          <w:p>
            <w:pPr>
              <w:pStyle w:val="11"/>
            </w:pPr>
            <w:r>
              <w:t>9.00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无极县七汲镇人民政府本级2024年单位预算信息公开情况说明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按照《中华人民共和国预算法》、《地方预决算公开操作规程》和《关于进一步推进预算公开工作的实施意见》规定，现将无极县七汲镇人民政府本级2024年单位预算公开如下：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（一）收入情况</w:t>
      </w:r>
    </w:p>
    <w:p>
      <w:pPr>
        <w:pStyle w:val="17"/>
      </w:pPr>
      <w:r>
        <w:t>七汲镇2024年预算收入总计1156.64万元。其中，一般公共预算收入1156.64万元，政府性基金预算0万元。</w:t>
      </w:r>
    </w:p>
    <w:p>
      <w:pPr>
        <w:pStyle w:val="17"/>
      </w:pPr>
      <w:r>
        <w:t>(二）支出情况</w:t>
      </w:r>
    </w:p>
    <w:p>
      <w:pPr>
        <w:pStyle w:val="17"/>
      </w:pPr>
      <w:r>
        <w:t>七汲镇2024年预算支出1156.64万元。其中人员经费支出961.14万元，日常公共经费195.50万元，项目支出0万元。</w:t>
      </w:r>
    </w:p>
    <w:p>
      <w:pPr>
        <w:pStyle w:val="17"/>
      </w:pPr>
      <w:r>
        <w:t>（三）比上年增减情况</w:t>
      </w:r>
    </w:p>
    <w:p>
      <w:pPr>
        <w:pStyle w:val="17"/>
      </w:pPr>
      <w:r>
        <w:t>2024年预算收支安排1156.64万元，较上年一般公共预算减少483.85万元，其中：基本支出减少373.85万元，主要是厉行节约，人员经费支出减少。</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无极县七汲镇人民政府本级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1156.64万元，其中：一般公共预算收入1156.64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七汲镇人民政府本级年度单位预算中支出预算的总体情况。2024年支出预算1156.64万元，其中基本支出1156.64万元，包括人员经费961.14万元和日常公用经费195.50万元；项目支出0.00万元，主要为本年无项目安排。</w:t>
      </w:r>
    </w:p>
    <w:p>
      <w:pPr>
        <w:pStyle w:val="18"/>
      </w:pPr>
      <w:r>
        <w:t>3、比上年增减情况</w:t>
      </w:r>
    </w:p>
    <w:p>
      <w:pPr>
        <w:pStyle w:val="18"/>
      </w:pPr>
      <w:r>
        <w:t>2024年预算收支安排1156.64万元，较2023年预算减少483.85万元，其中：基本支出减少373.85万元，主要为厉行节约，人员经费支出减少。项目支出减少110.00万元，主要为本年无项目安排。</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2024年，我单位机关运行经费共计安排195.50万元，主要用于日常维修、办公用房水电费、办公用房取暖费、办公用房物业管理费等日常运行支出。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9.00万元，其中因公出国（境）费0.00万元；公务用车购置及运维费9.00万元（其中：公务用车购置费为0.00万元，公务用车运维费9.00万元)；公务接待费0.00万元。与2023年相比增加0.00万元，增减变化的主要原因是无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ascii="Times New Roman" w:hAnsi="Times New Roman" w:eastAsia="Times New Roman" w:cstheme="minorBidi"/>
          <w:sz w:val="24"/>
          <w:szCs w:val="24"/>
          <w:lang w:val="en-US" w:eastAsia="uk-UA" w:bidi="ar-SA"/>
        </w:rPr>
      </w:pPr>
    </w:p>
    <w:p>
      <w:pPr>
        <w:tabs>
          <w:tab w:val="left" w:pos="1325"/>
        </w:tabs>
        <w:bidi w:val="0"/>
        <w:jc w:val="left"/>
        <w:rPr>
          <w:rFonts w:hint="eastAsia" w:eastAsia="宋体"/>
          <w:lang w:val="en-US" w:eastAsia="zh-CN"/>
        </w:rPr>
        <w:sectPr>
          <w:pgSz w:w="16840" w:h="11900" w:orient="landscape"/>
          <w:pgMar w:top="1361" w:right="1020" w:bottom="1361" w:left="1020" w:header="720" w:footer="720" w:gutter="0"/>
          <w:cols w:space="720" w:num="1"/>
        </w:sectPr>
      </w:pPr>
      <w:r>
        <w:rPr>
          <w:rFonts w:hint="eastAsia" w:eastAsia="宋体"/>
          <w:lang w:val="en-US" w:eastAsia="zh-CN"/>
        </w:rPr>
        <w:tab/>
      </w:r>
      <w:r>
        <w:rPr>
          <w:rFonts w:hint="eastAsia" w:ascii="Times New Roman" w:hAnsi="Times New Roman" w:eastAsia="方正仿宋_GBK" w:cs="Times New Roman"/>
          <w:sz w:val="28"/>
          <w:szCs w:val="24"/>
          <w:lang w:val="en-US" w:eastAsia="zh-CN" w:bidi="ar-SA"/>
        </w:rPr>
        <w:t xml:space="preserve"> 我</w:t>
      </w:r>
      <w:r>
        <w:rPr>
          <w:rFonts w:hint="eastAsia" w:eastAsia="方正仿宋_GBK" w:cs="Times New Roman"/>
          <w:sz w:val="28"/>
          <w:szCs w:val="24"/>
          <w:lang w:val="en-US" w:eastAsia="zh-CN" w:bidi="ar-SA"/>
        </w:rPr>
        <w:t>单位</w:t>
      </w:r>
      <w:bookmarkStart w:id="1" w:name="_GoBack"/>
      <w:bookmarkEnd w:id="1"/>
      <w:r>
        <w:rPr>
          <w:rFonts w:hint="eastAsia" w:ascii="Times New Roman" w:hAnsi="Times New Roman" w:eastAsia="方正仿宋_GBK" w:cs="Times New Roman"/>
          <w:sz w:val="28"/>
          <w:szCs w:val="24"/>
          <w:lang w:val="en-US" w:eastAsia="zh-CN" w:bidi="ar-SA"/>
        </w:rPr>
        <w:t>本年度无</w:t>
      </w:r>
      <w:r>
        <w:rPr>
          <w:rFonts w:hint="eastAsia" w:eastAsia="方正仿宋_GBK" w:cs="Times New Roman"/>
          <w:sz w:val="28"/>
          <w:szCs w:val="24"/>
          <w:lang w:val="en-US" w:eastAsia="zh-CN" w:bidi="ar-SA"/>
        </w:rPr>
        <w:t>项目预算</w:t>
      </w:r>
      <w:r>
        <w:rPr>
          <w:rFonts w:hint="eastAsia" w:ascii="Times New Roman" w:hAnsi="Times New Roman" w:eastAsia="方正仿宋_GBK" w:cs="Times New Roman"/>
          <w:sz w:val="28"/>
          <w:szCs w:val="24"/>
          <w:lang w:val="en-US" w:eastAsia="zh-CN" w:bidi="ar-SA"/>
        </w:rPr>
        <w:t>安排</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无极县七汲镇人民政府本级上年末固定资产金额为554.84万元（详见下表）。本年度拟购置固定资产总额为0.00万元，已按要求列入政府采购预算，详见政府采购预算表。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554.84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3000</w:t>
            </w:r>
          </w:p>
        </w:tc>
        <w:tc>
          <w:tcPr>
            <w:tcW w:w="2835" w:type="dxa"/>
            <w:vAlign w:val="center"/>
          </w:tcPr>
          <w:p>
            <w:pPr>
              <w:pStyle w:val="11"/>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1500</w:t>
            </w:r>
          </w:p>
        </w:tc>
        <w:tc>
          <w:tcPr>
            <w:tcW w:w="2835" w:type="dxa"/>
            <w:vAlign w:val="center"/>
          </w:tcPr>
          <w:p>
            <w:pPr>
              <w:pStyle w:val="11"/>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5</w:t>
            </w:r>
          </w:p>
        </w:tc>
        <w:tc>
          <w:tcPr>
            <w:tcW w:w="2835" w:type="dxa"/>
            <w:vAlign w:val="center"/>
          </w:tcPr>
          <w:p>
            <w:pPr>
              <w:pStyle w:val="11"/>
            </w:pPr>
            <w:r>
              <w:t>50.62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w:t>
            </w:r>
          </w:p>
        </w:tc>
        <w:tc>
          <w:tcPr>
            <w:tcW w:w="2835" w:type="dxa"/>
            <w:vAlign w:val="center"/>
          </w:tcPr>
          <w:p>
            <w:pPr>
              <w:pStyle w:val="11"/>
            </w:pPr>
            <w:r>
              <w:t>172.22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88935E8"/>
    <w:rsid w:val="488E5614"/>
    <w:rsid w:val="4986398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2024-02-01T15:37:14Z</dcterms:created>
  <dcterms:modified xsi:type="dcterms:W3CDTF">2024-02-01T07:37:14Z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2024-02-01T15:37:18Z</dcterms:created>
  <dcterms:modified xsi:type="dcterms:W3CDTF">2024-02-01T07:37:18Z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2024-02-01T15:37:17Z</dcterms:created>
  <dcterms:modified xsi:type="dcterms:W3CDTF">2024-02-01T07:37:17Z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de760ca-7f2e-4736-824c-ffafde1c8e37}">
  <ds:schemaRefs/>
</ds:datastoreItem>
</file>

<file path=customXml/itemProps2.xml><?xml version="1.0" encoding="utf-8"?>
<ds:datastoreItem xmlns:ds="http://schemas.openxmlformats.org/officeDocument/2006/customXml" ds:itemID="{7825b896-a4ac-44cc-a199-972945fa92d2}">
  <ds:schemaRefs/>
</ds:datastoreItem>
</file>

<file path=customXml/itemProps3.xml><?xml version="1.0" encoding="utf-8"?>
<ds:datastoreItem xmlns:ds="http://schemas.openxmlformats.org/officeDocument/2006/customXml" ds:itemID="{96ebdd19-703c-4e94-b299-b5d1618a25cb}">
  <ds:schemaRefs/>
</ds:datastoreItem>
</file>

<file path=customXml/itemProps4.xml><?xml version="1.0" encoding="utf-8"?>
<ds:datastoreItem xmlns:ds="http://schemas.openxmlformats.org/officeDocument/2006/customXml" ds:itemID="{877025c3-517c-4dfe-9cf9-1769ef71c4cf}">
  <ds:schemaRefs/>
</ds:datastoreItem>
</file>

<file path=customXml/itemProps5.xml><?xml version="1.0" encoding="utf-8"?>
<ds:datastoreItem xmlns:ds="http://schemas.openxmlformats.org/officeDocument/2006/customXml" ds:itemID="{23cf83be-6de4-429f-9496-e0724c7eb89b}">
  <ds:schemaRefs/>
</ds:datastoreItem>
</file>

<file path=customXml/itemProps6.xml><?xml version="1.0" encoding="utf-8"?>
<ds:datastoreItem xmlns:ds="http://schemas.openxmlformats.org/officeDocument/2006/customXml" ds:itemID="{4f08547c-e165-4827-a98e-f6feed113638}">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2024-02-01T15:37:00Z</dcterms:created>
  <dc:creator>lt</dc:creator>
  <cp:lastModifiedBy>lenovo</cp:lastModifiedBy>
  <dcterms:modified xsi:type="dcterms:W3CDTF">2024-02-06T08:39:43Z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12300A0834834C0487A8A1FE0DB9162D</vt:lpwstr>
  </property>
</Properties>
</file>