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一、无极县商务局本级收支预算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default" w:eastAsia="方正仿宋_GBK"/>
          <w:lang w:val="en-US" w:eastAsia="zh-CN"/>
        </w:rPr>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322001无极县商务局本级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829.37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766.37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829.37</w:t>
            </w:r>
          </w:p>
        </w:tc>
        <w:tc>
          <w:tcPr>
            <w:tcW w:w="4535" w:type="dxa"/>
            <w:vAlign w:val="center"/>
          </w:tcPr>
          <w:p>
            <w:pPr>
              <w:pStyle w:val="14"/>
            </w:pPr>
            <w:r>
              <w:t>本年支出合计</w:t>
            </w:r>
          </w:p>
        </w:tc>
        <w:tc>
          <w:tcPr>
            <w:tcW w:w="2126" w:type="dxa"/>
            <w:vAlign w:val="center"/>
          </w:tcPr>
          <w:p>
            <w:pPr>
              <w:pStyle w:val="15"/>
            </w:pPr>
            <w:r>
              <w:t>829.37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829.37</w:t>
            </w:r>
          </w:p>
        </w:tc>
        <w:tc>
          <w:tcPr>
            <w:tcW w:w="4535" w:type="dxa"/>
            <w:vAlign w:val="center"/>
          </w:tcPr>
          <w:p>
            <w:pPr>
              <w:pStyle w:val="14"/>
            </w:pPr>
            <w:r>
              <w:t>支出总计</w:t>
            </w:r>
          </w:p>
        </w:tc>
        <w:tc>
          <w:tcPr>
            <w:tcW w:w="2126" w:type="dxa"/>
            <w:vAlign w:val="center"/>
          </w:tcPr>
          <w:p>
            <w:pPr>
              <w:pStyle w:val="15"/>
            </w:pPr>
            <w:r>
              <w:t>829.37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322001无极县商务局本级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829.37</w:t>
            </w:r>
          </w:p>
        </w:tc>
        <w:tc>
          <w:tcPr>
            <w:tcW w:w="1134" w:type="dxa"/>
            <w:vAlign w:val="center"/>
          </w:tcPr>
          <w:p>
            <w:pPr>
              <w:pStyle w:val="15"/>
            </w:pPr>
            <w:r>
              <w:t>829.37</w:t>
            </w:r>
          </w:p>
        </w:tc>
        <w:tc>
          <w:tcPr>
            <w:tcW w:w="1134" w:type="dxa"/>
            <w:vAlign w:val="center"/>
          </w:tcPr>
          <w:p>
            <w:pPr>
              <w:pStyle w:val="15"/>
            </w:pPr>
            <w:r>
              <w:t>829.37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47.00</w:t>
            </w:r>
          </w:p>
        </w:tc>
        <w:tc>
          <w:tcPr>
            <w:tcW w:w="1134" w:type="dxa"/>
            <w:vAlign w:val="center"/>
          </w:tcPr>
          <w:p>
            <w:pPr>
              <w:pStyle w:val="11"/>
            </w:pPr>
            <w:r>
              <w:t>47.00</w:t>
            </w:r>
          </w:p>
        </w:tc>
        <w:tc>
          <w:tcPr>
            <w:tcW w:w="1134" w:type="dxa"/>
            <w:vAlign w:val="center"/>
          </w:tcPr>
          <w:p>
            <w:pPr>
              <w:pStyle w:val="11"/>
            </w:pPr>
            <w:r>
              <w:t>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47.00</w:t>
            </w:r>
          </w:p>
        </w:tc>
        <w:tc>
          <w:tcPr>
            <w:tcW w:w="1134" w:type="dxa"/>
            <w:vAlign w:val="center"/>
          </w:tcPr>
          <w:p>
            <w:pPr>
              <w:pStyle w:val="11"/>
            </w:pPr>
            <w:r>
              <w:t>47.00</w:t>
            </w:r>
          </w:p>
        </w:tc>
        <w:tc>
          <w:tcPr>
            <w:tcW w:w="1134" w:type="dxa"/>
            <w:vAlign w:val="center"/>
          </w:tcPr>
          <w:p>
            <w:pPr>
              <w:pStyle w:val="11"/>
            </w:pPr>
            <w:r>
              <w:t>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766.37</w:t>
            </w:r>
          </w:p>
        </w:tc>
        <w:tc>
          <w:tcPr>
            <w:tcW w:w="1134" w:type="dxa"/>
            <w:vAlign w:val="center"/>
          </w:tcPr>
          <w:p>
            <w:pPr>
              <w:pStyle w:val="11"/>
            </w:pPr>
            <w:r>
              <w:t>766.37</w:t>
            </w:r>
          </w:p>
        </w:tc>
        <w:tc>
          <w:tcPr>
            <w:tcW w:w="1134" w:type="dxa"/>
            <w:vAlign w:val="center"/>
          </w:tcPr>
          <w:p>
            <w:pPr>
              <w:pStyle w:val="11"/>
            </w:pPr>
            <w:r>
              <w:t>766.37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766.37</w:t>
            </w:r>
          </w:p>
        </w:tc>
        <w:tc>
          <w:tcPr>
            <w:tcW w:w="1134" w:type="dxa"/>
            <w:vAlign w:val="center"/>
          </w:tcPr>
          <w:p>
            <w:pPr>
              <w:pStyle w:val="11"/>
            </w:pPr>
            <w:r>
              <w:t>766.37</w:t>
            </w:r>
          </w:p>
        </w:tc>
        <w:tc>
          <w:tcPr>
            <w:tcW w:w="1134" w:type="dxa"/>
            <w:vAlign w:val="center"/>
          </w:tcPr>
          <w:p>
            <w:pPr>
              <w:pStyle w:val="11"/>
            </w:pPr>
            <w:r>
              <w:t>766.37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2160201</w:t>
            </w:r>
          </w:p>
        </w:tc>
        <w:tc>
          <w:tcPr>
            <w:tcW w:w="1559" w:type="dxa"/>
            <w:vAlign w:val="center"/>
          </w:tcPr>
          <w:p>
            <w:pPr>
              <w:pStyle w:val="12"/>
            </w:pPr>
            <w:r>
              <w:t>行政运行</w:t>
            </w:r>
          </w:p>
        </w:tc>
        <w:tc>
          <w:tcPr>
            <w:tcW w:w="1134" w:type="dxa"/>
            <w:vAlign w:val="center"/>
          </w:tcPr>
          <w:p>
            <w:pPr>
              <w:pStyle w:val="11"/>
            </w:pPr>
            <w:r>
              <w:t>569.09</w:t>
            </w:r>
          </w:p>
        </w:tc>
        <w:tc>
          <w:tcPr>
            <w:tcW w:w="1134" w:type="dxa"/>
            <w:vAlign w:val="center"/>
          </w:tcPr>
          <w:p>
            <w:pPr>
              <w:pStyle w:val="11"/>
            </w:pPr>
            <w:r>
              <w:t>569.09</w:t>
            </w:r>
          </w:p>
        </w:tc>
        <w:tc>
          <w:tcPr>
            <w:tcW w:w="1134" w:type="dxa"/>
            <w:vAlign w:val="center"/>
          </w:tcPr>
          <w:p>
            <w:pPr>
              <w:pStyle w:val="11"/>
            </w:pPr>
            <w:r>
              <w:t>569.09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2160299</w:t>
            </w:r>
          </w:p>
        </w:tc>
        <w:tc>
          <w:tcPr>
            <w:tcW w:w="1559" w:type="dxa"/>
            <w:vAlign w:val="center"/>
          </w:tcPr>
          <w:p>
            <w:pPr>
              <w:pStyle w:val="12"/>
            </w:pPr>
            <w:r>
              <w:t>其他商业流通事务支出</w:t>
            </w:r>
          </w:p>
        </w:tc>
        <w:tc>
          <w:tcPr>
            <w:tcW w:w="1134" w:type="dxa"/>
            <w:vAlign w:val="center"/>
          </w:tcPr>
          <w:p>
            <w:pPr>
              <w:pStyle w:val="11"/>
            </w:pPr>
            <w:r>
              <w:t>197.28</w:t>
            </w:r>
          </w:p>
        </w:tc>
        <w:tc>
          <w:tcPr>
            <w:tcW w:w="1134" w:type="dxa"/>
            <w:vAlign w:val="center"/>
          </w:tcPr>
          <w:p>
            <w:pPr>
              <w:pStyle w:val="11"/>
            </w:pPr>
            <w:r>
              <w:t>197.28</w:t>
            </w:r>
          </w:p>
        </w:tc>
        <w:tc>
          <w:tcPr>
            <w:tcW w:w="1134" w:type="dxa"/>
            <w:vAlign w:val="center"/>
          </w:tcPr>
          <w:p>
            <w:pPr>
              <w:pStyle w:val="11"/>
            </w:pPr>
            <w:r>
              <w:t>197.28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829.37</w:t>
            </w:r>
          </w:p>
        </w:tc>
        <w:tc>
          <w:tcPr>
            <w:tcW w:w="1361" w:type="dxa"/>
            <w:vAlign w:val="center"/>
          </w:tcPr>
          <w:p>
            <w:pPr>
              <w:pStyle w:val="15"/>
            </w:pPr>
            <w:r>
              <w:t>632.09</w:t>
            </w:r>
          </w:p>
        </w:tc>
        <w:tc>
          <w:tcPr>
            <w:tcW w:w="1361" w:type="dxa"/>
            <w:vAlign w:val="center"/>
          </w:tcPr>
          <w:p>
            <w:pPr>
              <w:pStyle w:val="15"/>
            </w:pPr>
            <w:r>
              <w:t>197.28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47.00</w:t>
            </w:r>
          </w:p>
        </w:tc>
        <w:tc>
          <w:tcPr>
            <w:tcW w:w="1361" w:type="dxa"/>
            <w:vAlign w:val="center"/>
          </w:tcPr>
          <w:p>
            <w:pPr>
              <w:pStyle w:val="11"/>
            </w:pPr>
            <w:r>
              <w:t>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47.00</w:t>
            </w:r>
          </w:p>
        </w:tc>
        <w:tc>
          <w:tcPr>
            <w:tcW w:w="1361" w:type="dxa"/>
            <w:vAlign w:val="center"/>
          </w:tcPr>
          <w:p>
            <w:pPr>
              <w:pStyle w:val="11"/>
            </w:pPr>
            <w:r>
              <w:t>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766.37</w:t>
            </w:r>
          </w:p>
        </w:tc>
        <w:tc>
          <w:tcPr>
            <w:tcW w:w="1361" w:type="dxa"/>
            <w:vAlign w:val="center"/>
          </w:tcPr>
          <w:p>
            <w:pPr>
              <w:pStyle w:val="11"/>
            </w:pPr>
            <w:r>
              <w:t>569.09</w:t>
            </w:r>
          </w:p>
        </w:tc>
        <w:tc>
          <w:tcPr>
            <w:tcW w:w="1361" w:type="dxa"/>
            <w:vAlign w:val="center"/>
          </w:tcPr>
          <w:p>
            <w:pPr>
              <w:pStyle w:val="11"/>
            </w:pPr>
            <w:r>
              <w:t>197.28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766.37</w:t>
            </w:r>
          </w:p>
        </w:tc>
        <w:tc>
          <w:tcPr>
            <w:tcW w:w="1361" w:type="dxa"/>
            <w:vAlign w:val="center"/>
          </w:tcPr>
          <w:p>
            <w:pPr>
              <w:pStyle w:val="11"/>
            </w:pPr>
            <w:r>
              <w:t>569.09</w:t>
            </w:r>
          </w:p>
        </w:tc>
        <w:tc>
          <w:tcPr>
            <w:tcW w:w="1361" w:type="dxa"/>
            <w:vAlign w:val="center"/>
          </w:tcPr>
          <w:p>
            <w:pPr>
              <w:pStyle w:val="11"/>
            </w:pPr>
            <w:r>
              <w:t>197.28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2160201</w:t>
            </w:r>
          </w:p>
        </w:tc>
        <w:tc>
          <w:tcPr>
            <w:tcW w:w="4535" w:type="dxa"/>
            <w:vAlign w:val="center"/>
          </w:tcPr>
          <w:p>
            <w:pPr>
              <w:pStyle w:val="12"/>
            </w:pPr>
            <w:r>
              <w:t>行政运行</w:t>
            </w:r>
          </w:p>
        </w:tc>
        <w:tc>
          <w:tcPr>
            <w:tcW w:w="1361" w:type="dxa"/>
            <w:vAlign w:val="center"/>
          </w:tcPr>
          <w:p>
            <w:pPr>
              <w:pStyle w:val="11"/>
            </w:pPr>
            <w:r>
              <w:t>569.09</w:t>
            </w:r>
          </w:p>
        </w:tc>
        <w:tc>
          <w:tcPr>
            <w:tcW w:w="1361" w:type="dxa"/>
            <w:vAlign w:val="center"/>
          </w:tcPr>
          <w:p>
            <w:pPr>
              <w:pStyle w:val="11"/>
            </w:pPr>
            <w:r>
              <w:t>569.09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2160299</w:t>
            </w:r>
          </w:p>
        </w:tc>
        <w:tc>
          <w:tcPr>
            <w:tcW w:w="4535" w:type="dxa"/>
            <w:vAlign w:val="center"/>
          </w:tcPr>
          <w:p>
            <w:pPr>
              <w:pStyle w:val="12"/>
            </w:pPr>
            <w:r>
              <w:t>其他商业流通事务支出</w:t>
            </w:r>
          </w:p>
        </w:tc>
        <w:tc>
          <w:tcPr>
            <w:tcW w:w="1361" w:type="dxa"/>
            <w:vAlign w:val="center"/>
          </w:tcPr>
          <w:p>
            <w:pPr>
              <w:pStyle w:val="11"/>
            </w:pPr>
            <w:r>
              <w:t>197.28</w:t>
            </w:r>
          </w:p>
        </w:tc>
        <w:tc>
          <w:tcPr>
            <w:tcW w:w="1361" w:type="dxa"/>
            <w:vAlign w:val="center"/>
          </w:tcPr>
          <w:p>
            <w:pPr>
              <w:pStyle w:val="11"/>
            </w:pPr>
          </w:p>
        </w:tc>
        <w:tc>
          <w:tcPr>
            <w:tcW w:w="1361" w:type="dxa"/>
            <w:vAlign w:val="center"/>
          </w:tcPr>
          <w:p>
            <w:pPr>
              <w:pStyle w:val="11"/>
            </w:pPr>
            <w:r>
              <w:t>197.28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829.37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47.00</w:t>
            </w:r>
          </w:p>
        </w:tc>
        <w:tc>
          <w:tcPr>
            <w:tcW w:w="1474" w:type="dxa"/>
            <w:vAlign w:val="center"/>
          </w:tcPr>
          <w:p>
            <w:pPr>
              <w:pStyle w:val="11"/>
            </w:pPr>
            <w:r>
              <w:t>47.00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16.00</w:t>
            </w:r>
          </w:p>
        </w:tc>
        <w:tc>
          <w:tcPr>
            <w:tcW w:w="1474" w:type="dxa"/>
            <w:vAlign w:val="center"/>
          </w:tcPr>
          <w:p>
            <w:pPr>
              <w:pStyle w:val="11"/>
            </w:pPr>
            <w:r>
              <w:t>16.00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766.37</w:t>
            </w:r>
          </w:p>
        </w:tc>
        <w:tc>
          <w:tcPr>
            <w:tcW w:w="1474" w:type="dxa"/>
            <w:vAlign w:val="center"/>
          </w:tcPr>
          <w:p>
            <w:pPr>
              <w:pStyle w:val="11"/>
            </w:pPr>
            <w:r>
              <w:t>766.37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829.37</w:t>
            </w:r>
          </w:p>
        </w:tc>
        <w:tc>
          <w:tcPr>
            <w:tcW w:w="3402" w:type="dxa"/>
            <w:vAlign w:val="center"/>
          </w:tcPr>
          <w:p>
            <w:pPr>
              <w:pStyle w:val="14"/>
            </w:pPr>
            <w:r>
              <w:t>本年支出合计</w:t>
            </w:r>
          </w:p>
        </w:tc>
        <w:tc>
          <w:tcPr>
            <w:tcW w:w="1474" w:type="dxa"/>
            <w:vAlign w:val="center"/>
          </w:tcPr>
          <w:p>
            <w:pPr>
              <w:pStyle w:val="15"/>
            </w:pPr>
            <w:r>
              <w:t>829.37</w:t>
            </w:r>
          </w:p>
        </w:tc>
        <w:tc>
          <w:tcPr>
            <w:tcW w:w="1474" w:type="dxa"/>
            <w:vAlign w:val="center"/>
          </w:tcPr>
          <w:p>
            <w:pPr>
              <w:pStyle w:val="15"/>
            </w:pPr>
            <w:r>
              <w:t>829.37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829.37</w:t>
            </w:r>
          </w:p>
        </w:tc>
        <w:tc>
          <w:tcPr>
            <w:tcW w:w="3402" w:type="dxa"/>
            <w:vAlign w:val="center"/>
          </w:tcPr>
          <w:p>
            <w:pPr>
              <w:pStyle w:val="14"/>
            </w:pPr>
            <w:r>
              <w:t>支出总计</w:t>
            </w:r>
          </w:p>
        </w:tc>
        <w:tc>
          <w:tcPr>
            <w:tcW w:w="1474" w:type="dxa"/>
            <w:vAlign w:val="center"/>
          </w:tcPr>
          <w:p>
            <w:pPr>
              <w:pStyle w:val="15"/>
            </w:pPr>
            <w:r>
              <w:t>829.37</w:t>
            </w:r>
          </w:p>
        </w:tc>
        <w:tc>
          <w:tcPr>
            <w:tcW w:w="1474" w:type="dxa"/>
            <w:vAlign w:val="center"/>
          </w:tcPr>
          <w:p>
            <w:pPr>
              <w:pStyle w:val="15"/>
            </w:pPr>
            <w:r>
              <w:t>829.37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829.37</w:t>
            </w:r>
          </w:p>
        </w:tc>
        <w:tc>
          <w:tcPr>
            <w:tcW w:w="2551" w:type="dxa"/>
            <w:vAlign w:val="center"/>
          </w:tcPr>
          <w:p>
            <w:pPr>
              <w:pStyle w:val="15"/>
            </w:pPr>
            <w:r>
              <w:t>632.09</w:t>
            </w:r>
          </w:p>
        </w:tc>
        <w:tc>
          <w:tcPr>
            <w:tcW w:w="2551" w:type="dxa"/>
            <w:vAlign w:val="center"/>
          </w:tcPr>
          <w:p>
            <w:pPr>
              <w:pStyle w:val="15"/>
            </w:pPr>
            <w:r>
              <w:t>197.28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766.37</w:t>
            </w:r>
          </w:p>
        </w:tc>
        <w:tc>
          <w:tcPr>
            <w:tcW w:w="2551" w:type="dxa"/>
            <w:vAlign w:val="center"/>
          </w:tcPr>
          <w:p>
            <w:pPr>
              <w:pStyle w:val="11"/>
            </w:pPr>
            <w:r>
              <w:t>569.09</w:t>
            </w:r>
          </w:p>
        </w:tc>
        <w:tc>
          <w:tcPr>
            <w:tcW w:w="2551" w:type="dxa"/>
            <w:vAlign w:val="center"/>
          </w:tcPr>
          <w:p>
            <w:pPr>
              <w:pStyle w:val="11"/>
            </w:pPr>
            <w:r>
              <w:t>197.28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766.37</w:t>
            </w:r>
          </w:p>
        </w:tc>
        <w:tc>
          <w:tcPr>
            <w:tcW w:w="2551" w:type="dxa"/>
            <w:vAlign w:val="center"/>
          </w:tcPr>
          <w:p>
            <w:pPr>
              <w:pStyle w:val="11"/>
            </w:pPr>
            <w:r>
              <w:t>569.09</w:t>
            </w:r>
          </w:p>
        </w:tc>
        <w:tc>
          <w:tcPr>
            <w:tcW w:w="2551" w:type="dxa"/>
            <w:vAlign w:val="center"/>
          </w:tcPr>
          <w:p>
            <w:pPr>
              <w:pStyle w:val="11"/>
            </w:pPr>
            <w:r>
              <w:t>197.28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2160201</w:t>
            </w:r>
          </w:p>
        </w:tc>
        <w:tc>
          <w:tcPr>
            <w:tcW w:w="4535" w:type="dxa"/>
            <w:vAlign w:val="center"/>
          </w:tcPr>
          <w:p>
            <w:pPr>
              <w:pStyle w:val="12"/>
            </w:pPr>
            <w:r>
              <w:t>行政运行</w:t>
            </w:r>
          </w:p>
        </w:tc>
        <w:tc>
          <w:tcPr>
            <w:tcW w:w="2551" w:type="dxa"/>
            <w:vAlign w:val="center"/>
          </w:tcPr>
          <w:p>
            <w:pPr>
              <w:pStyle w:val="11"/>
            </w:pPr>
            <w:r>
              <w:t>569.09</w:t>
            </w:r>
          </w:p>
        </w:tc>
        <w:tc>
          <w:tcPr>
            <w:tcW w:w="2551" w:type="dxa"/>
            <w:vAlign w:val="center"/>
          </w:tcPr>
          <w:p>
            <w:pPr>
              <w:pStyle w:val="11"/>
            </w:pPr>
            <w:r>
              <w:t>569.09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197.28</w:t>
            </w:r>
          </w:p>
        </w:tc>
        <w:tc>
          <w:tcPr>
            <w:tcW w:w="2551" w:type="dxa"/>
            <w:vAlign w:val="center"/>
          </w:tcPr>
          <w:p>
            <w:pPr>
              <w:pStyle w:val="11"/>
            </w:pPr>
          </w:p>
        </w:tc>
        <w:tc>
          <w:tcPr>
            <w:tcW w:w="2551" w:type="dxa"/>
            <w:vAlign w:val="center"/>
          </w:tcPr>
          <w:p>
            <w:pPr>
              <w:pStyle w:val="11"/>
            </w:pPr>
            <w:r>
              <w:t>197.28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632.09</w:t>
            </w:r>
          </w:p>
        </w:tc>
        <w:tc>
          <w:tcPr>
            <w:tcW w:w="2551" w:type="dxa"/>
            <w:vAlign w:val="center"/>
          </w:tcPr>
          <w:p>
            <w:pPr>
              <w:pStyle w:val="15"/>
            </w:pPr>
            <w:r>
              <w:t>576.89</w:t>
            </w:r>
          </w:p>
        </w:tc>
        <w:tc>
          <w:tcPr>
            <w:tcW w:w="2551" w:type="dxa"/>
            <w:vAlign w:val="center"/>
          </w:tcPr>
          <w:p>
            <w:pPr>
              <w:pStyle w:val="15"/>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457.81</w:t>
            </w:r>
          </w:p>
        </w:tc>
        <w:tc>
          <w:tcPr>
            <w:tcW w:w="2551" w:type="dxa"/>
            <w:vAlign w:val="center"/>
          </w:tcPr>
          <w:p>
            <w:pPr>
              <w:pStyle w:val="11"/>
            </w:pPr>
            <w:r>
              <w:t>457.81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307.00</w:t>
            </w:r>
          </w:p>
        </w:tc>
        <w:tc>
          <w:tcPr>
            <w:tcW w:w="2551" w:type="dxa"/>
            <w:vAlign w:val="center"/>
          </w:tcPr>
          <w:p>
            <w:pPr>
              <w:pStyle w:val="11"/>
            </w:pPr>
            <w:r>
              <w:t>307.00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33.10</w:t>
            </w:r>
          </w:p>
        </w:tc>
        <w:tc>
          <w:tcPr>
            <w:tcW w:w="2551" w:type="dxa"/>
            <w:vAlign w:val="center"/>
          </w:tcPr>
          <w:p>
            <w:pPr>
              <w:pStyle w:val="11"/>
            </w:pPr>
            <w:r>
              <w:t>33.10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26.20</w:t>
            </w:r>
          </w:p>
        </w:tc>
        <w:tc>
          <w:tcPr>
            <w:tcW w:w="2551" w:type="dxa"/>
            <w:vAlign w:val="center"/>
          </w:tcPr>
          <w:p>
            <w:pPr>
              <w:pStyle w:val="11"/>
            </w:pPr>
            <w:r>
              <w:t>26.20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55.20</w:t>
            </w:r>
          </w:p>
        </w:tc>
        <w:tc>
          <w:tcPr>
            <w:tcW w:w="2551" w:type="dxa"/>
            <w:vAlign w:val="center"/>
          </w:tcPr>
          <w:p>
            <w:pPr>
              <w:pStyle w:val="11"/>
            </w:pPr>
          </w:p>
        </w:tc>
        <w:tc>
          <w:tcPr>
            <w:tcW w:w="2551" w:type="dxa"/>
            <w:vAlign w:val="center"/>
          </w:tcPr>
          <w:p>
            <w:pPr>
              <w:pStyle w:val="11"/>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26.50</w:t>
            </w:r>
          </w:p>
        </w:tc>
        <w:tc>
          <w:tcPr>
            <w:tcW w:w="2551" w:type="dxa"/>
            <w:vAlign w:val="center"/>
          </w:tcPr>
          <w:p>
            <w:pPr>
              <w:pStyle w:val="11"/>
            </w:pPr>
          </w:p>
        </w:tc>
        <w:tc>
          <w:tcPr>
            <w:tcW w:w="2551" w:type="dxa"/>
            <w:vAlign w:val="center"/>
          </w:tcPr>
          <w:p>
            <w:pPr>
              <w:pStyle w:val="11"/>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15.50</w:t>
            </w:r>
          </w:p>
        </w:tc>
        <w:tc>
          <w:tcPr>
            <w:tcW w:w="2551" w:type="dxa"/>
            <w:vAlign w:val="center"/>
          </w:tcPr>
          <w:p>
            <w:pPr>
              <w:pStyle w:val="11"/>
            </w:pPr>
          </w:p>
        </w:tc>
        <w:tc>
          <w:tcPr>
            <w:tcW w:w="2551" w:type="dxa"/>
            <w:vAlign w:val="center"/>
          </w:tcPr>
          <w:p>
            <w:pPr>
              <w:pStyle w:val="11"/>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8.80</w:t>
            </w:r>
          </w:p>
        </w:tc>
        <w:tc>
          <w:tcPr>
            <w:tcW w:w="2551" w:type="dxa"/>
            <w:vAlign w:val="center"/>
          </w:tcPr>
          <w:p>
            <w:pPr>
              <w:pStyle w:val="11"/>
            </w:pPr>
          </w:p>
        </w:tc>
        <w:tc>
          <w:tcPr>
            <w:tcW w:w="2551" w:type="dxa"/>
            <w:vAlign w:val="center"/>
          </w:tcPr>
          <w:p>
            <w:pPr>
              <w:pStyle w:val="11"/>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119.08</w:t>
            </w:r>
          </w:p>
        </w:tc>
        <w:tc>
          <w:tcPr>
            <w:tcW w:w="2551" w:type="dxa"/>
            <w:vAlign w:val="center"/>
          </w:tcPr>
          <w:p>
            <w:pPr>
              <w:pStyle w:val="11"/>
            </w:pPr>
            <w:r>
              <w:t>119.08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16.48</w:t>
            </w:r>
          </w:p>
        </w:tc>
        <w:tc>
          <w:tcPr>
            <w:tcW w:w="2551" w:type="dxa"/>
            <w:vAlign w:val="center"/>
          </w:tcPr>
          <w:p>
            <w:pPr>
              <w:pStyle w:val="11"/>
            </w:pPr>
            <w:r>
              <w:t>16.48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102.60</w:t>
            </w:r>
          </w:p>
        </w:tc>
        <w:tc>
          <w:tcPr>
            <w:tcW w:w="2551" w:type="dxa"/>
            <w:vAlign w:val="center"/>
          </w:tcPr>
          <w:p>
            <w:pPr>
              <w:pStyle w:val="11"/>
            </w:pPr>
            <w:r>
              <w:t>102.60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无极县商务局本级2024年单位预算信息公开情况说明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按照《中华人民共和国预算法》、《地方预决算公开操作规程》和《关于进一步推进预算公开工作的实施意见》规定，现将无极县商务局本级2024年单位预算公开如下：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suppressLineNumbers w:val="0"/>
        <w:spacing w:before="0" w:beforeAutospacing="0" w:after="0" w:afterAutospacing="0" w:line="15" w:lineRule="atLeast"/>
        <w:ind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keepNext w:val="0"/>
        <w:keepLines w:val="0"/>
        <w:widowControl/>
        <w:suppressLineNumbers w:val="0"/>
        <w:spacing w:before="0" w:beforeAutospacing="0" w:after="0" w:afterAutospacing="0" w:line="15" w:lineRule="atLeast"/>
        <w:ind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（七）贯彻执行国家对外技术贸易、进出口管制以及鼓励技术和成套设备进出口的贸易政策。拟订和推进全县科技兴贸战略，依法监督技术引进、设备进口、国家限制出口技术。</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（八）会同有关部门贯彻执行国家促进服务出口和服务外包发展的规划、政策，牵头拟订全县服务贸易发展规划并组织实施。</w:t>
      </w:r>
    </w:p>
    <w:p>
      <w:pPr>
        <w:keepNext w:val="0"/>
        <w:keepLines w:val="0"/>
        <w:widowControl/>
        <w:suppressLineNumbers w:val="0"/>
        <w:spacing w:before="0" w:beforeAutospacing="0" w:after="0" w:afterAutospacing="0" w:line="15" w:lineRule="atLeast"/>
        <w:ind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（十二）负责上级交办的涉及世贸组织相关工作。贯彻执行上级制定的对自由贸易区国家和地区的经贸规划、政策并组织实施。</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（十三）负责会展业促进和管理工作，拟订会展发展规划、政策措施并组织实施，组织指导境内技术展览会和赴境外非商业性办展活动。</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（十四）负责经贸交流合作工作。建立联系国内友好关系城市、负责县外单位在我县设立办事机构的备案工作。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（十五）监测分析全县商务运行情况，承担全县商务系统对外宣传和信息发布工作。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（十六）负责原商务、粮食系统改制企业资产、人员管理，处理原商务、粮食系统遗留问题，确保稳定，确保国有资产保值不流失。</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（十七）负责拟订招商引资、利用外资、区域协作中长期发展规划、年度计划并组织实施；研究拟订投资促进政策，承担县投资促进工作领导小组日常工作。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（十八）负责建立投资促进工作体系、工作机制，对利用国内外资金和经济技术合作进行统计、汇总、分析。</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（十九）负责促进资金、技术、人才、项目引进和产业对接，争取招商引资相关政策、资金和项目支持。</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（二十一）负责国（境）内外重大投资促进活动的谋划、方案制定和组织实施；牵头组织专业性、行业性投资促进活动；指导协调各乡镇开展招商活动。</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（二十三）负责对国（境）内外重要客户的联络拓展、重要团组和客户来访考察、洽谈的组织。</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（二十四）组织和促进委托招商、代理招商、中介招商、专业招商、网上招商等多种形式的招商活动，制订并落实奖励政策；加强招商引资专业人才队伍建设。</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（二十五）负责引进央企资金、项目及各项合作，促进合作项目的建设，负责为央企服务工作；负责外商投资项目建设的跟踪、协调和服务工作，负责引进资金到位统计工作。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（二十六）负责指导全县经济技术交流与区域经济技术合作工作；负责区域间资金、项目、人才、科研成果及产业合作工作，开展与重点大专院校、科研院所合作。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keepNext w:val="0"/>
        <w:keepLines w:val="0"/>
        <w:widowControl/>
        <w:suppressLineNumbers w:val="0"/>
        <w:spacing w:before="0" w:beforeAutospacing="0" w:after="0" w:afterAutospacing="0" w:line="15" w:lineRule="atLeast"/>
        <w:ind w:left="0" w:right="0" w:firstLine="560" w:firstLineChars="200"/>
        <w:jc w:val="left"/>
        <w:rPr>
          <w:rFonts w:hint="eastAsia" w:ascii="仿宋_GB2312" w:hAnsi="仿宋_GB2312" w:eastAsia="仿宋_GB2312" w:cs="仿宋_GB2312"/>
          <w:b w:val="0"/>
          <w:bCs w:val="0"/>
          <w:i w:val="0"/>
          <w:iCs w:val="0"/>
          <w:caps w:val="0"/>
          <w:color w:val="000000"/>
          <w:spacing w:val="0"/>
          <w:sz w:val="28"/>
          <w:szCs w:val="28"/>
        </w:rPr>
      </w:pPr>
      <w:r>
        <w:rPr>
          <w:rFonts w:hint="eastAsia" w:ascii="仿宋_GB2312" w:hAnsi="仿宋_GB2312" w:eastAsia="仿宋_GB2312" w:cs="仿宋_GB2312"/>
          <w:b w:val="0"/>
          <w:bCs w:val="0"/>
          <w:i w:val="0"/>
          <w:iCs w:val="0"/>
          <w:caps w:val="0"/>
          <w:color w:val="000000"/>
          <w:spacing w:val="0"/>
          <w:kern w:val="0"/>
          <w:sz w:val="28"/>
          <w:szCs w:val="28"/>
          <w:lang w:val="en-US" w:eastAsia="zh-CN" w:bidi="ar"/>
        </w:rPr>
        <w:t>（二十八）完成县委、县政府交办的其他任务。</w:t>
      </w:r>
    </w:p>
    <w:p>
      <w:pPr>
        <w:spacing w:before="0" w:after="0" w:line="240" w:lineRule="auto"/>
        <w:ind w:firstLine="640"/>
        <w:jc w:val="left"/>
        <w:outlineLvl w:val="9"/>
        <w:rPr>
          <w:rFonts w:hint="eastAsia" w:ascii="仿宋_GB2312" w:hAnsi="仿宋_GB2312" w:eastAsia="仿宋_GB2312" w:cs="仿宋_GB2312"/>
          <w:sz w:val="28"/>
          <w:szCs w:val="28"/>
        </w:rPr>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rPr>
                <w:rFonts w:hint="eastAsia" w:eastAsia="方正书宋_GBK"/>
                <w:lang w:eastAsia="zh-CN"/>
              </w:rPr>
            </w:pPr>
            <w:r>
              <w:t>无极县商务局</w:t>
            </w:r>
            <w:r>
              <w:rPr>
                <w:rFonts w:hint="eastAsia"/>
                <w:lang w:eastAsia="zh-CN"/>
              </w:rPr>
              <w:t>（</w:t>
            </w:r>
            <w:r>
              <w:rPr>
                <w:rFonts w:hint="eastAsia"/>
                <w:lang w:val="en-US" w:eastAsia="zh-CN"/>
              </w:rPr>
              <w:t>本</w:t>
            </w:r>
            <w:r>
              <w:t>级</w:t>
            </w:r>
            <w:r>
              <w:rPr>
                <w:rFonts w:hint="eastAsia"/>
                <w:lang w:eastAsia="zh-CN"/>
              </w:rPr>
              <w:t>）</w:t>
            </w:r>
            <w:bookmarkStart w:id="1" w:name="_GoBack"/>
            <w:bookmarkEnd w:id="1"/>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rPr>
      </w:pPr>
      <w:r>
        <w:rPr>
          <w:rFonts w:hint="eastAsia"/>
        </w:rPr>
        <w:t xml:space="preserve"> 按照预算管理有关规定，目前单位预算的编制实行综合预算管理，即全部收入和支出都反映在预算中。 </w:t>
      </w:r>
    </w:p>
    <w:p>
      <w:pPr>
        <w:pStyle w:val="18"/>
        <w:rPr>
          <w:rFonts w:hint="eastAsia"/>
        </w:rPr>
      </w:pPr>
      <w:r>
        <w:rPr>
          <w:rFonts w:hint="eastAsia"/>
        </w:rPr>
        <w:t>1、收入说明</w:t>
      </w:r>
    </w:p>
    <w:p>
      <w:pPr>
        <w:pStyle w:val="18"/>
        <w:rPr>
          <w:rFonts w:hint="eastAsia"/>
        </w:rPr>
      </w:pPr>
      <w:r>
        <w:rPr>
          <w:rFonts w:hint="eastAsia"/>
        </w:rPr>
        <w:t>反映本单位当年全部收入。2024年预算收入829.37万元，其中：一般公共预算收入829.37万元，基金预算收入0.00万元， 国有资本经营预算收入0.00万元，财政专户核拨收入0.00万元，单位资金收入0.00万元，上年结转结余0.00万元。</w:t>
      </w:r>
    </w:p>
    <w:p>
      <w:pPr>
        <w:pStyle w:val="18"/>
        <w:rPr>
          <w:rFonts w:hint="eastAsia"/>
        </w:rPr>
      </w:pPr>
      <w:r>
        <w:rPr>
          <w:rFonts w:hint="eastAsia"/>
        </w:rPr>
        <w:t xml:space="preserve"> 2、支出说明</w:t>
      </w:r>
    </w:p>
    <w:p>
      <w:pPr>
        <w:pStyle w:val="18"/>
        <w:rPr>
          <w:highlight w:val="yellow"/>
        </w:rPr>
      </w:pPr>
      <w:r>
        <w:rPr>
          <w:rFonts w:hint="eastAsia"/>
        </w:rPr>
        <w:t xml:space="preserve">收支预算总表支出栏、基本支出表、项目支出表按经济分类和支出功能分类科目编制，反映无极县商务局本级年度单位预算中支出预算的总体情况。 2024年支出预算829.37万元，其中基本支出632.09万元，包括人员经费576.89万元和日常公用经费55.20万元；项目支出197.28万元， </w:t>
      </w:r>
      <w:r>
        <w:rPr>
          <w:rFonts w:hint="eastAsia"/>
          <w:highlight w:val="none"/>
        </w:rPr>
        <w:t>主要为:2024年北京木门展资金</w:t>
      </w:r>
      <w:r>
        <w:rPr>
          <w:rFonts w:hint="eastAsia"/>
          <w:highlight w:val="none"/>
          <w:lang w:val="en-US" w:eastAsia="zh-CN"/>
        </w:rPr>
        <w:t>50万元，2024年购物节资金100万元，新增入统企业及社零额限上企业信息员奖励补助47.28万元。</w:t>
      </w:r>
    </w:p>
    <w:p>
      <w:pPr>
        <w:pStyle w:val="18"/>
      </w:pPr>
      <w:r>
        <w:t>3、比上年增减情况</w:t>
      </w:r>
    </w:p>
    <w:p>
      <w:pPr>
        <w:pStyle w:val="18"/>
      </w:pPr>
      <w:r>
        <w:rPr>
          <w:rFonts w:hint="eastAsia"/>
        </w:rPr>
        <w:t>2024年预算收支安排829.37万元，较2023年预算减少477.74万元， 其中：基本支出减少125.02万元</w:t>
      </w:r>
      <w:r>
        <w:t>，主要是下属单位人员分流；项目支出减少352.72万元</w:t>
      </w:r>
      <w:r>
        <w:rPr>
          <w:rFonts w:hint="eastAsia"/>
          <w:lang w:eastAsia="zh-CN"/>
        </w:rPr>
        <w:t>，主要为项目调整</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55.2万元，主要用于保证机关正常运行的办公及印刷费、邮电费、差旅费、会议费、福利费、专用材料及一般设备购置费、办公用房水电费、办公用房取暖费、日常维修费、办公楼物业管理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w:t>
      </w:r>
      <w:r>
        <w:rPr>
          <w:rFonts w:hint="eastAsia"/>
          <w:lang w:eastAsia="zh-CN"/>
        </w:rPr>
        <w:t>单位</w:t>
      </w:r>
      <w:r>
        <w:t>财政拨款“三公”经费预算安排0万元，其中：因公出国（境）费0万元；公务用车购置及运维费0万元（其中：公务用车购置费0万元，公务用车运行维护费0万元）；公务接待费0万元。“三公”经费比上年减少2万元，主要是今年未安排因公出国（境）费</w:t>
      </w:r>
      <w:r>
        <w:rPr>
          <w:rFonts w:hint="eastAsia"/>
          <w:lang w:eastAsia="zh-CN"/>
        </w:rPr>
        <w:t>、</w:t>
      </w:r>
      <w:r>
        <w:t>公务用车运行维护费</w:t>
      </w:r>
      <w:r>
        <w:rPr>
          <w:rFonts w:hint="eastAsia"/>
          <w:lang w:eastAsia="zh-CN"/>
        </w:rPr>
        <w:t>和</w:t>
      </w:r>
      <w:r>
        <w:t>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1、2024年北京木门展资金绩效目标表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13013024P00002010082H</w:t>
            </w:r>
          </w:p>
        </w:tc>
        <w:tc>
          <w:tcPr>
            <w:tcW w:w="1587" w:type="dxa"/>
            <w:vAlign w:val="center"/>
          </w:tcPr>
          <w:p>
            <w:pPr>
              <w:pStyle w:val="10"/>
            </w:pPr>
            <w:r>
              <w:t>项目名称</w:t>
            </w:r>
          </w:p>
        </w:tc>
        <w:tc>
          <w:tcPr>
            <w:tcW w:w="4422" w:type="dxa"/>
            <w:gridSpan w:val="3"/>
            <w:vAlign w:val="center"/>
          </w:tcPr>
          <w:p>
            <w:pPr>
              <w:pStyle w:val="12"/>
            </w:pPr>
            <w:r>
              <w:t>2024年北京木门展资金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2024年北京木门展资金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w:t>
            </w:r>
            <w:r>
              <w:t>.00</w:t>
            </w:r>
          </w:p>
        </w:tc>
        <w:tc>
          <w:tcPr>
            <w:tcW w:w="1587" w:type="dxa"/>
            <w:vAlign w:val="center"/>
          </w:tcPr>
          <w:p>
            <w:pPr>
              <w:pStyle w:val="13"/>
              <w:ind w:firstLine="0" w:firstLineChars="0"/>
            </w:pPr>
            <w:r>
              <w:rPr>
                <w:rFonts w:hint="eastAsia"/>
                <w:lang w:val="en-US" w:eastAsia="zh-CN"/>
              </w:rPr>
              <w:t>5</w:t>
            </w:r>
            <w:r>
              <w:t>0.00</w:t>
            </w:r>
          </w:p>
        </w:tc>
        <w:tc>
          <w:tcPr>
            <w:tcW w:w="1304" w:type="dxa"/>
            <w:vAlign w:val="center"/>
          </w:tcPr>
          <w:p>
            <w:pPr>
              <w:pStyle w:val="13"/>
              <w:ind w:firstLine="0" w:firstLineChars="0"/>
            </w:pPr>
            <w:r>
              <w:rPr>
                <w:rFonts w:hint="eastAsia"/>
                <w:lang w:val="en-US" w:eastAsia="zh-CN"/>
              </w:rPr>
              <w:t>75</w:t>
            </w:r>
            <w:r>
              <w:t>.00</w:t>
            </w:r>
          </w:p>
        </w:tc>
        <w:tc>
          <w:tcPr>
            <w:tcW w:w="3118" w:type="dxa"/>
            <w:gridSpan w:val="2"/>
            <w:vAlign w:val="center"/>
          </w:tcPr>
          <w:p>
            <w:pPr>
              <w:pStyle w:val="13"/>
              <w:ind w:firstLine="0" w:firstLineChars="0"/>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1.2024年北京木门展资金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支持企业数量</w:t>
            </w:r>
          </w:p>
        </w:tc>
        <w:tc>
          <w:tcPr>
            <w:tcW w:w="2891" w:type="dxa"/>
            <w:vAlign w:val="center"/>
          </w:tcPr>
          <w:p>
            <w:pPr>
              <w:pStyle w:val="12"/>
            </w:pPr>
            <w:r>
              <w:t>支持企业数量</w:t>
            </w:r>
          </w:p>
        </w:tc>
        <w:tc>
          <w:tcPr>
            <w:tcW w:w="1276" w:type="dxa"/>
            <w:vAlign w:val="center"/>
          </w:tcPr>
          <w:p>
            <w:pPr>
              <w:pStyle w:val="12"/>
            </w:pPr>
            <w:r>
              <w:t>多家企业</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品牌提升</w:t>
            </w:r>
          </w:p>
        </w:tc>
        <w:tc>
          <w:tcPr>
            <w:tcW w:w="2891" w:type="dxa"/>
            <w:vAlign w:val="center"/>
          </w:tcPr>
          <w:p>
            <w:pPr>
              <w:pStyle w:val="12"/>
            </w:pPr>
            <w:r>
              <w:t>品牌提升</w:t>
            </w:r>
          </w:p>
        </w:tc>
        <w:tc>
          <w:tcPr>
            <w:tcW w:w="1276" w:type="dxa"/>
            <w:vAlign w:val="center"/>
          </w:tcPr>
          <w:p>
            <w:pPr>
              <w:pStyle w:val="12"/>
            </w:pPr>
            <w:r>
              <w:t>促进企业发展</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活动完成时限</w:t>
            </w:r>
          </w:p>
        </w:tc>
        <w:tc>
          <w:tcPr>
            <w:tcW w:w="2891" w:type="dxa"/>
            <w:vAlign w:val="center"/>
          </w:tcPr>
          <w:p>
            <w:pPr>
              <w:pStyle w:val="12"/>
            </w:pPr>
            <w:r>
              <w:t>活动完成时限</w:t>
            </w:r>
          </w:p>
        </w:tc>
        <w:tc>
          <w:tcPr>
            <w:tcW w:w="1276" w:type="dxa"/>
            <w:vAlign w:val="center"/>
          </w:tcPr>
          <w:p>
            <w:pPr>
              <w:pStyle w:val="12"/>
            </w:pPr>
            <w:r>
              <w:t>2024年底</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奖励标准</w:t>
            </w:r>
          </w:p>
        </w:tc>
        <w:tc>
          <w:tcPr>
            <w:tcW w:w="2891" w:type="dxa"/>
            <w:vAlign w:val="center"/>
          </w:tcPr>
          <w:p>
            <w:pPr>
              <w:pStyle w:val="12"/>
            </w:pPr>
            <w:r>
              <w:t>奖励标准</w:t>
            </w:r>
          </w:p>
        </w:tc>
        <w:tc>
          <w:tcPr>
            <w:tcW w:w="1276" w:type="dxa"/>
            <w:vAlign w:val="center"/>
          </w:tcPr>
          <w:p>
            <w:pPr>
              <w:pStyle w:val="12"/>
            </w:pPr>
            <w:r>
              <w:t>百分比</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经济效益增值率</w:t>
            </w:r>
          </w:p>
        </w:tc>
        <w:tc>
          <w:tcPr>
            <w:tcW w:w="2891" w:type="dxa"/>
            <w:vAlign w:val="center"/>
          </w:tcPr>
          <w:p>
            <w:pPr>
              <w:pStyle w:val="12"/>
            </w:pPr>
            <w:r>
              <w:t>项目实施后经济效益增长率</w:t>
            </w:r>
          </w:p>
        </w:tc>
        <w:tc>
          <w:tcPr>
            <w:tcW w:w="1276" w:type="dxa"/>
            <w:vAlign w:val="center"/>
          </w:tcPr>
          <w:p>
            <w:pPr>
              <w:pStyle w:val="12"/>
            </w:pPr>
            <w:r>
              <w:t>促进经济发展</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提升展会的社会影响力</w:t>
            </w:r>
          </w:p>
        </w:tc>
        <w:tc>
          <w:tcPr>
            <w:tcW w:w="2891" w:type="dxa"/>
            <w:vAlign w:val="center"/>
          </w:tcPr>
          <w:p>
            <w:pPr>
              <w:pStyle w:val="12"/>
            </w:pPr>
            <w:r>
              <w:t>提升展会的社会影响力</w:t>
            </w:r>
          </w:p>
        </w:tc>
        <w:tc>
          <w:tcPr>
            <w:tcW w:w="1276" w:type="dxa"/>
            <w:vAlign w:val="center"/>
          </w:tcPr>
          <w:p>
            <w:pPr>
              <w:pStyle w:val="12"/>
            </w:pPr>
            <w:r>
              <w:t>≥50</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生态效益增值率</w:t>
            </w:r>
          </w:p>
        </w:tc>
        <w:tc>
          <w:tcPr>
            <w:tcW w:w="2891" w:type="dxa"/>
            <w:vAlign w:val="center"/>
          </w:tcPr>
          <w:p>
            <w:pPr>
              <w:pStyle w:val="12"/>
            </w:pPr>
            <w:r>
              <w:t>项目实施后生态效益增长率</w:t>
            </w:r>
          </w:p>
        </w:tc>
        <w:tc>
          <w:tcPr>
            <w:tcW w:w="1276" w:type="dxa"/>
            <w:vAlign w:val="center"/>
          </w:tcPr>
          <w:p>
            <w:pPr>
              <w:pStyle w:val="12"/>
            </w:pPr>
            <w:r>
              <w:t>≥50</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w:t>
            </w:r>
          </w:p>
        </w:tc>
        <w:tc>
          <w:tcPr>
            <w:tcW w:w="2891" w:type="dxa"/>
            <w:vAlign w:val="center"/>
          </w:tcPr>
          <w:p>
            <w:pPr>
              <w:pStyle w:val="12"/>
            </w:pPr>
            <w:r>
              <w:t>可持续性</w:t>
            </w:r>
          </w:p>
        </w:tc>
        <w:tc>
          <w:tcPr>
            <w:tcW w:w="1276" w:type="dxa"/>
            <w:vAlign w:val="center"/>
          </w:tcPr>
          <w:p>
            <w:pPr>
              <w:pStyle w:val="12"/>
            </w:pPr>
            <w:r>
              <w:t>≥50</w:t>
            </w:r>
          </w:p>
        </w:tc>
        <w:tc>
          <w:tcPr>
            <w:tcW w:w="1843" w:type="dxa"/>
            <w:vAlign w:val="center"/>
          </w:tcPr>
          <w:p>
            <w:pPr>
              <w:pStyle w:val="12"/>
            </w:pPr>
            <w:r>
              <w:t>参会企业数量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企业评价满意度</w:t>
            </w:r>
          </w:p>
        </w:tc>
        <w:tc>
          <w:tcPr>
            <w:tcW w:w="2891" w:type="dxa"/>
            <w:vAlign w:val="center"/>
          </w:tcPr>
          <w:p>
            <w:pPr>
              <w:pStyle w:val="12"/>
            </w:pPr>
            <w:r>
              <w:t>企业评价满意度</w:t>
            </w:r>
          </w:p>
        </w:tc>
        <w:tc>
          <w:tcPr>
            <w:tcW w:w="1276" w:type="dxa"/>
            <w:vAlign w:val="center"/>
          </w:tcPr>
          <w:p>
            <w:pPr>
              <w:pStyle w:val="12"/>
            </w:pPr>
            <w:r>
              <w:t>≥50</w:t>
            </w:r>
          </w:p>
        </w:tc>
        <w:tc>
          <w:tcPr>
            <w:tcW w:w="1843" w:type="dxa"/>
            <w:vAlign w:val="center"/>
          </w:tcPr>
          <w:p>
            <w:pPr>
              <w:pStyle w:val="12"/>
            </w:pPr>
            <w:r>
              <w:t>参会企业数量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2、2024年购物节资金绩效目标表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13013024P00002010078B</w:t>
            </w:r>
          </w:p>
        </w:tc>
        <w:tc>
          <w:tcPr>
            <w:tcW w:w="1587" w:type="dxa"/>
            <w:vAlign w:val="center"/>
          </w:tcPr>
          <w:p>
            <w:pPr>
              <w:pStyle w:val="10"/>
            </w:pPr>
            <w:r>
              <w:t>项目名称</w:t>
            </w:r>
          </w:p>
        </w:tc>
        <w:tc>
          <w:tcPr>
            <w:tcW w:w="4422" w:type="dxa"/>
            <w:gridSpan w:val="3"/>
            <w:vAlign w:val="center"/>
          </w:tcPr>
          <w:p>
            <w:pPr>
              <w:pStyle w:val="12"/>
            </w:pPr>
            <w:r>
              <w:t>2024年购物节资金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2024年购物节资金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w:t>
            </w:r>
            <w:r>
              <w:t>.00</w:t>
            </w:r>
          </w:p>
        </w:tc>
        <w:tc>
          <w:tcPr>
            <w:tcW w:w="1587" w:type="dxa"/>
            <w:vAlign w:val="center"/>
          </w:tcPr>
          <w:p>
            <w:pPr>
              <w:pStyle w:val="13"/>
              <w:ind w:firstLine="0" w:firstLineChars="0"/>
            </w:pPr>
            <w:r>
              <w:rPr>
                <w:rFonts w:hint="eastAsia"/>
                <w:lang w:val="en-US" w:eastAsia="zh-CN"/>
              </w:rPr>
              <w:t>5</w:t>
            </w:r>
            <w:r>
              <w:t>0.00</w:t>
            </w:r>
          </w:p>
        </w:tc>
        <w:tc>
          <w:tcPr>
            <w:tcW w:w="1304" w:type="dxa"/>
            <w:vAlign w:val="center"/>
          </w:tcPr>
          <w:p>
            <w:pPr>
              <w:pStyle w:val="13"/>
              <w:ind w:firstLine="0" w:firstLineChars="0"/>
            </w:pPr>
            <w:r>
              <w:rPr>
                <w:rFonts w:hint="eastAsia"/>
                <w:lang w:val="en-US" w:eastAsia="zh-CN"/>
              </w:rPr>
              <w:t>75</w:t>
            </w:r>
            <w:r>
              <w:t>.00</w:t>
            </w:r>
          </w:p>
        </w:tc>
        <w:tc>
          <w:tcPr>
            <w:tcW w:w="3118" w:type="dxa"/>
            <w:gridSpan w:val="2"/>
            <w:vAlign w:val="center"/>
          </w:tcPr>
          <w:p>
            <w:pPr>
              <w:pStyle w:val="13"/>
              <w:ind w:firstLine="0" w:firstLineChars="0"/>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1.2024年购物节资金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参与企业</w:t>
            </w:r>
          </w:p>
        </w:tc>
        <w:tc>
          <w:tcPr>
            <w:tcW w:w="2891" w:type="dxa"/>
            <w:vAlign w:val="center"/>
          </w:tcPr>
          <w:p>
            <w:pPr>
              <w:pStyle w:val="12"/>
            </w:pPr>
            <w:r>
              <w:t>参与促销活动企业</w:t>
            </w:r>
          </w:p>
        </w:tc>
        <w:tc>
          <w:tcPr>
            <w:tcW w:w="1276" w:type="dxa"/>
            <w:vAlign w:val="center"/>
          </w:tcPr>
          <w:p>
            <w:pPr>
              <w:pStyle w:val="12"/>
            </w:pPr>
            <w:r>
              <w:t>多家参与促销活动企业</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以节兴市以节兴商</w:t>
            </w:r>
          </w:p>
        </w:tc>
        <w:tc>
          <w:tcPr>
            <w:tcW w:w="2891" w:type="dxa"/>
            <w:vAlign w:val="center"/>
          </w:tcPr>
          <w:p>
            <w:pPr>
              <w:pStyle w:val="12"/>
            </w:pPr>
            <w:r>
              <w:t>促进本地消费</w:t>
            </w:r>
          </w:p>
        </w:tc>
        <w:tc>
          <w:tcPr>
            <w:tcW w:w="1276" w:type="dxa"/>
            <w:vAlign w:val="center"/>
          </w:tcPr>
          <w:p>
            <w:pPr>
              <w:pStyle w:val="12"/>
            </w:pPr>
            <w:r>
              <w:t>促进县经济发展</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消费券及时发放</w:t>
            </w:r>
          </w:p>
        </w:tc>
        <w:tc>
          <w:tcPr>
            <w:tcW w:w="2891" w:type="dxa"/>
            <w:vAlign w:val="center"/>
          </w:tcPr>
          <w:p>
            <w:pPr>
              <w:pStyle w:val="12"/>
            </w:pPr>
            <w:r>
              <w:t>县经济发展</w:t>
            </w:r>
          </w:p>
        </w:tc>
        <w:tc>
          <w:tcPr>
            <w:tcW w:w="1276" w:type="dxa"/>
            <w:vAlign w:val="center"/>
          </w:tcPr>
          <w:p>
            <w:pPr>
              <w:pStyle w:val="12"/>
            </w:pPr>
            <w:r>
              <w:t>促进本地消费县经济发展</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县预算内资金</w:t>
            </w:r>
          </w:p>
        </w:tc>
        <w:tc>
          <w:tcPr>
            <w:tcW w:w="2891" w:type="dxa"/>
            <w:vAlign w:val="center"/>
          </w:tcPr>
          <w:p>
            <w:pPr>
              <w:pStyle w:val="12"/>
            </w:pPr>
            <w:r>
              <w:t>县预算内资金及时拨付</w:t>
            </w:r>
          </w:p>
        </w:tc>
        <w:tc>
          <w:tcPr>
            <w:tcW w:w="1276" w:type="dxa"/>
            <w:vAlign w:val="center"/>
          </w:tcPr>
          <w:p>
            <w:pPr>
              <w:pStyle w:val="12"/>
            </w:pPr>
            <w:r>
              <w:t>以节聚势促进县经济发展</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促进县经济发展</w:t>
            </w:r>
          </w:p>
        </w:tc>
        <w:tc>
          <w:tcPr>
            <w:tcW w:w="2891" w:type="dxa"/>
            <w:vAlign w:val="center"/>
          </w:tcPr>
          <w:p>
            <w:pPr>
              <w:pStyle w:val="12"/>
            </w:pPr>
            <w:r>
              <w:t>促进本地消费县经济发展</w:t>
            </w:r>
          </w:p>
        </w:tc>
        <w:tc>
          <w:tcPr>
            <w:tcW w:w="1276" w:type="dxa"/>
            <w:vAlign w:val="center"/>
          </w:tcPr>
          <w:p>
            <w:pPr>
              <w:pStyle w:val="12"/>
            </w:pPr>
            <w:r>
              <w:t>促进本地消费县经济发展</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双节购物促进经济发展</w:t>
            </w:r>
          </w:p>
        </w:tc>
        <w:tc>
          <w:tcPr>
            <w:tcW w:w="2891" w:type="dxa"/>
            <w:vAlign w:val="center"/>
          </w:tcPr>
          <w:p>
            <w:pPr>
              <w:pStyle w:val="12"/>
            </w:pPr>
            <w:r>
              <w:t>双节购物促进经济发展</w:t>
            </w:r>
          </w:p>
        </w:tc>
        <w:tc>
          <w:tcPr>
            <w:tcW w:w="1276" w:type="dxa"/>
            <w:vAlign w:val="center"/>
          </w:tcPr>
          <w:p>
            <w:pPr>
              <w:pStyle w:val="12"/>
            </w:pPr>
            <w:r>
              <w:t>双节购物促进经济发展</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以节兴商</w:t>
            </w:r>
          </w:p>
        </w:tc>
        <w:tc>
          <w:tcPr>
            <w:tcW w:w="2891" w:type="dxa"/>
            <w:vAlign w:val="center"/>
          </w:tcPr>
          <w:p>
            <w:pPr>
              <w:pStyle w:val="12"/>
            </w:pPr>
            <w:r>
              <w:t>促进县经济发展</w:t>
            </w:r>
          </w:p>
        </w:tc>
        <w:tc>
          <w:tcPr>
            <w:tcW w:w="1276" w:type="dxa"/>
            <w:vAlign w:val="center"/>
          </w:tcPr>
          <w:p>
            <w:pPr>
              <w:pStyle w:val="12"/>
            </w:pPr>
            <w:r>
              <w:t>促进县经济发展</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县经济稳步增长</w:t>
            </w:r>
          </w:p>
        </w:tc>
        <w:tc>
          <w:tcPr>
            <w:tcW w:w="2891" w:type="dxa"/>
            <w:vAlign w:val="center"/>
          </w:tcPr>
          <w:p>
            <w:pPr>
              <w:pStyle w:val="12"/>
            </w:pPr>
            <w:r>
              <w:t>县经济稳步增长</w:t>
            </w:r>
          </w:p>
        </w:tc>
        <w:tc>
          <w:tcPr>
            <w:tcW w:w="1276" w:type="dxa"/>
            <w:vAlign w:val="center"/>
          </w:tcPr>
          <w:p>
            <w:pPr>
              <w:pStyle w:val="12"/>
            </w:pPr>
            <w:r>
              <w:t>县经济稳步增长</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受益群体满意度</w:t>
            </w:r>
          </w:p>
        </w:tc>
        <w:tc>
          <w:tcPr>
            <w:tcW w:w="1276" w:type="dxa"/>
            <w:vAlign w:val="center"/>
          </w:tcPr>
          <w:p>
            <w:pPr>
              <w:pStyle w:val="12"/>
            </w:pPr>
            <w:r>
              <w:t>≥85受益群体满意度</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县领导满意度</w:t>
            </w:r>
          </w:p>
        </w:tc>
        <w:tc>
          <w:tcPr>
            <w:tcW w:w="2891" w:type="dxa"/>
            <w:vAlign w:val="center"/>
          </w:tcPr>
          <w:p>
            <w:pPr>
              <w:pStyle w:val="12"/>
            </w:pPr>
            <w:r>
              <w:t>县领导满意度</w:t>
            </w:r>
          </w:p>
        </w:tc>
        <w:tc>
          <w:tcPr>
            <w:tcW w:w="1276" w:type="dxa"/>
            <w:vAlign w:val="center"/>
          </w:tcPr>
          <w:p>
            <w:pPr>
              <w:pStyle w:val="12"/>
            </w:pPr>
            <w:r>
              <w:t>≥85县领导满意度</w:t>
            </w:r>
          </w:p>
        </w:tc>
        <w:tc>
          <w:tcPr>
            <w:tcW w:w="1843"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≥85</w:t>
            </w:r>
            <w:r>
              <w:rPr>
                <w:rFonts w:hint="eastAsia"/>
                <w:lang w:val="en-US" w:eastAsia="zh-CN"/>
              </w:rPr>
              <w:t>%</w:t>
            </w:r>
            <w:r>
              <w:t>群众满意度</w:t>
            </w:r>
          </w:p>
        </w:tc>
        <w:tc>
          <w:tcPr>
            <w:tcW w:w="1843" w:type="dxa"/>
            <w:vAlign w:val="center"/>
          </w:tcPr>
          <w:p>
            <w:pPr>
              <w:pStyle w:val="12"/>
            </w:pPr>
            <w:r>
              <w:t>县领导批示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3、新增入统企业及社零额限上企业信息员奖励补助绩效目标表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13013024P000020100739</w:t>
            </w:r>
          </w:p>
        </w:tc>
        <w:tc>
          <w:tcPr>
            <w:tcW w:w="1587" w:type="dxa"/>
            <w:vAlign w:val="center"/>
          </w:tcPr>
          <w:p>
            <w:pPr>
              <w:pStyle w:val="10"/>
            </w:pPr>
            <w:r>
              <w:t>项目名称</w:t>
            </w:r>
          </w:p>
        </w:tc>
        <w:tc>
          <w:tcPr>
            <w:tcW w:w="4422" w:type="dxa"/>
            <w:gridSpan w:val="3"/>
            <w:vAlign w:val="center"/>
          </w:tcPr>
          <w:p>
            <w:pPr>
              <w:pStyle w:val="12"/>
            </w:pPr>
            <w:r>
              <w:t>新增入统企业及社零额限上企业信息员奖励补助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47.28</w:t>
            </w:r>
          </w:p>
        </w:tc>
        <w:tc>
          <w:tcPr>
            <w:tcW w:w="1587" w:type="dxa"/>
            <w:vAlign w:val="center"/>
          </w:tcPr>
          <w:p>
            <w:pPr>
              <w:pStyle w:val="10"/>
            </w:pPr>
            <w:r>
              <w:t>其中：财政    资金</w:t>
            </w:r>
          </w:p>
        </w:tc>
        <w:tc>
          <w:tcPr>
            <w:tcW w:w="1304" w:type="dxa"/>
            <w:vAlign w:val="center"/>
          </w:tcPr>
          <w:p>
            <w:pPr>
              <w:pStyle w:val="12"/>
            </w:pPr>
            <w:r>
              <w:t>47.28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新增入统企业及社零额限上企业信息员奖励补助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w:t>
            </w:r>
            <w:r>
              <w:t>.00</w:t>
            </w:r>
          </w:p>
        </w:tc>
        <w:tc>
          <w:tcPr>
            <w:tcW w:w="1587" w:type="dxa"/>
            <w:vAlign w:val="center"/>
          </w:tcPr>
          <w:p>
            <w:pPr>
              <w:pStyle w:val="13"/>
              <w:ind w:firstLine="0" w:firstLineChars="0"/>
            </w:pPr>
            <w:r>
              <w:rPr>
                <w:rFonts w:hint="eastAsia"/>
                <w:lang w:val="en-US" w:eastAsia="zh-CN"/>
              </w:rPr>
              <w:t>5</w:t>
            </w:r>
            <w:r>
              <w:t>0.00</w:t>
            </w:r>
          </w:p>
        </w:tc>
        <w:tc>
          <w:tcPr>
            <w:tcW w:w="1304" w:type="dxa"/>
            <w:vAlign w:val="center"/>
          </w:tcPr>
          <w:p>
            <w:pPr>
              <w:pStyle w:val="13"/>
              <w:ind w:firstLine="0" w:firstLineChars="0"/>
            </w:pPr>
            <w:r>
              <w:rPr>
                <w:rFonts w:hint="eastAsia"/>
                <w:lang w:val="en-US" w:eastAsia="zh-CN"/>
              </w:rPr>
              <w:t>75</w:t>
            </w:r>
            <w:r>
              <w:t>.00</w:t>
            </w:r>
          </w:p>
        </w:tc>
        <w:tc>
          <w:tcPr>
            <w:tcW w:w="3118" w:type="dxa"/>
            <w:gridSpan w:val="2"/>
            <w:vAlign w:val="center"/>
          </w:tcPr>
          <w:p>
            <w:pPr>
              <w:pStyle w:val="13"/>
              <w:ind w:firstLine="0" w:firstLineChars="0"/>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1.新增入统企业及社零额限上企业信息员奖励补助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补贴企业数量</w:t>
            </w:r>
          </w:p>
        </w:tc>
        <w:tc>
          <w:tcPr>
            <w:tcW w:w="2891" w:type="dxa"/>
            <w:vAlign w:val="center"/>
          </w:tcPr>
          <w:p>
            <w:pPr>
              <w:pStyle w:val="12"/>
            </w:pPr>
            <w:r>
              <w:t>实际补贴企业数量</w:t>
            </w:r>
          </w:p>
        </w:tc>
        <w:tc>
          <w:tcPr>
            <w:tcW w:w="1276" w:type="dxa"/>
            <w:vAlign w:val="center"/>
          </w:tcPr>
          <w:p>
            <w:pPr>
              <w:pStyle w:val="12"/>
            </w:pPr>
            <w:r>
              <w:t>补贴企业数量</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补贴、补助发放覆盖率</w:t>
            </w:r>
          </w:p>
        </w:tc>
        <w:tc>
          <w:tcPr>
            <w:tcW w:w="2891" w:type="dxa"/>
            <w:vAlign w:val="center"/>
          </w:tcPr>
          <w:p>
            <w:pPr>
              <w:pStyle w:val="12"/>
            </w:pPr>
            <w:r>
              <w:t>补贴发放覆盖率</w:t>
            </w:r>
          </w:p>
        </w:tc>
        <w:tc>
          <w:tcPr>
            <w:tcW w:w="1276" w:type="dxa"/>
            <w:vAlign w:val="center"/>
          </w:tcPr>
          <w:p>
            <w:pPr>
              <w:pStyle w:val="12"/>
            </w:pPr>
            <w:r>
              <w:rPr>
                <w:rFonts w:hint="eastAsia"/>
                <w:lang w:val="en-US" w:eastAsia="zh-CN"/>
              </w:rPr>
              <w:t>100</w:t>
            </w:r>
            <w:r>
              <w:t>%</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补贴、补助发放时间</w:t>
            </w:r>
          </w:p>
        </w:tc>
        <w:tc>
          <w:tcPr>
            <w:tcW w:w="2891" w:type="dxa"/>
            <w:vAlign w:val="center"/>
          </w:tcPr>
          <w:p>
            <w:pPr>
              <w:pStyle w:val="12"/>
            </w:pPr>
            <w:r>
              <w:t>补贴、补助发放时间</w:t>
            </w:r>
          </w:p>
        </w:tc>
        <w:tc>
          <w:tcPr>
            <w:tcW w:w="1276" w:type="dxa"/>
            <w:vAlign w:val="center"/>
          </w:tcPr>
          <w:p>
            <w:pPr>
              <w:pStyle w:val="12"/>
            </w:pPr>
            <w:r>
              <w:t>按规定及时发放</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补贴标准</w:t>
            </w:r>
          </w:p>
        </w:tc>
        <w:tc>
          <w:tcPr>
            <w:tcW w:w="2891" w:type="dxa"/>
            <w:vAlign w:val="center"/>
          </w:tcPr>
          <w:p>
            <w:pPr>
              <w:pStyle w:val="12"/>
            </w:pPr>
            <w:r>
              <w:t>补贴发放标准</w:t>
            </w:r>
          </w:p>
        </w:tc>
        <w:tc>
          <w:tcPr>
            <w:tcW w:w="1276" w:type="dxa"/>
            <w:vAlign w:val="center"/>
          </w:tcPr>
          <w:p>
            <w:pPr>
              <w:pStyle w:val="12"/>
            </w:pPr>
            <w:r>
              <w:t>≥95%</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工作正常运转完成率</w:t>
            </w:r>
          </w:p>
        </w:tc>
        <w:tc>
          <w:tcPr>
            <w:tcW w:w="2891" w:type="dxa"/>
            <w:vAlign w:val="center"/>
          </w:tcPr>
          <w:p>
            <w:pPr>
              <w:pStyle w:val="12"/>
            </w:pPr>
            <w:r>
              <w:t>工作正常运转</w:t>
            </w:r>
          </w:p>
        </w:tc>
        <w:tc>
          <w:tcPr>
            <w:tcW w:w="1276" w:type="dxa"/>
            <w:vAlign w:val="center"/>
          </w:tcPr>
          <w:p>
            <w:pPr>
              <w:pStyle w:val="12"/>
            </w:pPr>
            <w:r>
              <w:t>工作运转情况</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保证工作正常进行</w:t>
            </w:r>
          </w:p>
        </w:tc>
        <w:tc>
          <w:tcPr>
            <w:tcW w:w="2891" w:type="dxa"/>
            <w:vAlign w:val="center"/>
          </w:tcPr>
          <w:p>
            <w:pPr>
              <w:pStyle w:val="12"/>
            </w:pPr>
            <w:r>
              <w:t>保障工作正常进行</w:t>
            </w:r>
          </w:p>
        </w:tc>
        <w:tc>
          <w:tcPr>
            <w:tcW w:w="1276" w:type="dxa"/>
            <w:vAlign w:val="center"/>
          </w:tcPr>
          <w:p>
            <w:pPr>
              <w:pStyle w:val="12"/>
            </w:pPr>
            <w:r>
              <w:t>正常开展情况</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社会发展保障力</w:t>
            </w:r>
          </w:p>
        </w:tc>
        <w:tc>
          <w:tcPr>
            <w:tcW w:w="2891" w:type="dxa"/>
            <w:vAlign w:val="center"/>
          </w:tcPr>
          <w:p>
            <w:pPr>
              <w:pStyle w:val="12"/>
            </w:pPr>
            <w:r>
              <w:t>社会发展保障力</w:t>
            </w:r>
          </w:p>
        </w:tc>
        <w:tc>
          <w:tcPr>
            <w:tcW w:w="1276" w:type="dxa"/>
            <w:vAlign w:val="center"/>
          </w:tcPr>
          <w:p>
            <w:pPr>
              <w:pStyle w:val="12"/>
            </w:pPr>
            <w:r>
              <w:t>社会发展保障力</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保障人员稳定</w:t>
            </w:r>
          </w:p>
        </w:tc>
        <w:tc>
          <w:tcPr>
            <w:tcW w:w="2891" w:type="dxa"/>
            <w:vAlign w:val="center"/>
          </w:tcPr>
          <w:p>
            <w:pPr>
              <w:pStyle w:val="12"/>
            </w:pPr>
            <w:r>
              <w:t>保障人员稳定</w:t>
            </w:r>
          </w:p>
        </w:tc>
        <w:tc>
          <w:tcPr>
            <w:tcW w:w="1276" w:type="dxa"/>
            <w:vAlign w:val="center"/>
          </w:tcPr>
          <w:p>
            <w:pPr>
              <w:pStyle w:val="12"/>
            </w:pPr>
            <w:r>
              <w:t>人员稳定</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≥95%</w:t>
            </w:r>
          </w:p>
        </w:tc>
        <w:tc>
          <w:tcPr>
            <w:tcW w:w="1843" w:type="dxa"/>
            <w:vAlign w:val="center"/>
          </w:tcPr>
          <w:p>
            <w:pPr>
              <w:pStyle w:val="12"/>
            </w:pPr>
            <w:r>
              <w:t>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≥95%</w:t>
            </w:r>
          </w:p>
        </w:tc>
        <w:tc>
          <w:tcPr>
            <w:tcW w:w="1843" w:type="dxa"/>
            <w:vAlign w:val="center"/>
          </w:tcPr>
          <w:p>
            <w:pPr>
              <w:pStyle w:val="12"/>
            </w:pPr>
            <w:r>
              <w:t>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322001无极县商务局本级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无极县商务局本级上年末固定资产金额为220.97万元（详见下表）。本年度拟购置固定资产总额为0.00万元。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322001无极县商务局本级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630</w:t>
            </w:r>
          </w:p>
        </w:tc>
        <w:tc>
          <w:tcPr>
            <w:tcW w:w="2835" w:type="dxa"/>
            <w:vAlign w:val="center"/>
          </w:tcPr>
          <w:p>
            <w:pPr>
              <w:pStyle w:val="11"/>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27.93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198</w:t>
            </w:r>
          </w:p>
        </w:tc>
        <w:tc>
          <w:tcPr>
            <w:tcW w:w="2835" w:type="dxa"/>
            <w:vAlign w:val="center"/>
          </w:tcPr>
          <w:p>
            <w:pPr>
              <w:pStyle w:val="11"/>
            </w:pPr>
            <w:r>
              <w:t>66.16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5MGY1NDc5MzI4ODg3NmNjMmM3MjJmYTg4MDRhMGUifQ=="/>
  </w:docVars>
  <w:rsids>
    <w:rsidRoot w:val="00000000"/>
    <w:rsid w:val="0B233E27"/>
    <w:rsid w:val="0EA174D3"/>
    <w:rsid w:val="177D6416"/>
    <w:rsid w:val="290E5763"/>
    <w:rsid w:val="2FE9601A"/>
    <w:rsid w:val="5E711316"/>
    <w:rsid w:val="65FD3976"/>
    <w:rsid w:val="68643F96"/>
    <w:rsid w:val="6C345F72"/>
    <w:rsid w:val="71FA3938"/>
    <w:rsid w:val="7A4A40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2024-02-01T16:53:44Z</dcterms:created>
  <dcterms:modified xsi:type="dcterms:W3CDTF">2024-02-01T08:53:44Z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2024-02-01T16:53:51Z</dcterms:created>
  <dcterms:modified xsi:type="dcterms:W3CDTF">2024-02-01T08:53:51Z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2024-02-01T16:53:50Z</dcterms:created>
  <dcterms:modified xsi:type="dcterms:W3CDTF">2024-02-01T08:53:50Z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2024-02-01T16:53:47Z</dcterms:created>
  <dcterms:modified xsi:type="dcterms:W3CDTF">2024-02-01T08:53:47Z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2024-02-01T16:53:47Z</dcterms:created>
  <dcterms:modified xsi:type="dcterms:W3CDTF">2024-02-01T08:53:47Z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2024-02-01T16:53:44Z</dcterms:created>
  <dcterms:modified xsi:type="dcterms:W3CDTF">2024-02-01T08:53:44Z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2024-02-01T16:53:39Z</dcterms:created>
  <dcterms:modified xsi:type="dcterms:W3CDTF">2024-02-01T08:53:39Z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2024-02-01T16:53:43Z</dcterms:created>
  <dcterms:modified xsi:type="dcterms:W3CDTF">2024-02-01T08:53:43Z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2024-02-01T16:53:43Z</dcterms:created>
  <dcterms:modified xsi:type="dcterms:W3CDTF">2024-02-01T08:53:43Z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2024-02-01T16:53:42Z</dcterms:created>
  <dcterms:modified xsi:type="dcterms:W3CDTF">2024-02-01T08:53:42Z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9a2d960-202a-4e38-9bbb-8f427c862c8a}">
  <ds:schemaRefs/>
</ds:datastoreItem>
</file>

<file path=customXml/itemProps10.xml><?xml version="1.0" encoding="utf-8"?>
<ds:datastoreItem xmlns:ds="http://schemas.openxmlformats.org/officeDocument/2006/customXml" ds:itemID="{2ff6f501-1cf6-4894-8f90-1e834f17c148}">
  <ds:schemaRefs/>
</ds:datastoreItem>
</file>

<file path=customXml/itemProps11.xml><?xml version="1.0" encoding="utf-8"?>
<ds:datastoreItem xmlns:ds="http://schemas.openxmlformats.org/officeDocument/2006/customXml" ds:itemID="{b1ffeb78-30e2-4292-a2b6-36ee0f05b850}">
  <ds:schemaRefs/>
</ds:datastoreItem>
</file>

<file path=customXml/itemProps12.xml><?xml version="1.0" encoding="utf-8"?>
<ds:datastoreItem xmlns:ds="http://schemas.openxmlformats.org/officeDocument/2006/customXml" ds:itemID="{b763065f-195d-4f47-aa06-fc1d34bedae3}">
  <ds:schemaRefs/>
</ds:datastoreItem>
</file>

<file path=customXml/itemProps13.xml><?xml version="1.0" encoding="utf-8"?>
<ds:datastoreItem xmlns:ds="http://schemas.openxmlformats.org/officeDocument/2006/customXml" ds:itemID="{3d53bb6a-c5e1-4a9a-8659-bd6d03dda64b}">
  <ds:schemaRefs/>
</ds:datastoreItem>
</file>

<file path=customXml/itemProps14.xml><?xml version="1.0" encoding="utf-8"?>
<ds:datastoreItem xmlns:ds="http://schemas.openxmlformats.org/officeDocument/2006/customXml" ds:itemID="{ea5556b6-6fb9-4e37-a748-0ba882e40a3a}">
  <ds:schemaRefs/>
</ds:datastoreItem>
</file>

<file path=customXml/itemProps15.xml><?xml version="1.0" encoding="utf-8"?>
<ds:datastoreItem xmlns:ds="http://schemas.openxmlformats.org/officeDocument/2006/customXml" ds:itemID="{ce85859f-8ac4-40fb-b620-d5543bb649ca}">
  <ds:schemaRefs/>
</ds:datastoreItem>
</file>

<file path=customXml/itemProps16.xml><?xml version="1.0" encoding="utf-8"?>
<ds:datastoreItem xmlns:ds="http://schemas.openxmlformats.org/officeDocument/2006/customXml" ds:itemID="{360820a5-f010-418f-96df-da2c8dd70d16}">
  <ds:schemaRefs/>
</ds:datastoreItem>
</file>

<file path=customXml/itemProps17.xml><?xml version="1.0" encoding="utf-8"?>
<ds:datastoreItem xmlns:ds="http://schemas.openxmlformats.org/officeDocument/2006/customXml" ds:itemID="{5a5be4b7-194c-4126-83e5-a88ac73b7b86}">
  <ds:schemaRefs/>
</ds:datastoreItem>
</file>

<file path=customXml/itemProps18.xml><?xml version="1.0" encoding="utf-8"?>
<ds:datastoreItem xmlns:ds="http://schemas.openxmlformats.org/officeDocument/2006/customXml" ds:itemID="{3d596293-4554-4996-8dac-d7dd9111ffaf}">
  <ds:schemaRefs/>
</ds:datastoreItem>
</file>

<file path=customXml/itemProps19.xml><?xml version="1.0" encoding="utf-8"?>
<ds:datastoreItem xmlns:ds="http://schemas.openxmlformats.org/officeDocument/2006/customXml" ds:itemID="{a849295a-6890-4db3-9a06-7e8e9bf96153}">
  <ds:schemaRefs/>
</ds:datastoreItem>
</file>

<file path=customXml/itemProps2.xml><?xml version="1.0" encoding="utf-8"?>
<ds:datastoreItem xmlns:ds="http://schemas.openxmlformats.org/officeDocument/2006/customXml" ds:itemID="{5e72f016-3c1b-4a1a-b603-1e7ab99cf118}">
  <ds:schemaRefs/>
</ds:datastoreItem>
</file>

<file path=customXml/itemProps20.xml><?xml version="1.0" encoding="utf-8"?>
<ds:datastoreItem xmlns:ds="http://schemas.openxmlformats.org/officeDocument/2006/customXml" ds:itemID="{17eed216-ec9c-473c-8b4f-e17f38b68f8d}">
  <ds:schemaRefs/>
</ds:datastoreItem>
</file>

<file path=customXml/itemProps3.xml><?xml version="1.0" encoding="utf-8"?>
<ds:datastoreItem xmlns:ds="http://schemas.openxmlformats.org/officeDocument/2006/customXml" ds:itemID="{60bc4bdd-ea3c-4621-8a2c-69454a70873d}">
  <ds:schemaRefs/>
</ds:datastoreItem>
</file>

<file path=customXml/itemProps4.xml><?xml version="1.0" encoding="utf-8"?>
<ds:datastoreItem xmlns:ds="http://schemas.openxmlformats.org/officeDocument/2006/customXml" ds:itemID="{35e3b6eb-9dd3-4eee-aa00-87b56ddd9f99}">
  <ds:schemaRefs/>
</ds:datastoreItem>
</file>

<file path=customXml/itemProps5.xml><?xml version="1.0" encoding="utf-8"?>
<ds:datastoreItem xmlns:ds="http://schemas.openxmlformats.org/officeDocument/2006/customXml" ds:itemID="{b99d0bbe-3fc6-4686-ba9b-9fc53bfb5efa}">
  <ds:schemaRefs/>
</ds:datastoreItem>
</file>

<file path=customXml/itemProps6.xml><?xml version="1.0" encoding="utf-8"?>
<ds:datastoreItem xmlns:ds="http://schemas.openxmlformats.org/officeDocument/2006/customXml" ds:itemID="{7f1bad7e-14eb-46d7-b32b-eab588383cd3}">
  <ds:schemaRefs/>
</ds:datastoreItem>
</file>

<file path=customXml/itemProps7.xml><?xml version="1.0" encoding="utf-8"?>
<ds:datastoreItem xmlns:ds="http://schemas.openxmlformats.org/officeDocument/2006/customXml" ds:itemID="{e09897b2-7ead-47ba-a023-4dd97813ad63}">
  <ds:schemaRefs/>
</ds:datastoreItem>
</file>

<file path=customXml/itemProps8.xml><?xml version="1.0" encoding="utf-8"?>
<ds:datastoreItem xmlns:ds="http://schemas.openxmlformats.org/officeDocument/2006/customXml" ds:itemID="{18f956b5-7441-4947-9621-b835870fa200}">
  <ds:schemaRefs/>
</ds:datastoreItem>
</file>

<file path=customXml/itemProps9.xml><?xml version="1.0" encoding="utf-8"?>
<ds:datastoreItem xmlns:ds="http://schemas.openxmlformats.org/officeDocument/2006/customXml" ds:itemID="{7237dd5c-a1b8-477f-8e99-c4dd6647ace2}">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2024-02-01T16:53:00Z</dcterms:created>
  <dc:creator>Administrator</dc:creator>
  <cp:lastModifiedBy>浮生</cp:lastModifiedBy>
  <dcterms:modified xsi:type="dcterms:W3CDTF">2025-10-27T08:02:54Z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22CB52F24783484F8610EA69074595C1</vt:lpwstr>
  </property>
</Properties>
</file>