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19</w:t>
      </w:r>
    </w:p>
    <w:p>
      <w:pPr>
        <w:pStyle w:val="3"/>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20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rPr>
          <w:rFonts w:hint="eastAsia"/>
          <w:lang w:val="en-US" w:eastAsia="zh-CN"/>
        </w:rPr>
        <w:t>21</w:t>
      </w:r>
    </w:p>
    <w:p>
      <w:pPr>
        <w:pStyle w:val="3"/>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end"/>
      </w:r>
      <w:r>
        <w:rPr>
          <w:rFonts w:hint="eastAsia"/>
          <w:lang w:val="en-US" w:eastAsia="zh-CN"/>
        </w:rPr>
        <w:t>21</w:t>
      </w:r>
    </w:p>
    <w:p>
      <w:pPr>
        <w:pStyle w:val="3"/>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22</w:t>
      </w:r>
    </w:p>
    <w:p>
      <w:pPr>
        <w:pStyle w:val="3"/>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22</w:t>
      </w:r>
    </w:p>
    <w:p>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五、部门整体绩效目标</w:t>
      </w:r>
      <w:r>
        <w:tab/>
      </w:r>
      <w:r>
        <w:fldChar w:fldCharType="end"/>
      </w:r>
      <w:r>
        <w:rPr>
          <w:rFonts w:hint="eastAsia"/>
          <w:lang w:val="en-US" w:eastAsia="zh-CN"/>
        </w:rPr>
        <w:t>23</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end"/>
      </w:r>
      <w:r>
        <w:rPr>
          <w:rFonts w:hint="eastAsia"/>
          <w:lang w:val="en-US" w:eastAsia="zh-CN"/>
        </w:rPr>
        <w:t>32</w:t>
      </w:r>
    </w:p>
    <w:p>
      <w:pPr>
        <w:pStyle w:val="3"/>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fldChar w:fldCharType="end"/>
      </w:r>
      <w:r>
        <w:rPr>
          <w:rFonts w:hint="eastAsia"/>
          <w:lang w:val="en-US" w:eastAsia="zh-CN"/>
        </w:rPr>
        <w:t>33</w:t>
      </w:r>
    </w:p>
    <w:p>
      <w:pPr>
        <w:pStyle w:val="3"/>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fldChar w:fldCharType="end"/>
      </w:r>
      <w:r>
        <w:rPr>
          <w:rFonts w:hint="eastAsia"/>
          <w:lang w:val="en-US" w:eastAsia="zh-CN"/>
        </w:rPr>
        <w:t>37</w:t>
      </w:r>
    </w:p>
    <w:p>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37</w:t>
      </w:r>
    </w:p>
    <w:p>
      <w:pPr>
        <w:pStyle w:val="3"/>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38</w:t>
      </w:r>
    </w:p>
    <w:p>
      <w:pPr>
        <w:pStyle w:val="3"/>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end"/>
      </w:r>
      <w:r>
        <w:rPr>
          <w:rFonts w:hint="eastAsia"/>
          <w:lang w:val="en-US" w:eastAsia="zh-CN"/>
        </w:rPr>
        <w:t>39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322无极县商务局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829.37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766.37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829.37</w:t>
            </w:r>
          </w:p>
        </w:tc>
        <w:tc>
          <w:tcPr>
            <w:tcW w:w="4535" w:type="dxa"/>
            <w:vAlign w:val="center"/>
          </w:tcPr>
          <w:p>
            <w:pPr>
              <w:pStyle w:val="15"/>
            </w:pPr>
            <w:r>
              <w:t>本年支出合计</w:t>
            </w:r>
          </w:p>
        </w:tc>
        <w:tc>
          <w:tcPr>
            <w:tcW w:w="2126" w:type="dxa"/>
            <w:vAlign w:val="center"/>
          </w:tcPr>
          <w:p>
            <w:pPr>
              <w:pStyle w:val="16"/>
            </w:pPr>
            <w:r>
              <w:t>829.37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829.37</w:t>
            </w:r>
          </w:p>
        </w:tc>
        <w:tc>
          <w:tcPr>
            <w:tcW w:w="4535" w:type="dxa"/>
            <w:vAlign w:val="center"/>
          </w:tcPr>
          <w:p>
            <w:pPr>
              <w:pStyle w:val="15"/>
            </w:pPr>
            <w:r>
              <w:t>支出总计</w:t>
            </w:r>
          </w:p>
        </w:tc>
        <w:tc>
          <w:tcPr>
            <w:tcW w:w="2126" w:type="dxa"/>
            <w:vAlign w:val="center"/>
          </w:tcPr>
          <w:p>
            <w:pPr>
              <w:pStyle w:val="16"/>
            </w:pPr>
            <w:r>
              <w:t>829.37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322无极县商务局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829.37</w:t>
            </w:r>
          </w:p>
        </w:tc>
        <w:tc>
          <w:tcPr>
            <w:tcW w:w="1134" w:type="dxa"/>
            <w:vAlign w:val="center"/>
          </w:tcPr>
          <w:p>
            <w:pPr>
              <w:pStyle w:val="16"/>
            </w:pPr>
            <w:r>
              <w:t>829.37</w:t>
            </w:r>
          </w:p>
        </w:tc>
        <w:tc>
          <w:tcPr>
            <w:tcW w:w="1134" w:type="dxa"/>
            <w:vAlign w:val="center"/>
          </w:tcPr>
          <w:p>
            <w:pPr>
              <w:pStyle w:val="16"/>
            </w:pPr>
            <w:r>
              <w:t>829.37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766.37</w:t>
            </w:r>
          </w:p>
        </w:tc>
        <w:tc>
          <w:tcPr>
            <w:tcW w:w="1134" w:type="dxa"/>
            <w:vAlign w:val="center"/>
          </w:tcPr>
          <w:p>
            <w:pPr>
              <w:pStyle w:val="12"/>
            </w:pPr>
            <w:r>
              <w:t>766.37</w:t>
            </w:r>
          </w:p>
        </w:tc>
        <w:tc>
          <w:tcPr>
            <w:tcW w:w="1134" w:type="dxa"/>
            <w:vAlign w:val="center"/>
          </w:tcPr>
          <w:p>
            <w:pPr>
              <w:pStyle w:val="12"/>
            </w:pPr>
            <w:r>
              <w:t>766.37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766.37</w:t>
            </w:r>
          </w:p>
        </w:tc>
        <w:tc>
          <w:tcPr>
            <w:tcW w:w="1134" w:type="dxa"/>
            <w:vAlign w:val="center"/>
          </w:tcPr>
          <w:p>
            <w:pPr>
              <w:pStyle w:val="12"/>
            </w:pPr>
            <w:r>
              <w:t>766.37</w:t>
            </w:r>
          </w:p>
        </w:tc>
        <w:tc>
          <w:tcPr>
            <w:tcW w:w="1134" w:type="dxa"/>
            <w:vAlign w:val="center"/>
          </w:tcPr>
          <w:p>
            <w:pPr>
              <w:pStyle w:val="12"/>
            </w:pPr>
            <w:r>
              <w:t>766.37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2160201</w:t>
            </w:r>
          </w:p>
        </w:tc>
        <w:tc>
          <w:tcPr>
            <w:tcW w:w="1559" w:type="dxa"/>
            <w:vAlign w:val="center"/>
          </w:tcPr>
          <w:p>
            <w:pPr>
              <w:pStyle w:val="13"/>
            </w:pPr>
            <w:r>
              <w:t>行政运行</w:t>
            </w:r>
          </w:p>
        </w:tc>
        <w:tc>
          <w:tcPr>
            <w:tcW w:w="1134" w:type="dxa"/>
            <w:vAlign w:val="center"/>
          </w:tcPr>
          <w:p>
            <w:pPr>
              <w:pStyle w:val="12"/>
            </w:pPr>
            <w:r>
              <w:t>569.09</w:t>
            </w:r>
          </w:p>
        </w:tc>
        <w:tc>
          <w:tcPr>
            <w:tcW w:w="1134" w:type="dxa"/>
            <w:vAlign w:val="center"/>
          </w:tcPr>
          <w:p>
            <w:pPr>
              <w:pStyle w:val="12"/>
            </w:pPr>
            <w:r>
              <w:t>569.09</w:t>
            </w:r>
          </w:p>
        </w:tc>
        <w:tc>
          <w:tcPr>
            <w:tcW w:w="1134" w:type="dxa"/>
            <w:vAlign w:val="center"/>
          </w:tcPr>
          <w:p>
            <w:pPr>
              <w:pStyle w:val="12"/>
            </w:pPr>
            <w:r>
              <w:t>569.09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197.28</w:t>
            </w:r>
          </w:p>
        </w:tc>
        <w:tc>
          <w:tcPr>
            <w:tcW w:w="1134" w:type="dxa"/>
            <w:vAlign w:val="center"/>
          </w:tcPr>
          <w:p>
            <w:pPr>
              <w:pStyle w:val="12"/>
            </w:pPr>
            <w:r>
              <w:t>197.28</w:t>
            </w:r>
          </w:p>
        </w:tc>
        <w:tc>
          <w:tcPr>
            <w:tcW w:w="1134" w:type="dxa"/>
            <w:vAlign w:val="center"/>
          </w:tcPr>
          <w:p>
            <w:pPr>
              <w:pStyle w:val="12"/>
            </w:pPr>
            <w:r>
              <w:t>197.28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829.37</w:t>
            </w:r>
          </w:p>
        </w:tc>
        <w:tc>
          <w:tcPr>
            <w:tcW w:w="1361" w:type="dxa"/>
            <w:vAlign w:val="center"/>
          </w:tcPr>
          <w:p>
            <w:pPr>
              <w:pStyle w:val="16"/>
            </w:pPr>
            <w:r>
              <w:t>632.09</w:t>
            </w:r>
          </w:p>
        </w:tc>
        <w:tc>
          <w:tcPr>
            <w:tcW w:w="1361" w:type="dxa"/>
            <w:vAlign w:val="center"/>
          </w:tcPr>
          <w:p>
            <w:pPr>
              <w:pStyle w:val="16"/>
            </w:pPr>
            <w:r>
              <w:t>197.28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47.00</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47.00</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766.37</w:t>
            </w:r>
          </w:p>
        </w:tc>
        <w:tc>
          <w:tcPr>
            <w:tcW w:w="1361" w:type="dxa"/>
            <w:vAlign w:val="center"/>
          </w:tcPr>
          <w:p>
            <w:pPr>
              <w:pStyle w:val="12"/>
            </w:pPr>
            <w:r>
              <w:t>569.09</w:t>
            </w:r>
          </w:p>
        </w:tc>
        <w:tc>
          <w:tcPr>
            <w:tcW w:w="1361" w:type="dxa"/>
            <w:vAlign w:val="center"/>
          </w:tcPr>
          <w:p>
            <w:pPr>
              <w:pStyle w:val="12"/>
            </w:pPr>
            <w:r>
              <w:t>197.28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766.37</w:t>
            </w:r>
          </w:p>
        </w:tc>
        <w:tc>
          <w:tcPr>
            <w:tcW w:w="1361" w:type="dxa"/>
            <w:vAlign w:val="center"/>
          </w:tcPr>
          <w:p>
            <w:pPr>
              <w:pStyle w:val="12"/>
            </w:pPr>
            <w:r>
              <w:t>569.09</w:t>
            </w:r>
          </w:p>
        </w:tc>
        <w:tc>
          <w:tcPr>
            <w:tcW w:w="1361" w:type="dxa"/>
            <w:vAlign w:val="center"/>
          </w:tcPr>
          <w:p>
            <w:pPr>
              <w:pStyle w:val="12"/>
            </w:pPr>
            <w:r>
              <w:t>197.28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2160201</w:t>
            </w:r>
          </w:p>
        </w:tc>
        <w:tc>
          <w:tcPr>
            <w:tcW w:w="4535" w:type="dxa"/>
            <w:vAlign w:val="center"/>
          </w:tcPr>
          <w:p>
            <w:pPr>
              <w:pStyle w:val="13"/>
            </w:pPr>
            <w:r>
              <w:t>行政运行</w:t>
            </w:r>
          </w:p>
        </w:tc>
        <w:tc>
          <w:tcPr>
            <w:tcW w:w="1361" w:type="dxa"/>
            <w:vAlign w:val="center"/>
          </w:tcPr>
          <w:p>
            <w:pPr>
              <w:pStyle w:val="12"/>
            </w:pPr>
            <w:r>
              <w:t>569.09</w:t>
            </w:r>
          </w:p>
        </w:tc>
        <w:tc>
          <w:tcPr>
            <w:tcW w:w="1361" w:type="dxa"/>
            <w:vAlign w:val="center"/>
          </w:tcPr>
          <w:p>
            <w:pPr>
              <w:pStyle w:val="12"/>
            </w:pPr>
            <w:r>
              <w:t>569.09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197.28</w:t>
            </w:r>
          </w:p>
        </w:tc>
        <w:tc>
          <w:tcPr>
            <w:tcW w:w="1361" w:type="dxa"/>
            <w:vAlign w:val="center"/>
          </w:tcPr>
          <w:p>
            <w:pPr>
              <w:pStyle w:val="12"/>
            </w:pPr>
          </w:p>
        </w:tc>
        <w:tc>
          <w:tcPr>
            <w:tcW w:w="1361" w:type="dxa"/>
            <w:vAlign w:val="center"/>
          </w:tcPr>
          <w:p>
            <w:pPr>
              <w:pStyle w:val="12"/>
            </w:pPr>
            <w:r>
              <w:t>197.28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829.37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47.00</w:t>
            </w:r>
          </w:p>
        </w:tc>
        <w:tc>
          <w:tcPr>
            <w:tcW w:w="1474" w:type="dxa"/>
            <w:vAlign w:val="center"/>
          </w:tcPr>
          <w:p>
            <w:pPr>
              <w:pStyle w:val="12"/>
            </w:pPr>
            <w:r>
              <w:t>47.00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16.00</w:t>
            </w:r>
          </w:p>
        </w:tc>
        <w:tc>
          <w:tcPr>
            <w:tcW w:w="1474" w:type="dxa"/>
            <w:vAlign w:val="center"/>
          </w:tcPr>
          <w:p>
            <w:pPr>
              <w:pStyle w:val="12"/>
            </w:pPr>
            <w:r>
              <w:t>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766.37</w:t>
            </w:r>
          </w:p>
        </w:tc>
        <w:tc>
          <w:tcPr>
            <w:tcW w:w="1474" w:type="dxa"/>
            <w:vAlign w:val="center"/>
          </w:tcPr>
          <w:p>
            <w:pPr>
              <w:pStyle w:val="12"/>
            </w:pPr>
            <w:r>
              <w:t>766.37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829.37</w:t>
            </w:r>
          </w:p>
        </w:tc>
        <w:tc>
          <w:tcPr>
            <w:tcW w:w="3402" w:type="dxa"/>
            <w:vAlign w:val="center"/>
          </w:tcPr>
          <w:p>
            <w:pPr>
              <w:pStyle w:val="15"/>
            </w:pPr>
            <w:r>
              <w:t>本年支出合计</w:t>
            </w:r>
          </w:p>
        </w:tc>
        <w:tc>
          <w:tcPr>
            <w:tcW w:w="1474" w:type="dxa"/>
            <w:vAlign w:val="center"/>
          </w:tcPr>
          <w:p>
            <w:pPr>
              <w:pStyle w:val="16"/>
            </w:pPr>
            <w:r>
              <w:t>829.37</w:t>
            </w:r>
          </w:p>
        </w:tc>
        <w:tc>
          <w:tcPr>
            <w:tcW w:w="1474" w:type="dxa"/>
            <w:vAlign w:val="center"/>
          </w:tcPr>
          <w:p>
            <w:pPr>
              <w:pStyle w:val="16"/>
            </w:pPr>
            <w:r>
              <w:t>829.37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829.37</w:t>
            </w:r>
          </w:p>
        </w:tc>
        <w:tc>
          <w:tcPr>
            <w:tcW w:w="3402" w:type="dxa"/>
            <w:vAlign w:val="center"/>
          </w:tcPr>
          <w:p>
            <w:pPr>
              <w:pStyle w:val="15"/>
            </w:pPr>
            <w:r>
              <w:t>支出总计</w:t>
            </w:r>
          </w:p>
        </w:tc>
        <w:tc>
          <w:tcPr>
            <w:tcW w:w="1474" w:type="dxa"/>
            <w:vAlign w:val="center"/>
          </w:tcPr>
          <w:p>
            <w:pPr>
              <w:pStyle w:val="16"/>
            </w:pPr>
            <w:r>
              <w:t>829.37</w:t>
            </w:r>
          </w:p>
        </w:tc>
        <w:tc>
          <w:tcPr>
            <w:tcW w:w="1474" w:type="dxa"/>
            <w:vAlign w:val="center"/>
          </w:tcPr>
          <w:p>
            <w:pPr>
              <w:pStyle w:val="16"/>
            </w:pPr>
            <w:r>
              <w:t>829.37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829.37</w:t>
            </w:r>
          </w:p>
        </w:tc>
        <w:tc>
          <w:tcPr>
            <w:tcW w:w="2551" w:type="dxa"/>
            <w:vAlign w:val="center"/>
          </w:tcPr>
          <w:p>
            <w:pPr>
              <w:pStyle w:val="16"/>
            </w:pPr>
            <w:r>
              <w:t>632.09</w:t>
            </w:r>
          </w:p>
        </w:tc>
        <w:tc>
          <w:tcPr>
            <w:tcW w:w="2551" w:type="dxa"/>
            <w:vAlign w:val="center"/>
          </w:tcPr>
          <w:p>
            <w:pPr>
              <w:pStyle w:val="16"/>
            </w:pPr>
            <w:r>
              <w:t>197.28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766.37</w:t>
            </w:r>
          </w:p>
        </w:tc>
        <w:tc>
          <w:tcPr>
            <w:tcW w:w="2551" w:type="dxa"/>
            <w:vAlign w:val="center"/>
          </w:tcPr>
          <w:p>
            <w:pPr>
              <w:pStyle w:val="12"/>
            </w:pPr>
            <w:r>
              <w:t>569.09</w:t>
            </w:r>
          </w:p>
        </w:tc>
        <w:tc>
          <w:tcPr>
            <w:tcW w:w="2551" w:type="dxa"/>
            <w:vAlign w:val="center"/>
          </w:tcPr>
          <w:p>
            <w:pPr>
              <w:pStyle w:val="12"/>
            </w:pPr>
            <w:r>
              <w:t>197.28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766.37</w:t>
            </w:r>
          </w:p>
        </w:tc>
        <w:tc>
          <w:tcPr>
            <w:tcW w:w="2551" w:type="dxa"/>
            <w:vAlign w:val="center"/>
          </w:tcPr>
          <w:p>
            <w:pPr>
              <w:pStyle w:val="12"/>
            </w:pPr>
            <w:r>
              <w:t>569.09</w:t>
            </w:r>
          </w:p>
        </w:tc>
        <w:tc>
          <w:tcPr>
            <w:tcW w:w="2551" w:type="dxa"/>
            <w:vAlign w:val="center"/>
          </w:tcPr>
          <w:p>
            <w:pPr>
              <w:pStyle w:val="12"/>
            </w:pPr>
            <w:r>
              <w:t>197.28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2160201</w:t>
            </w:r>
          </w:p>
        </w:tc>
        <w:tc>
          <w:tcPr>
            <w:tcW w:w="4535" w:type="dxa"/>
            <w:vAlign w:val="center"/>
          </w:tcPr>
          <w:p>
            <w:pPr>
              <w:pStyle w:val="13"/>
            </w:pPr>
            <w:r>
              <w:t>行政运行</w:t>
            </w:r>
          </w:p>
        </w:tc>
        <w:tc>
          <w:tcPr>
            <w:tcW w:w="2551" w:type="dxa"/>
            <w:vAlign w:val="center"/>
          </w:tcPr>
          <w:p>
            <w:pPr>
              <w:pStyle w:val="12"/>
            </w:pPr>
            <w:r>
              <w:t>569.09</w:t>
            </w:r>
          </w:p>
        </w:tc>
        <w:tc>
          <w:tcPr>
            <w:tcW w:w="2551" w:type="dxa"/>
            <w:vAlign w:val="center"/>
          </w:tcPr>
          <w:p>
            <w:pPr>
              <w:pStyle w:val="12"/>
            </w:pPr>
            <w:r>
              <w:t>569.09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197.28</w:t>
            </w:r>
          </w:p>
        </w:tc>
        <w:tc>
          <w:tcPr>
            <w:tcW w:w="2551" w:type="dxa"/>
            <w:vAlign w:val="center"/>
          </w:tcPr>
          <w:p>
            <w:pPr>
              <w:pStyle w:val="12"/>
            </w:pPr>
          </w:p>
        </w:tc>
        <w:tc>
          <w:tcPr>
            <w:tcW w:w="2551" w:type="dxa"/>
            <w:vAlign w:val="center"/>
          </w:tcPr>
          <w:p>
            <w:pPr>
              <w:pStyle w:val="12"/>
            </w:pPr>
            <w:r>
              <w:t>197.28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632.09</w:t>
            </w:r>
          </w:p>
        </w:tc>
        <w:tc>
          <w:tcPr>
            <w:tcW w:w="2551" w:type="dxa"/>
            <w:vAlign w:val="center"/>
          </w:tcPr>
          <w:p>
            <w:pPr>
              <w:pStyle w:val="16"/>
            </w:pPr>
            <w:r>
              <w:t>576.89</w:t>
            </w:r>
          </w:p>
        </w:tc>
        <w:tc>
          <w:tcPr>
            <w:tcW w:w="2551" w:type="dxa"/>
            <w:vAlign w:val="center"/>
          </w:tcPr>
          <w:p>
            <w:pPr>
              <w:pStyle w:val="16"/>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457.81</w:t>
            </w:r>
          </w:p>
        </w:tc>
        <w:tc>
          <w:tcPr>
            <w:tcW w:w="2551" w:type="dxa"/>
            <w:vAlign w:val="center"/>
          </w:tcPr>
          <w:p>
            <w:pPr>
              <w:pStyle w:val="12"/>
            </w:pPr>
            <w:r>
              <w:t>457.81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307.00</w:t>
            </w:r>
          </w:p>
        </w:tc>
        <w:tc>
          <w:tcPr>
            <w:tcW w:w="2551" w:type="dxa"/>
            <w:vAlign w:val="center"/>
          </w:tcPr>
          <w:p>
            <w:pPr>
              <w:pStyle w:val="12"/>
            </w:pPr>
            <w:r>
              <w:t>307.00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33.10</w:t>
            </w:r>
          </w:p>
        </w:tc>
        <w:tc>
          <w:tcPr>
            <w:tcW w:w="2551" w:type="dxa"/>
            <w:vAlign w:val="center"/>
          </w:tcPr>
          <w:p>
            <w:pPr>
              <w:pStyle w:val="12"/>
            </w:pPr>
            <w:r>
              <w:t>33.10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26.20</w:t>
            </w:r>
          </w:p>
        </w:tc>
        <w:tc>
          <w:tcPr>
            <w:tcW w:w="2551" w:type="dxa"/>
            <w:vAlign w:val="center"/>
          </w:tcPr>
          <w:p>
            <w:pPr>
              <w:pStyle w:val="12"/>
            </w:pPr>
            <w:r>
              <w:t>26.20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1.51</w:t>
            </w:r>
          </w:p>
        </w:tc>
        <w:tc>
          <w:tcPr>
            <w:tcW w:w="2551" w:type="dxa"/>
            <w:vAlign w:val="center"/>
          </w:tcPr>
          <w:p>
            <w:pPr>
              <w:pStyle w:val="12"/>
            </w:pPr>
            <w:r>
              <w:t>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55.20</w:t>
            </w:r>
          </w:p>
        </w:tc>
        <w:tc>
          <w:tcPr>
            <w:tcW w:w="2551" w:type="dxa"/>
            <w:vAlign w:val="center"/>
          </w:tcPr>
          <w:p>
            <w:pPr>
              <w:pStyle w:val="12"/>
            </w:pPr>
          </w:p>
        </w:tc>
        <w:tc>
          <w:tcPr>
            <w:tcW w:w="2551" w:type="dxa"/>
            <w:vAlign w:val="center"/>
          </w:tcPr>
          <w:p>
            <w:pPr>
              <w:pStyle w:val="12"/>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26.50</w:t>
            </w:r>
          </w:p>
        </w:tc>
        <w:tc>
          <w:tcPr>
            <w:tcW w:w="2551" w:type="dxa"/>
            <w:vAlign w:val="center"/>
          </w:tcPr>
          <w:p>
            <w:pPr>
              <w:pStyle w:val="12"/>
            </w:pPr>
          </w:p>
        </w:tc>
        <w:tc>
          <w:tcPr>
            <w:tcW w:w="2551" w:type="dxa"/>
            <w:vAlign w:val="center"/>
          </w:tcPr>
          <w:p>
            <w:pPr>
              <w:pStyle w:val="12"/>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8.80</w:t>
            </w:r>
          </w:p>
        </w:tc>
        <w:tc>
          <w:tcPr>
            <w:tcW w:w="2551" w:type="dxa"/>
            <w:vAlign w:val="center"/>
          </w:tcPr>
          <w:p>
            <w:pPr>
              <w:pStyle w:val="12"/>
            </w:pPr>
          </w:p>
        </w:tc>
        <w:tc>
          <w:tcPr>
            <w:tcW w:w="2551" w:type="dxa"/>
            <w:vAlign w:val="center"/>
          </w:tcPr>
          <w:p>
            <w:pPr>
              <w:pStyle w:val="12"/>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119.08</w:t>
            </w:r>
          </w:p>
        </w:tc>
        <w:tc>
          <w:tcPr>
            <w:tcW w:w="2551" w:type="dxa"/>
            <w:vAlign w:val="center"/>
          </w:tcPr>
          <w:p>
            <w:pPr>
              <w:pStyle w:val="12"/>
            </w:pPr>
            <w:r>
              <w:t>119.08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16.48</w:t>
            </w:r>
          </w:p>
        </w:tc>
        <w:tc>
          <w:tcPr>
            <w:tcW w:w="2551" w:type="dxa"/>
            <w:vAlign w:val="center"/>
          </w:tcPr>
          <w:p>
            <w:pPr>
              <w:pStyle w:val="12"/>
            </w:pPr>
            <w:r>
              <w:t>16.48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102.60</w:t>
            </w:r>
          </w:p>
        </w:tc>
        <w:tc>
          <w:tcPr>
            <w:tcW w:w="2551" w:type="dxa"/>
            <w:vAlign w:val="center"/>
          </w:tcPr>
          <w:p>
            <w:pPr>
              <w:pStyle w:val="12"/>
            </w:pPr>
            <w:r>
              <w:t>102.60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无极县商务局2024年部门预算信息公开情况说明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无极县商务局2024年部门预算信息公开情况说明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按照《中华人民共和国预算法》、《地方预决算公开操作规程》和《关于进一步推进预算公开工作的实施意见》规定，现将无极县商务局2024年部门预算公开如下：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keepNext w:val="0"/>
        <w:keepLines w:val="0"/>
        <w:widowControl/>
        <w:suppressLineNumbers w:val="0"/>
        <w:spacing w:before="0" w:beforeAutospacing="0" w:after="0" w:afterAutospacing="0" w:line="15" w:lineRule="atLeast"/>
        <w:ind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keepNext w:val="0"/>
        <w:keepLines w:val="0"/>
        <w:widowControl/>
        <w:suppressLineNumbers w:val="0"/>
        <w:spacing w:before="0" w:beforeAutospacing="0" w:after="0" w:afterAutospacing="0" w:line="15" w:lineRule="atLeast"/>
        <w:ind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（七）贯彻执行国家对外技术贸易、进出口管制以及鼓励技术和成套设备进出口的贸易政策。拟订和推进全县科技兴贸战略，依法监督技术引进、设备进口、国家限制出口技术。</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（八）会同有关部门贯彻执行国家促进服务出口和服务外包发展的规划、政策，牵头拟订全县服务贸易发展规划并组织实施。</w:t>
      </w:r>
    </w:p>
    <w:p>
      <w:pPr>
        <w:keepNext w:val="0"/>
        <w:keepLines w:val="0"/>
        <w:widowControl/>
        <w:suppressLineNumbers w:val="0"/>
        <w:spacing w:before="0" w:beforeAutospacing="0" w:after="0" w:afterAutospacing="0" w:line="15" w:lineRule="atLeast"/>
        <w:ind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（十二）负责上级交办的涉及世贸组织相关工作。贯彻执行上级制定的对自由贸易区国家和地区的经贸规划、政策并组织实施。</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（十三）负责会展业促进和管理工作，拟订会展发展规划、政策措施并组织实施，组织指导境内技术展览会和赴境外非商业性办展活动。</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（十四）负责经贸交流合作工作。建立联系国内友好关系城市、负责县外单位在我县设立办事机构的备案工作。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（十五）监测分析全县商务运行情况，承担全县商务系统对外宣传和信息发布工作。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（十六）负责原商务、粮食系统改制企业资产、人员管理，处理原商务、粮食系统遗留问题，确保稳定，确保国有资产保值不流失。</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（十七）负责拟订招商引资、利用外资、区域协作中长期发展规划、年度计划并组织实施；研究拟订投资促进政策，承担县投资促进工作领导小组日常工作。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（十八）负责建立投资促进工作体系、工作机制，对利用国内外资金和经济技术合作进行统计、汇总、分析。</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（十九）负责促进资金、技术、人才、项目引进和产业对接，争取招商引资相关政策、资金和项目支持。</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（二十一）负责国（境）内外重大投资促进活动的谋划、方案制定和组织实施；牵头组织专业性、行业性投资促进活动；指导协调各乡镇开展招商活动。</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（二十三）负责对国（境）内外重要客户的联络拓展、重要团组和客户来访考察、洽谈的组织。</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（二十四）组织和促进委托招商、代理招商、中介招商、专业招商、网上招商等多种形式的招商活动，制订并落实奖励政策；加强招商引资专业人才队伍建设。</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（二十五）负责引进央企资金、项目及各项合作，促进合作项目的建设，负责为央企服务工作；负责外商投资项目建设的跟踪、协调和服务工作，负责引进资金到位统计工作。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（二十六）负责指导全县经济技术交流与区域经济技术合作工作；负责区域间资金、项目、人才、科研成果及产业合作工作，开展与重点大专院校、科研院所合作。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（二十八）完成县委、县政府交办的其他任务。</w:t>
      </w:r>
    </w:p>
    <w:p>
      <w:pPr>
        <w:spacing w:before="0" w:after="0" w:line="240" w:lineRule="auto"/>
        <w:ind w:firstLine="640"/>
        <w:jc w:val="left"/>
        <w:outlineLvl w:val="9"/>
        <w:rPr>
          <w:rFonts w:hint="eastAsia" w:ascii="仿宋_GB2312" w:hAnsi="仿宋_GB2312" w:eastAsia="仿宋_GB2312" w:cs="仿宋_GB2312"/>
          <w:sz w:val="28"/>
          <w:szCs w:val="28"/>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无极县商务局</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rPr>
          <w:rFonts w:hint="eastAsia"/>
        </w:rPr>
      </w:pPr>
      <w:bookmarkStart w:id="11" w:name="_Toc_3_3_0000000012"/>
      <w:r>
        <w:rPr>
          <w:rFonts w:hint="eastAsia"/>
        </w:rPr>
        <w:t>按照预算管理有关规定，目前部门预算的编制实行综合预算管理，即全部收入和支出都反映在预算中。 无极县商务局机关及所属事业单位的收支包含在部门预算中。</w:t>
      </w:r>
    </w:p>
    <w:p>
      <w:pPr>
        <w:pStyle w:val="19"/>
        <w:rPr>
          <w:rFonts w:hint="eastAsia"/>
        </w:rPr>
      </w:pPr>
      <w:r>
        <w:rPr>
          <w:rFonts w:hint="eastAsia"/>
        </w:rPr>
        <w:t>1、收入说明</w:t>
      </w:r>
    </w:p>
    <w:p>
      <w:pPr>
        <w:pStyle w:val="19"/>
        <w:rPr>
          <w:rFonts w:hint="eastAsia"/>
        </w:rPr>
      </w:pPr>
      <w:r>
        <w:rPr>
          <w:rFonts w:hint="eastAsia"/>
        </w:rPr>
        <w:t>反映本部门当年全部收入。2024年预算收入829.37万元，其中：一般公共预算收入829.37万元，基金预算收入0.00万元， 国有资本经营预算收入0.00万元，财政专户核拨收入0.00万元，单位资金收入0.00万元，上年结转结余0.00万元。</w:t>
      </w:r>
    </w:p>
    <w:p>
      <w:pPr>
        <w:pStyle w:val="19"/>
        <w:rPr>
          <w:rFonts w:hint="eastAsia"/>
        </w:rPr>
      </w:pPr>
      <w:r>
        <w:rPr>
          <w:rFonts w:hint="eastAsia"/>
        </w:rPr>
        <w:t>2、支出说明</w:t>
      </w:r>
    </w:p>
    <w:p>
      <w:pPr>
        <w:pStyle w:val="19"/>
        <w:rPr>
          <w:highlight w:val="yellow"/>
        </w:rPr>
      </w:pPr>
      <w:r>
        <w:rPr>
          <w:rFonts w:hint="eastAsia"/>
        </w:rPr>
        <w:t>收支预算总表支出栏、基本支出表、项目支出表按经济分类和支出功能分类科目编制，反映无极县商务局年度部门预算中支出预算的总体情况。 2024年支出预算829.37万元，其中基本支出632.09万元，包括人员经费576.89万元和日常公用经费55.20万元；项目支出197.28万元，</w:t>
      </w:r>
      <w:r>
        <w:rPr>
          <w:rFonts w:hint="eastAsia"/>
          <w:highlight w:val="none"/>
        </w:rPr>
        <w:t>主要为:2024年北京木门展资金</w:t>
      </w:r>
      <w:r>
        <w:rPr>
          <w:rFonts w:hint="eastAsia"/>
          <w:highlight w:val="none"/>
          <w:lang w:val="en-US" w:eastAsia="zh-CN"/>
        </w:rPr>
        <w:t>50万元，2024年购物节资金100万元，新增入统企业及社零额限上企业信息员奖励补助47.28万元。</w:t>
      </w:r>
    </w:p>
    <w:p>
      <w:pPr>
        <w:pStyle w:val="19"/>
      </w:pPr>
      <w:r>
        <w:t>3、比上年增减情况</w:t>
      </w:r>
    </w:p>
    <w:p>
      <w:pPr>
        <w:pStyle w:val="26"/>
      </w:pPr>
      <w:r>
        <w:rPr>
          <w:rFonts w:hint="eastAsia"/>
        </w:rPr>
        <w:t>2024年预算收支安排829.37万元，较2023年预算减少477.74万元， 其中：基本支出减少125.02万元</w:t>
      </w:r>
      <w:r>
        <w:t>，主要是下属单位人员分流；项目支出减少352.72万元</w:t>
      </w:r>
      <w:r>
        <w:rPr>
          <w:rFonts w:hint="eastAsia"/>
          <w:lang w:eastAsia="zh-CN"/>
        </w:rPr>
        <w:t>，主要为项目调整</w:t>
      </w:r>
      <w:r>
        <w:t>。</w:t>
      </w: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7"/>
      </w:pPr>
      <w:bookmarkStart w:id="12" w:name="_Toc_3_3_0000000013"/>
      <w:r>
        <w:t>2024年，我</w:t>
      </w:r>
      <w:r>
        <w:rPr>
          <w:rFonts w:hint="eastAsia"/>
          <w:lang w:eastAsia="zh-CN"/>
        </w:rPr>
        <w:t>部门</w:t>
      </w:r>
      <w:r>
        <w:t>机关运行经费共计安排55.2万元，主要用于保证机关正常运行的办公及印刷费、邮电费、差旅费、会议费、福利费、专用材料及一般设备购置费、办公用房水电费、办公用房取暖费、日常维修费、办公楼物业管理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公务用车购置及运维费0万元（其中：公务用车购置费0万元，公务用车运行维护费0万元）；公务接待费0万元。“三公”经费比上年减少2万元，主要是今年未安排因公出国（境）费</w:t>
      </w:r>
      <w:r>
        <w:rPr>
          <w:rFonts w:hint="eastAsia"/>
          <w:lang w:eastAsia="zh-CN"/>
        </w:rPr>
        <w:t>、</w:t>
      </w:r>
      <w:r>
        <w:t>公务用车运行维护费</w:t>
      </w:r>
      <w:r>
        <w:rPr>
          <w:rFonts w:hint="eastAsia"/>
          <w:lang w:eastAsia="zh-CN"/>
        </w:rPr>
        <w:t>和</w:t>
      </w:r>
      <w:r>
        <w:t>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商务局紧紧围绕县委、县政府中心工作，大力推进外贸与电子商务发展，认真督导商贸项目及市场建设，加强成品油市场监督，进一步整顿和规范市场经济秩序，搞好安全生产和信坊稳定，确保全年无事故，努力完成全年各项工作任务，为我县经济社会大发展</w:t>
      </w:r>
      <w:r>
        <w:rPr>
          <w:rFonts w:hint="eastAsia"/>
          <w:lang w:eastAsia="zh-CN"/>
        </w:rPr>
        <w:t>作出更大贡献</w:t>
      </w:r>
      <w:r>
        <w:t>。</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规范活动程序，提高学习质量。</w:t>
      </w:r>
    </w:p>
    <w:p>
      <w:pPr>
        <w:pStyle w:val="23"/>
      </w:pPr>
      <w:r>
        <w:t>1、开拓国内市场</w:t>
      </w:r>
    </w:p>
    <w:p>
      <w:pPr>
        <w:pStyle w:val="23"/>
      </w:pPr>
      <w:r>
        <w:t>绩效目标：扩大我县产品的知名度，增加国内市场份额。</w:t>
      </w:r>
    </w:p>
    <w:p>
      <w:pPr>
        <w:pStyle w:val="23"/>
      </w:pPr>
      <w:r>
        <w:t>绩效指标：参展企业数量（家）〉3。</w:t>
      </w:r>
    </w:p>
    <w:p>
      <w:pPr>
        <w:pStyle w:val="23"/>
      </w:pPr>
      <w:r>
        <w:t>2、促进商贸流通</w:t>
      </w:r>
    </w:p>
    <w:p>
      <w:pPr>
        <w:pStyle w:val="23"/>
      </w:pPr>
      <w:r>
        <w:t>绩效目标：完善农产品流通和农村市场体系。</w:t>
      </w:r>
    </w:p>
    <w:p>
      <w:pPr>
        <w:pStyle w:val="23"/>
      </w:pPr>
      <w:r>
        <w:t>绩效指标：投资的农产品市场或农村市场销售额增长率〉10%。</w:t>
      </w:r>
    </w:p>
    <w:p>
      <w:pPr>
        <w:pStyle w:val="23"/>
      </w:pPr>
      <w:r>
        <w:t>3、农村电子商务建设</w:t>
      </w:r>
    </w:p>
    <w:p>
      <w:pPr>
        <w:pStyle w:val="23"/>
      </w:pPr>
      <w:r>
        <w:t>绩效目标：推动农村电子商务基础设施建设。</w:t>
      </w:r>
    </w:p>
    <w:p>
      <w:pPr>
        <w:pStyle w:val="23"/>
      </w:pPr>
      <w:r>
        <w:t>绩效指标：农村电商企业营业额增长率〉10%。</w:t>
      </w:r>
    </w:p>
    <w:p>
      <w:pPr>
        <w:pStyle w:val="23"/>
      </w:pPr>
      <w:r>
        <w:t>4、消费市场调控</w:t>
      </w:r>
    </w:p>
    <w:p>
      <w:pPr>
        <w:pStyle w:val="23"/>
      </w:pPr>
      <w:r>
        <w:t>绩效目标：准确监测市场运行情况，及时预测预警。</w:t>
      </w:r>
    </w:p>
    <w:p>
      <w:pPr>
        <w:pStyle w:val="23"/>
      </w:pPr>
      <w:r>
        <w:t>绩效指标：监测信息报送率〉80%。</w:t>
      </w:r>
    </w:p>
    <w:p>
      <w:pPr>
        <w:pStyle w:val="23"/>
      </w:pPr>
      <w:r>
        <w:t>5、招商引资</w:t>
      </w:r>
    </w:p>
    <w:p>
      <w:pPr>
        <w:pStyle w:val="23"/>
      </w:pPr>
      <w:r>
        <w:t>绩效目标：在重点产业引进一批战略支撑项目、龙头企业和协力配套企业。</w:t>
      </w:r>
    </w:p>
    <w:p>
      <w:pPr>
        <w:pStyle w:val="23"/>
      </w:pPr>
      <w:r>
        <w:t>绩效指标：招商引资规模增长率〉1%。</w:t>
      </w:r>
    </w:p>
    <w:p>
      <w:pPr>
        <w:pStyle w:val="23"/>
      </w:pPr>
      <w:r>
        <w:t>6、高新产品进出品管理</w:t>
      </w:r>
    </w:p>
    <w:p>
      <w:pPr>
        <w:pStyle w:val="23"/>
      </w:pPr>
      <w:r>
        <w:t>绩效目标：积极开拓国际、国内两个市场，不断优化产品结构和市场结构。</w:t>
      </w:r>
    </w:p>
    <w:p>
      <w:pPr>
        <w:pStyle w:val="23"/>
      </w:pPr>
      <w:r>
        <w:t>绩效指标：高新产品出口额增长率〉1%。</w:t>
      </w:r>
    </w:p>
    <w:p>
      <w:pPr>
        <w:pStyle w:val="23"/>
      </w:pPr>
      <w:r>
        <w:t xml:space="preserve">7、发展服务贸易和服务外包 </w:t>
      </w:r>
    </w:p>
    <w:p>
      <w:pPr>
        <w:pStyle w:val="23"/>
      </w:pPr>
      <w:r>
        <w:t>绩效目标：转变对外贸易发展方式，提升服务贸易对全县外贸增长的拉动作用。</w:t>
      </w:r>
    </w:p>
    <w:p>
      <w:pPr>
        <w:pStyle w:val="23"/>
      </w:pPr>
      <w:r>
        <w:t xml:space="preserve">绩效指标：组织参展个数（个）〉9。 </w:t>
      </w:r>
    </w:p>
    <w:p>
      <w:pPr>
        <w:pStyle w:val="23"/>
      </w:pPr>
      <w:r>
        <w:t>8、促进对外经贸服务</w:t>
      </w:r>
    </w:p>
    <w:p>
      <w:pPr>
        <w:pStyle w:val="23"/>
      </w:pPr>
      <w:r>
        <w:t xml:space="preserve">绩效目标：确保对外经济合作业务稳定增长。 </w:t>
      </w:r>
    </w:p>
    <w:p>
      <w:pPr>
        <w:pStyle w:val="23"/>
      </w:pPr>
      <w:r>
        <w:t>绩效指标：中小企业出口额增长率持平。</w:t>
      </w:r>
    </w:p>
    <w:p>
      <w:pPr>
        <w:pStyle w:val="23"/>
      </w:pPr>
      <w:r>
        <w:t>9、加快培育外贸竞争新优势</w:t>
      </w:r>
    </w:p>
    <w:p>
      <w:pPr>
        <w:pStyle w:val="23"/>
      </w:pPr>
      <w:r>
        <w:t>绩效目标：优化外贸商品结构、市场结构、主体结构、贸易方式结构。</w:t>
      </w:r>
    </w:p>
    <w:p>
      <w:pPr>
        <w:pStyle w:val="23"/>
      </w:pPr>
      <w:r>
        <w:t xml:space="preserve">绩效指标：外贸综合服务企业增长率持平。 </w:t>
      </w:r>
    </w:p>
    <w:p>
      <w:pPr>
        <w:pStyle w:val="23"/>
      </w:pPr>
      <w:r>
        <w:t>10、综合业务管理</w:t>
      </w:r>
    </w:p>
    <w:p>
      <w:pPr>
        <w:pStyle w:val="23"/>
      </w:pPr>
      <w:r>
        <w:t>绩效目标：保障各项业务工作畅通。</w:t>
      </w:r>
    </w:p>
    <w:p>
      <w:pPr>
        <w:pStyle w:val="23"/>
      </w:pPr>
      <w:r>
        <w:t>绩效指标：综合事务管理工作完成率〉90%。</w:t>
      </w:r>
    </w:p>
    <w:p>
      <w:pPr>
        <w:pStyle w:val="23"/>
      </w:pPr>
      <w:r>
        <w:t>11、综合事务管理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4"/>
      </w:pPr>
      <w:r>
        <w:t>加强支出管理，优化支出结构。严格按照预算执行。没预算的坚决不予支出。有预算的项目细化、量化。按照预算执行。</w:t>
      </w:r>
    </w:p>
    <w:p>
      <w:pPr>
        <w:pStyle w:val="24"/>
      </w:pPr>
      <w:r>
        <w:t>加强绩效运行监控。根据预算从拨付、使用、社会效果全程监控。发现问题及时采取措施。全部绩效目标如期保值实现。</w:t>
      </w:r>
    </w:p>
    <w:p>
      <w:pPr>
        <w:pStyle w:val="24"/>
      </w:pPr>
      <w:r>
        <w:t>做好绩效自评。根据上年度预算绩效自评和重点评价工作，在今年的预算执行中及时调整，，优化今年的支出结构，提高2023年度资金使用效益率。</w:t>
      </w:r>
    </w:p>
    <w:p>
      <w:pPr>
        <w:pStyle w:val="24"/>
      </w:pPr>
      <w:r>
        <w:t>规范财务资产管理。通过完善财务管理制度，推行内控制度，严格资金支出审批程序，加强固定资产各项管理工作，确保固定资产登记、使用和报废处置管理。</w:t>
      </w:r>
    </w:p>
    <w:p>
      <w:pPr>
        <w:pStyle w:val="24"/>
      </w:pPr>
      <w:r>
        <w:t>加强内部监督。加强财务管理内部监督制度建设，监控绩效目标的运行情况。对会计资料内部监督和审计。</w:t>
      </w:r>
    </w:p>
    <w:p>
      <w:pPr>
        <w:pStyle w:val="24"/>
        <w:sectPr>
          <w:pgSz w:w="16840" w:h="11900" w:orient="landscape"/>
          <w:pgMar w:top="1361" w:right="1020" w:bottom="1361" w:left="1020" w:header="720" w:footer="720" w:gutter="0"/>
          <w:cols w:space="720" w:num="1"/>
        </w:sectPr>
      </w:pPr>
      <w:r>
        <w:t xml:space="preserve">加强培训宣传调研。加强会计人员培训和自我学习，提高财务人员素质。加强优化资金配置，提高资金使用效益。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1、2024年北京木门展资金绩效目标表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13013024P00002010082H</w:t>
            </w:r>
          </w:p>
        </w:tc>
        <w:tc>
          <w:tcPr>
            <w:tcW w:w="2835" w:type="dxa"/>
            <w:vAlign w:val="center"/>
          </w:tcPr>
          <w:p>
            <w:pPr>
              <w:pStyle w:val="11"/>
            </w:pPr>
            <w:r>
              <w:t>项目名称</w:t>
            </w:r>
          </w:p>
        </w:tc>
        <w:tc>
          <w:tcPr>
            <w:tcW w:w="6094" w:type="dxa"/>
            <w:gridSpan w:val="3"/>
            <w:vAlign w:val="center"/>
          </w:tcPr>
          <w:p>
            <w:pPr>
              <w:pStyle w:val="13"/>
            </w:pPr>
            <w:r>
              <w:t>2024年北京木门展资金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2024年北京木门展资金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rPr>
                <w:rFonts w:hint="eastAsia"/>
                <w:lang w:val="en-US" w:eastAsia="zh-CN"/>
              </w:rPr>
              <w:t>25</w:t>
            </w:r>
            <w:r>
              <w:t>.00</w:t>
            </w:r>
          </w:p>
        </w:tc>
        <w:tc>
          <w:tcPr>
            <w:tcW w:w="2835" w:type="dxa"/>
            <w:vAlign w:val="center"/>
          </w:tcPr>
          <w:p>
            <w:pPr>
              <w:pStyle w:val="14"/>
            </w:pPr>
            <w:r>
              <w:rPr>
                <w:rFonts w:hint="eastAsia"/>
                <w:lang w:val="en-US" w:eastAsia="zh-CN"/>
              </w:rPr>
              <w:t>5</w:t>
            </w:r>
            <w:r>
              <w:t>0.00</w:t>
            </w:r>
          </w:p>
        </w:tc>
        <w:tc>
          <w:tcPr>
            <w:tcW w:w="2551" w:type="dxa"/>
            <w:vAlign w:val="center"/>
          </w:tcPr>
          <w:p>
            <w:pPr>
              <w:pStyle w:val="14"/>
            </w:pPr>
            <w:r>
              <w:rPr>
                <w:rFonts w:hint="eastAsia"/>
                <w:lang w:val="en-US" w:eastAsia="zh-CN"/>
              </w:rPr>
              <w:t>75</w:t>
            </w:r>
            <w:r>
              <w:t>.00</w:t>
            </w:r>
          </w:p>
        </w:tc>
        <w:tc>
          <w:tcPr>
            <w:tcW w:w="3543" w:type="dxa"/>
            <w:gridSpan w:val="2"/>
            <w:vAlign w:val="center"/>
          </w:tcPr>
          <w:p>
            <w:pPr>
              <w:pStyle w:val="14"/>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1.2024年北京木门展资金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支持企业数量</w:t>
            </w:r>
          </w:p>
        </w:tc>
        <w:tc>
          <w:tcPr>
            <w:tcW w:w="2268" w:type="dxa"/>
            <w:vAlign w:val="center"/>
          </w:tcPr>
          <w:p>
            <w:pPr>
              <w:pStyle w:val="13"/>
            </w:pPr>
            <w:r>
              <w:t>多家企业</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品牌提升</w:t>
            </w:r>
          </w:p>
        </w:tc>
        <w:tc>
          <w:tcPr>
            <w:tcW w:w="5386" w:type="dxa"/>
            <w:vAlign w:val="center"/>
          </w:tcPr>
          <w:p>
            <w:pPr>
              <w:pStyle w:val="13"/>
            </w:pPr>
            <w:r>
              <w:t>品牌提升</w:t>
            </w:r>
          </w:p>
        </w:tc>
        <w:tc>
          <w:tcPr>
            <w:tcW w:w="2268" w:type="dxa"/>
            <w:vAlign w:val="center"/>
          </w:tcPr>
          <w:p>
            <w:pPr>
              <w:pStyle w:val="13"/>
            </w:pPr>
            <w:r>
              <w:t>促进企业发展</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活动完成时限</w:t>
            </w:r>
          </w:p>
        </w:tc>
        <w:tc>
          <w:tcPr>
            <w:tcW w:w="5386" w:type="dxa"/>
            <w:vAlign w:val="center"/>
          </w:tcPr>
          <w:p>
            <w:pPr>
              <w:pStyle w:val="13"/>
            </w:pPr>
            <w:r>
              <w:t>活动完成时限</w:t>
            </w:r>
          </w:p>
        </w:tc>
        <w:tc>
          <w:tcPr>
            <w:tcW w:w="2268" w:type="dxa"/>
            <w:vAlign w:val="center"/>
          </w:tcPr>
          <w:p>
            <w:pPr>
              <w:pStyle w:val="13"/>
            </w:pPr>
            <w:r>
              <w:t>2024年底</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奖励标准</w:t>
            </w:r>
          </w:p>
        </w:tc>
        <w:tc>
          <w:tcPr>
            <w:tcW w:w="2268" w:type="dxa"/>
            <w:vAlign w:val="center"/>
          </w:tcPr>
          <w:p>
            <w:pPr>
              <w:pStyle w:val="13"/>
            </w:pPr>
            <w:r>
              <w:t>百分比</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经济效益增值率</w:t>
            </w:r>
          </w:p>
        </w:tc>
        <w:tc>
          <w:tcPr>
            <w:tcW w:w="5386" w:type="dxa"/>
            <w:vAlign w:val="center"/>
          </w:tcPr>
          <w:p>
            <w:pPr>
              <w:pStyle w:val="13"/>
            </w:pPr>
            <w:r>
              <w:t>项目实施后经济效益增长率</w:t>
            </w:r>
          </w:p>
        </w:tc>
        <w:tc>
          <w:tcPr>
            <w:tcW w:w="2268" w:type="dxa"/>
            <w:vAlign w:val="center"/>
          </w:tcPr>
          <w:p>
            <w:pPr>
              <w:pStyle w:val="13"/>
            </w:pPr>
            <w:r>
              <w:t>促进经济发展</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≥50</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生态效益增值率</w:t>
            </w:r>
          </w:p>
        </w:tc>
        <w:tc>
          <w:tcPr>
            <w:tcW w:w="5386" w:type="dxa"/>
            <w:vAlign w:val="center"/>
          </w:tcPr>
          <w:p>
            <w:pPr>
              <w:pStyle w:val="13"/>
            </w:pPr>
            <w:r>
              <w:t>项目实施后生态效益增长率</w:t>
            </w:r>
          </w:p>
        </w:tc>
        <w:tc>
          <w:tcPr>
            <w:tcW w:w="2268" w:type="dxa"/>
            <w:vAlign w:val="center"/>
          </w:tcPr>
          <w:p>
            <w:pPr>
              <w:pStyle w:val="13"/>
            </w:pPr>
            <w:r>
              <w:t>≥50</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≥50</w:t>
            </w:r>
          </w:p>
        </w:tc>
        <w:tc>
          <w:tcPr>
            <w:tcW w:w="1276" w:type="dxa"/>
            <w:vAlign w:val="center"/>
          </w:tcPr>
          <w:p>
            <w:pPr>
              <w:pStyle w:val="13"/>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≥50</w:t>
            </w:r>
          </w:p>
        </w:tc>
        <w:tc>
          <w:tcPr>
            <w:tcW w:w="1276" w:type="dxa"/>
            <w:vAlign w:val="center"/>
          </w:tcPr>
          <w:p>
            <w:pPr>
              <w:pStyle w:val="13"/>
            </w:pPr>
            <w:r>
              <w:t>参会企业数量</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2、2024年购物节资金绩效目标表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13013024P00002010078B</w:t>
            </w:r>
          </w:p>
        </w:tc>
        <w:tc>
          <w:tcPr>
            <w:tcW w:w="2835" w:type="dxa"/>
            <w:vAlign w:val="center"/>
          </w:tcPr>
          <w:p>
            <w:pPr>
              <w:pStyle w:val="11"/>
            </w:pPr>
            <w:r>
              <w:t>项目名称</w:t>
            </w:r>
          </w:p>
        </w:tc>
        <w:tc>
          <w:tcPr>
            <w:tcW w:w="6094" w:type="dxa"/>
            <w:gridSpan w:val="3"/>
            <w:vAlign w:val="center"/>
          </w:tcPr>
          <w:p>
            <w:pPr>
              <w:pStyle w:val="13"/>
            </w:pPr>
            <w:r>
              <w:t>2024年购物节资金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2024年购物节资金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r>
              <w:t>.00</w:t>
            </w:r>
          </w:p>
        </w:tc>
        <w:tc>
          <w:tcPr>
            <w:tcW w:w="2835" w:type="dxa"/>
            <w:vAlign w:val="center"/>
          </w:tcPr>
          <w:p>
            <w:pPr>
              <w:pStyle w:val="14"/>
              <w:ind w:firstLine="0" w:firstLineChars="0"/>
            </w:pPr>
            <w:r>
              <w:rPr>
                <w:rFonts w:hint="eastAsia"/>
                <w:lang w:val="en-US" w:eastAsia="zh-CN"/>
              </w:rPr>
              <w:t>5</w:t>
            </w:r>
            <w:r>
              <w:t>0.00</w:t>
            </w:r>
          </w:p>
        </w:tc>
        <w:tc>
          <w:tcPr>
            <w:tcW w:w="2551" w:type="dxa"/>
            <w:vAlign w:val="center"/>
          </w:tcPr>
          <w:p>
            <w:pPr>
              <w:pStyle w:val="14"/>
              <w:ind w:firstLine="0" w:firstLineChars="0"/>
            </w:pPr>
            <w:r>
              <w:rPr>
                <w:rFonts w:hint="eastAsia"/>
                <w:lang w:val="en-US" w:eastAsia="zh-CN"/>
              </w:rPr>
              <w:t>75</w:t>
            </w:r>
            <w:r>
              <w:t>.00</w:t>
            </w:r>
          </w:p>
        </w:tc>
        <w:tc>
          <w:tcPr>
            <w:tcW w:w="3543" w:type="dxa"/>
            <w:gridSpan w:val="2"/>
            <w:vAlign w:val="center"/>
          </w:tcPr>
          <w:p>
            <w:pPr>
              <w:pStyle w:val="14"/>
              <w:ind w:firstLine="0" w:firstLineChars="0"/>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1.2024年购物节资金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参与企业</w:t>
            </w:r>
          </w:p>
        </w:tc>
        <w:tc>
          <w:tcPr>
            <w:tcW w:w="5386" w:type="dxa"/>
            <w:vAlign w:val="center"/>
          </w:tcPr>
          <w:p>
            <w:pPr>
              <w:pStyle w:val="13"/>
            </w:pPr>
            <w:r>
              <w:t>参与促销活动企业</w:t>
            </w:r>
          </w:p>
        </w:tc>
        <w:tc>
          <w:tcPr>
            <w:tcW w:w="2268" w:type="dxa"/>
            <w:vAlign w:val="center"/>
          </w:tcPr>
          <w:p>
            <w:pPr>
              <w:pStyle w:val="13"/>
            </w:pPr>
            <w:r>
              <w:t>多家参与促销活动企业</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以节兴市以节兴商</w:t>
            </w:r>
          </w:p>
        </w:tc>
        <w:tc>
          <w:tcPr>
            <w:tcW w:w="5386" w:type="dxa"/>
            <w:vAlign w:val="center"/>
          </w:tcPr>
          <w:p>
            <w:pPr>
              <w:pStyle w:val="13"/>
            </w:pPr>
            <w:r>
              <w:t>促进本地消费</w:t>
            </w:r>
          </w:p>
        </w:tc>
        <w:tc>
          <w:tcPr>
            <w:tcW w:w="2268" w:type="dxa"/>
            <w:vAlign w:val="center"/>
          </w:tcPr>
          <w:p>
            <w:pPr>
              <w:pStyle w:val="13"/>
            </w:pPr>
            <w:r>
              <w:t>促进县经济发展</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消费券及时发放</w:t>
            </w:r>
          </w:p>
        </w:tc>
        <w:tc>
          <w:tcPr>
            <w:tcW w:w="5386" w:type="dxa"/>
            <w:vAlign w:val="center"/>
          </w:tcPr>
          <w:p>
            <w:pPr>
              <w:pStyle w:val="13"/>
            </w:pPr>
            <w:r>
              <w:t>县经济发展</w:t>
            </w:r>
          </w:p>
        </w:tc>
        <w:tc>
          <w:tcPr>
            <w:tcW w:w="2268" w:type="dxa"/>
            <w:vAlign w:val="center"/>
          </w:tcPr>
          <w:p>
            <w:pPr>
              <w:pStyle w:val="13"/>
            </w:pPr>
            <w:r>
              <w:t>促进本地消费县经济发展</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县预算内资金</w:t>
            </w:r>
          </w:p>
        </w:tc>
        <w:tc>
          <w:tcPr>
            <w:tcW w:w="5386" w:type="dxa"/>
            <w:vAlign w:val="center"/>
          </w:tcPr>
          <w:p>
            <w:pPr>
              <w:pStyle w:val="13"/>
            </w:pPr>
            <w:r>
              <w:t>县预算内资金及时拨付</w:t>
            </w:r>
          </w:p>
        </w:tc>
        <w:tc>
          <w:tcPr>
            <w:tcW w:w="2268" w:type="dxa"/>
            <w:vAlign w:val="center"/>
          </w:tcPr>
          <w:p>
            <w:pPr>
              <w:pStyle w:val="13"/>
            </w:pPr>
            <w:r>
              <w:t>以节聚势促进县经济发展</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促进县经济发展</w:t>
            </w:r>
          </w:p>
        </w:tc>
        <w:tc>
          <w:tcPr>
            <w:tcW w:w="5386" w:type="dxa"/>
            <w:vAlign w:val="center"/>
          </w:tcPr>
          <w:p>
            <w:pPr>
              <w:pStyle w:val="13"/>
            </w:pPr>
            <w:r>
              <w:t>促进本地消费县经济发展</w:t>
            </w:r>
          </w:p>
        </w:tc>
        <w:tc>
          <w:tcPr>
            <w:tcW w:w="2268" w:type="dxa"/>
            <w:vAlign w:val="center"/>
          </w:tcPr>
          <w:p>
            <w:pPr>
              <w:pStyle w:val="13"/>
            </w:pPr>
            <w:r>
              <w:t>促进本地消费县经济发展</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双节购物促进经济发展</w:t>
            </w:r>
          </w:p>
        </w:tc>
        <w:tc>
          <w:tcPr>
            <w:tcW w:w="5386" w:type="dxa"/>
            <w:vAlign w:val="center"/>
          </w:tcPr>
          <w:p>
            <w:pPr>
              <w:pStyle w:val="13"/>
            </w:pPr>
            <w:r>
              <w:t>双节购物促进经济发展</w:t>
            </w:r>
          </w:p>
        </w:tc>
        <w:tc>
          <w:tcPr>
            <w:tcW w:w="2268" w:type="dxa"/>
            <w:vAlign w:val="center"/>
          </w:tcPr>
          <w:p>
            <w:pPr>
              <w:pStyle w:val="13"/>
            </w:pPr>
            <w:r>
              <w:t>双节购物促进经济发展</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以节兴商</w:t>
            </w:r>
          </w:p>
        </w:tc>
        <w:tc>
          <w:tcPr>
            <w:tcW w:w="5386" w:type="dxa"/>
            <w:vAlign w:val="center"/>
          </w:tcPr>
          <w:p>
            <w:pPr>
              <w:pStyle w:val="13"/>
            </w:pPr>
            <w:r>
              <w:t>促进县经济发展</w:t>
            </w:r>
          </w:p>
        </w:tc>
        <w:tc>
          <w:tcPr>
            <w:tcW w:w="2268" w:type="dxa"/>
            <w:vAlign w:val="center"/>
          </w:tcPr>
          <w:p>
            <w:pPr>
              <w:pStyle w:val="13"/>
            </w:pPr>
            <w:r>
              <w:t>促进县经济发展</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县经济稳步增长</w:t>
            </w:r>
          </w:p>
        </w:tc>
        <w:tc>
          <w:tcPr>
            <w:tcW w:w="5386" w:type="dxa"/>
            <w:vAlign w:val="center"/>
          </w:tcPr>
          <w:p>
            <w:pPr>
              <w:pStyle w:val="13"/>
            </w:pPr>
            <w:r>
              <w:t>县经济稳步增长</w:t>
            </w:r>
          </w:p>
        </w:tc>
        <w:tc>
          <w:tcPr>
            <w:tcW w:w="2268" w:type="dxa"/>
            <w:vAlign w:val="center"/>
          </w:tcPr>
          <w:p>
            <w:pPr>
              <w:pStyle w:val="13"/>
            </w:pPr>
            <w:r>
              <w:t>县经济稳步增长</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≥85</w:t>
            </w:r>
            <w:r>
              <w:rPr>
                <w:rFonts w:hint="eastAsia"/>
                <w:lang w:val="en-US" w:eastAsia="zh-CN"/>
              </w:rPr>
              <w:t>%</w:t>
            </w:r>
            <w:r>
              <w:t>受益群体满意度</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县领导满意度</w:t>
            </w:r>
          </w:p>
        </w:tc>
        <w:tc>
          <w:tcPr>
            <w:tcW w:w="5386" w:type="dxa"/>
            <w:vAlign w:val="center"/>
          </w:tcPr>
          <w:p>
            <w:pPr>
              <w:pStyle w:val="13"/>
            </w:pPr>
            <w:r>
              <w:t>县领导满意度</w:t>
            </w:r>
          </w:p>
        </w:tc>
        <w:tc>
          <w:tcPr>
            <w:tcW w:w="2268" w:type="dxa"/>
            <w:vAlign w:val="center"/>
          </w:tcPr>
          <w:p>
            <w:pPr>
              <w:pStyle w:val="13"/>
            </w:pPr>
            <w:r>
              <w:t>≥85</w:t>
            </w:r>
            <w:r>
              <w:rPr>
                <w:rFonts w:hint="eastAsia"/>
                <w:lang w:val="en-US" w:eastAsia="zh-CN"/>
              </w:rPr>
              <w:t>%</w:t>
            </w:r>
            <w:r>
              <w:t>县领导满意度</w:t>
            </w:r>
          </w:p>
        </w:tc>
        <w:tc>
          <w:tcPr>
            <w:tcW w:w="1276" w:type="dxa"/>
            <w:vAlign w:val="center"/>
          </w:tcPr>
          <w:p>
            <w:pPr>
              <w:pStyle w:val="13"/>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r>
              <w:rPr>
                <w:rFonts w:hint="eastAsia"/>
                <w:lang w:val="en-US" w:eastAsia="zh-CN"/>
              </w:rPr>
              <w:t>%</w:t>
            </w:r>
            <w:r>
              <w:t>群众满意度</w:t>
            </w:r>
          </w:p>
        </w:tc>
        <w:tc>
          <w:tcPr>
            <w:tcW w:w="1276" w:type="dxa"/>
            <w:vAlign w:val="center"/>
          </w:tcPr>
          <w:p>
            <w:pPr>
              <w:pStyle w:val="13"/>
            </w:pPr>
            <w:r>
              <w:t>县领导批示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3、新增入统企业及社零额限上企业信息员奖励补助绩效目标表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13013024P000020100739</w:t>
            </w:r>
          </w:p>
        </w:tc>
        <w:tc>
          <w:tcPr>
            <w:tcW w:w="2835" w:type="dxa"/>
            <w:vAlign w:val="center"/>
          </w:tcPr>
          <w:p>
            <w:pPr>
              <w:pStyle w:val="11"/>
            </w:pPr>
            <w:r>
              <w:t>项目名称</w:t>
            </w:r>
          </w:p>
        </w:tc>
        <w:tc>
          <w:tcPr>
            <w:tcW w:w="6094" w:type="dxa"/>
            <w:gridSpan w:val="3"/>
            <w:vAlign w:val="center"/>
          </w:tcPr>
          <w:p>
            <w:pPr>
              <w:pStyle w:val="13"/>
            </w:pPr>
            <w:r>
              <w:t>新增入统企业及社零额限上企业信息员奖励补助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47.28</w:t>
            </w:r>
          </w:p>
        </w:tc>
        <w:tc>
          <w:tcPr>
            <w:tcW w:w="2835" w:type="dxa"/>
            <w:vAlign w:val="center"/>
          </w:tcPr>
          <w:p>
            <w:pPr>
              <w:pStyle w:val="11"/>
            </w:pPr>
            <w:r>
              <w:t>其中：财政    资金</w:t>
            </w:r>
          </w:p>
        </w:tc>
        <w:tc>
          <w:tcPr>
            <w:tcW w:w="2551" w:type="dxa"/>
            <w:vAlign w:val="center"/>
          </w:tcPr>
          <w:p>
            <w:pPr>
              <w:pStyle w:val="13"/>
            </w:pPr>
            <w:r>
              <w:t>47.28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新增入统企业及社零额限上企业信息员奖励补助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r>
              <w:t>.00</w:t>
            </w:r>
          </w:p>
        </w:tc>
        <w:tc>
          <w:tcPr>
            <w:tcW w:w="2835" w:type="dxa"/>
            <w:vAlign w:val="center"/>
          </w:tcPr>
          <w:p>
            <w:pPr>
              <w:pStyle w:val="14"/>
              <w:ind w:firstLine="0" w:firstLineChars="0"/>
            </w:pPr>
            <w:r>
              <w:rPr>
                <w:rFonts w:hint="eastAsia"/>
                <w:lang w:val="en-US" w:eastAsia="zh-CN"/>
              </w:rPr>
              <w:t>5</w:t>
            </w:r>
            <w:r>
              <w:t>0.00</w:t>
            </w:r>
          </w:p>
        </w:tc>
        <w:tc>
          <w:tcPr>
            <w:tcW w:w="2551" w:type="dxa"/>
            <w:vAlign w:val="center"/>
          </w:tcPr>
          <w:p>
            <w:pPr>
              <w:pStyle w:val="14"/>
              <w:ind w:firstLine="0" w:firstLineChars="0"/>
            </w:pPr>
            <w:r>
              <w:rPr>
                <w:rFonts w:hint="eastAsia"/>
                <w:lang w:val="en-US" w:eastAsia="zh-CN"/>
              </w:rPr>
              <w:t>75</w:t>
            </w:r>
            <w:r>
              <w:t>.00</w:t>
            </w:r>
          </w:p>
        </w:tc>
        <w:tc>
          <w:tcPr>
            <w:tcW w:w="3543" w:type="dxa"/>
            <w:gridSpan w:val="2"/>
            <w:vAlign w:val="center"/>
          </w:tcPr>
          <w:p>
            <w:pPr>
              <w:pStyle w:val="14"/>
              <w:ind w:firstLine="0" w:firstLineChars="0"/>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1.新增入统企业及社零额限上企业信息员奖励补助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实际补贴企业数量</w:t>
            </w:r>
          </w:p>
        </w:tc>
        <w:tc>
          <w:tcPr>
            <w:tcW w:w="2268" w:type="dxa"/>
            <w:vAlign w:val="center"/>
          </w:tcPr>
          <w:p>
            <w:pPr>
              <w:pStyle w:val="13"/>
            </w:pPr>
            <w:r>
              <w:t>补贴企业数量</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补贴、补助发放覆盖率</w:t>
            </w:r>
          </w:p>
        </w:tc>
        <w:tc>
          <w:tcPr>
            <w:tcW w:w="5386" w:type="dxa"/>
            <w:vAlign w:val="center"/>
          </w:tcPr>
          <w:p>
            <w:pPr>
              <w:pStyle w:val="13"/>
            </w:pPr>
            <w:r>
              <w:t>补贴发放覆盖率</w:t>
            </w:r>
          </w:p>
        </w:tc>
        <w:tc>
          <w:tcPr>
            <w:tcW w:w="2268" w:type="dxa"/>
            <w:vAlign w:val="center"/>
          </w:tcPr>
          <w:p>
            <w:pPr>
              <w:pStyle w:val="13"/>
            </w:pPr>
            <w:r>
              <w:rPr>
                <w:rFonts w:hint="eastAsia"/>
                <w:lang w:val="en-US" w:eastAsia="zh-CN"/>
              </w:rPr>
              <w:t>100</w:t>
            </w:r>
            <w:r>
              <w:t>%</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补贴、补助发放时间</w:t>
            </w:r>
          </w:p>
        </w:tc>
        <w:tc>
          <w:tcPr>
            <w:tcW w:w="5386" w:type="dxa"/>
            <w:vAlign w:val="center"/>
          </w:tcPr>
          <w:p>
            <w:pPr>
              <w:pStyle w:val="13"/>
            </w:pPr>
            <w:r>
              <w:t>补贴、补助发放时间</w:t>
            </w:r>
          </w:p>
        </w:tc>
        <w:tc>
          <w:tcPr>
            <w:tcW w:w="2268" w:type="dxa"/>
            <w:vAlign w:val="center"/>
          </w:tcPr>
          <w:p>
            <w:pPr>
              <w:pStyle w:val="13"/>
            </w:pPr>
            <w:r>
              <w:t>按规定及时发放</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补贴发放标准</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w:t>
            </w:r>
          </w:p>
        </w:tc>
        <w:tc>
          <w:tcPr>
            <w:tcW w:w="2268" w:type="dxa"/>
            <w:vAlign w:val="center"/>
          </w:tcPr>
          <w:p>
            <w:pPr>
              <w:pStyle w:val="13"/>
            </w:pPr>
            <w:r>
              <w:t>工作运转情况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保障工作正常进行</w:t>
            </w:r>
          </w:p>
        </w:tc>
        <w:tc>
          <w:tcPr>
            <w:tcW w:w="2268" w:type="dxa"/>
            <w:vAlign w:val="center"/>
          </w:tcPr>
          <w:p>
            <w:pPr>
              <w:pStyle w:val="13"/>
            </w:pPr>
            <w:r>
              <w:t>正常开展情况</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保障人员稳定</w:t>
            </w:r>
          </w:p>
        </w:tc>
        <w:tc>
          <w:tcPr>
            <w:tcW w:w="5386" w:type="dxa"/>
            <w:vAlign w:val="center"/>
          </w:tcPr>
          <w:p>
            <w:pPr>
              <w:pStyle w:val="13"/>
            </w:pPr>
            <w:r>
              <w:t>保障人员稳定</w:t>
            </w:r>
          </w:p>
        </w:tc>
        <w:tc>
          <w:tcPr>
            <w:tcW w:w="2268" w:type="dxa"/>
            <w:vAlign w:val="center"/>
          </w:tcPr>
          <w:p>
            <w:pPr>
              <w:pStyle w:val="13"/>
            </w:pPr>
            <w:r>
              <w:t>人员稳定</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322无极县商务局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无极县商务局（含所属单位）上年末固定资产金额为220.97万元（详见下表）。本年度拟购置固定资产总额为0.00万元。</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322无极县商务局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630</w:t>
            </w:r>
          </w:p>
        </w:tc>
        <w:tc>
          <w:tcPr>
            <w:tcW w:w="2835" w:type="dxa"/>
            <w:vAlign w:val="center"/>
          </w:tcPr>
          <w:p>
            <w:pPr>
              <w:pStyle w:val="12"/>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300</w:t>
            </w:r>
          </w:p>
        </w:tc>
        <w:tc>
          <w:tcPr>
            <w:tcW w:w="2835" w:type="dxa"/>
            <w:vAlign w:val="center"/>
          </w:tcPr>
          <w:p>
            <w:pPr>
              <w:pStyle w:val="12"/>
            </w:pPr>
            <w:r>
              <w:t>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198</w:t>
            </w:r>
          </w:p>
        </w:tc>
        <w:tc>
          <w:tcPr>
            <w:tcW w:w="2835" w:type="dxa"/>
            <w:vAlign w:val="center"/>
          </w:tcPr>
          <w:p>
            <w:pPr>
              <w:pStyle w:val="12"/>
            </w:pPr>
            <w:r>
              <w:t>66.16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BA3210"/>
    <w:multiLevelType w:val="singleLevel"/>
    <w:tmpl w:val="CFBA321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5MGY1NDc5MzI4ODg3NmNjMmM3MjJmYTg4MDRhMGUifQ=="/>
  </w:docVars>
  <w:rsids>
    <w:rsidRoot w:val="00000000"/>
    <w:rsid w:val="287113E7"/>
    <w:rsid w:val="29AB0310"/>
    <w:rsid w:val="2D3D770B"/>
    <w:rsid w:val="2ECE7679"/>
    <w:rsid w:val="34CE4C2F"/>
    <w:rsid w:val="35C97060"/>
    <w:rsid w:val="37F7036A"/>
    <w:rsid w:val="38D40190"/>
    <w:rsid w:val="3A7D2F58"/>
    <w:rsid w:val="532D4025"/>
    <w:rsid w:val="64CB251D"/>
    <w:rsid w:val="7AA03B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2024-02-01T16:19:56Z</dcterms:created>
  <dcterms:modified xsi:type="dcterms:W3CDTF">2024-02-01T08:19:56Z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2024-02-01T16:19:57Z</dcterms:created>
  <dcterms:modified xsi:type="dcterms:W3CDTF">2024-02-01T08:19:57Z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2024-02-01T16:19:56Z</dcterms:created>
  <dcterms:modified xsi:type="dcterms:W3CDTF">2024-02-01T08:19:56Z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2024-02-01T16:19:54Z</dcterms:created>
  <dcterms:modified xsi:type="dcterms:W3CDTF">2024-02-01T08:19:54Z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2024-02-01T16:19:56Z</dcterms:created>
  <dcterms:modified xsi:type="dcterms:W3CDTF">2024-02-01T08:19:56Z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2024-02-01T16:19:55Z</dcterms:created>
  <dcterms:modified xsi:type="dcterms:W3CDTF">2024-02-01T08:19:55Z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2024-02-01T16:19:55Z</dcterms:created>
  <dcterms:modified xsi:type="dcterms:W3CDTF">2024-02-01T08:19:55Z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9db2235-0ee8-4717-8fb8-d02721c3861b}">
  <ds:schemaRefs/>
</ds:datastoreItem>
</file>

<file path=customXml/itemProps10.xml><?xml version="1.0" encoding="utf-8"?>
<ds:datastoreItem xmlns:ds="http://schemas.openxmlformats.org/officeDocument/2006/customXml" ds:itemID="{97efcbb3-a81c-4399-b146-8434e060a75b}">
  <ds:schemaRefs/>
</ds:datastoreItem>
</file>

<file path=customXml/itemProps11.xml><?xml version="1.0" encoding="utf-8"?>
<ds:datastoreItem xmlns:ds="http://schemas.openxmlformats.org/officeDocument/2006/customXml" ds:itemID="{03dd0077-f55d-439e-97b2-3f0a8ecc3d36}">
  <ds:schemaRefs/>
</ds:datastoreItem>
</file>

<file path=customXml/itemProps12.xml><?xml version="1.0" encoding="utf-8"?>
<ds:datastoreItem xmlns:ds="http://schemas.openxmlformats.org/officeDocument/2006/customXml" ds:itemID="{d87c8fe4-6ec0-486a-a04d-2bd8755867e3}">
  <ds:schemaRefs/>
</ds:datastoreItem>
</file>

<file path=customXml/itemProps13.xml><?xml version="1.0" encoding="utf-8"?>
<ds:datastoreItem xmlns:ds="http://schemas.openxmlformats.org/officeDocument/2006/customXml" ds:itemID="{2ddaccfa-a718-4082-9106-f78e12518528}">
  <ds:schemaRefs/>
</ds:datastoreItem>
</file>

<file path=customXml/itemProps14.xml><?xml version="1.0" encoding="utf-8"?>
<ds:datastoreItem xmlns:ds="http://schemas.openxmlformats.org/officeDocument/2006/customXml" ds:itemID="{2f5e7ec8-4ab9-4721-81b4-e945a0196a29}">
  <ds:schemaRefs/>
</ds:datastoreItem>
</file>

<file path=customXml/itemProps2.xml><?xml version="1.0" encoding="utf-8"?>
<ds:datastoreItem xmlns:ds="http://schemas.openxmlformats.org/officeDocument/2006/customXml" ds:itemID="{aa2c136b-7aaa-4a09-a922-ccd803fd1cb1}">
  <ds:schemaRefs/>
</ds:datastoreItem>
</file>

<file path=customXml/itemProps3.xml><?xml version="1.0" encoding="utf-8"?>
<ds:datastoreItem xmlns:ds="http://schemas.openxmlformats.org/officeDocument/2006/customXml" ds:itemID="{29ea4a6f-4250-460f-b0d4-55048e3efa3e}">
  <ds:schemaRefs/>
</ds:datastoreItem>
</file>

<file path=customXml/itemProps4.xml><?xml version="1.0" encoding="utf-8"?>
<ds:datastoreItem xmlns:ds="http://schemas.openxmlformats.org/officeDocument/2006/customXml" ds:itemID="{d21bfa7a-d056-4062-8b37-6846f979f6a5}">
  <ds:schemaRefs/>
</ds:datastoreItem>
</file>

<file path=customXml/itemProps5.xml><?xml version="1.0" encoding="utf-8"?>
<ds:datastoreItem xmlns:ds="http://schemas.openxmlformats.org/officeDocument/2006/customXml" ds:itemID="{8e0fdf03-a60e-4aaa-8d4f-a4459c23a6ea}">
  <ds:schemaRefs/>
</ds:datastoreItem>
</file>

<file path=customXml/itemProps6.xml><?xml version="1.0" encoding="utf-8"?>
<ds:datastoreItem xmlns:ds="http://schemas.openxmlformats.org/officeDocument/2006/customXml" ds:itemID="{a501a146-bba7-4027-baf7-137133bbe343}">
  <ds:schemaRefs/>
</ds:datastoreItem>
</file>

<file path=customXml/itemProps7.xml><?xml version="1.0" encoding="utf-8"?>
<ds:datastoreItem xmlns:ds="http://schemas.openxmlformats.org/officeDocument/2006/customXml" ds:itemID="{039fe4eb-124e-4f06-9365-f806ac1a4478}">
  <ds:schemaRefs/>
</ds:datastoreItem>
</file>

<file path=customXml/itemProps8.xml><?xml version="1.0" encoding="utf-8"?>
<ds:datastoreItem xmlns:ds="http://schemas.openxmlformats.org/officeDocument/2006/customXml" ds:itemID="{3a1278b0-6a34-4a97-91b4-9586aadec297}">
  <ds:schemaRefs/>
</ds:datastoreItem>
</file>

<file path=customXml/itemProps9.xml><?xml version="1.0" encoding="utf-8"?>
<ds:datastoreItem xmlns:ds="http://schemas.openxmlformats.org/officeDocument/2006/customXml" ds:itemID="{5f15eb4d-8de3-4761-b8f5-695e4820c766}">
  <ds:schemaRefs/>
</ds:datastoreItem>
</file>

<file path=docProps/app.xml><?xml version="1.0" encoding="utf-8"?>
<Properties xmlns="http://schemas.openxmlformats.org/officeDocument/2006/extended-properties" xmlns:vt="http://schemas.openxmlformats.org/officeDocument/2006/docPropsVTypes">
  <TotalTime>274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2024-02-01T16:19:00Z</dcterms:created>
  <dc:creator>Administrator</dc:creator>
  <cp:lastModifiedBy>浮生</cp:lastModifiedBy>
  <dcterms:modified xsi:type="dcterms:W3CDTF">2025-10-27T08:01:32Z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89166E0B32C94A36BBFF835C562D99EA</vt:lpwstr>
  </property>
</Properties>
</file>