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333无极县住房和城乡建设局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2072.58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1923.48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2072.58</w:t>
            </w:r>
          </w:p>
        </w:tc>
        <w:tc>
          <w:tcPr>
            <w:tcW w:w="4535" w:type="dxa"/>
            <w:vAlign w:val="center"/>
          </w:tcPr>
          <w:p>
            <w:pPr>
              <w:pStyle w:val="15"/>
            </w:pPr>
            <w:r>
              <w:t>本年支出合计</w:t>
            </w:r>
          </w:p>
        </w:tc>
        <w:tc>
          <w:tcPr>
            <w:tcW w:w="2126" w:type="dxa"/>
            <w:vAlign w:val="center"/>
          </w:tcPr>
          <w:p>
            <w:pPr>
              <w:pStyle w:val="16"/>
            </w:pPr>
            <w:r>
              <w:t>2072.58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2072.58</w:t>
            </w:r>
          </w:p>
        </w:tc>
        <w:tc>
          <w:tcPr>
            <w:tcW w:w="4535" w:type="dxa"/>
            <w:vAlign w:val="center"/>
          </w:tcPr>
          <w:p>
            <w:pPr>
              <w:pStyle w:val="15"/>
            </w:pPr>
            <w:r>
              <w:t>支出总计</w:t>
            </w:r>
          </w:p>
        </w:tc>
        <w:tc>
          <w:tcPr>
            <w:tcW w:w="2126" w:type="dxa"/>
            <w:vAlign w:val="center"/>
          </w:tcPr>
          <w:p>
            <w:pPr>
              <w:pStyle w:val="16"/>
            </w:pPr>
            <w:r>
              <w:t>2072.58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2072.58</w:t>
            </w:r>
          </w:p>
        </w:tc>
        <w:tc>
          <w:tcPr>
            <w:tcW w:w="1134" w:type="dxa"/>
            <w:vAlign w:val="center"/>
          </w:tcPr>
          <w:p>
            <w:pPr>
              <w:pStyle w:val="16"/>
            </w:pPr>
            <w:r>
              <w:t>2072.58</w:t>
            </w:r>
          </w:p>
        </w:tc>
        <w:tc>
          <w:tcPr>
            <w:tcW w:w="1134" w:type="dxa"/>
            <w:vAlign w:val="center"/>
          </w:tcPr>
          <w:p>
            <w:pPr>
              <w:pStyle w:val="16"/>
            </w:pPr>
            <w:r>
              <w:t>2072.58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14.60</w:t>
            </w:r>
          </w:p>
        </w:tc>
        <w:tc>
          <w:tcPr>
            <w:tcW w:w="1134" w:type="dxa"/>
            <w:vAlign w:val="center"/>
          </w:tcPr>
          <w:p>
            <w:pPr>
              <w:pStyle w:val="12"/>
            </w:pPr>
            <w:r>
              <w:t>14.60</w:t>
            </w:r>
          </w:p>
        </w:tc>
        <w:tc>
          <w:tcPr>
            <w:tcW w:w="1134" w:type="dxa"/>
            <w:vAlign w:val="center"/>
          </w:tcPr>
          <w:p>
            <w:pPr>
              <w:pStyle w:val="12"/>
            </w:pPr>
            <w:r>
              <w:t>14.60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37.50</w:t>
            </w:r>
          </w:p>
        </w:tc>
        <w:tc>
          <w:tcPr>
            <w:tcW w:w="1134" w:type="dxa"/>
            <w:vAlign w:val="center"/>
          </w:tcPr>
          <w:p>
            <w:pPr>
              <w:pStyle w:val="12"/>
            </w:pPr>
            <w:r>
              <w:t>37.50</w:t>
            </w:r>
          </w:p>
        </w:tc>
        <w:tc>
          <w:tcPr>
            <w:tcW w:w="1134" w:type="dxa"/>
            <w:vAlign w:val="center"/>
          </w:tcPr>
          <w:p>
            <w:pPr>
              <w:pStyle w:val="12"/>
            </w:pPr>
            <w:r>
              <w:t>37.50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37.50</w:t>
            </w:r>
          </w:p>
        </w:tc>
        <w:tc>
          <w:tcPr>
            <w:tcW w:w="1134" w:type="dxa"/>
            <w:vAlign w:val="center"/>
          </w:tcPr>
          <w:p>
            <w:pPr>
              <w:pStyle w:val="12"/>
            </w:pPr>
            <w:r>
              <w:t>37.50</w:t>
            </w:r>
          </w:p>
        </w:tc>
        <w:tc>
          <w:tcPr>
            <w:tcW w:w="1134" w:type="dxa"/>
            <w:vAlign w:val="center"/>
          </w:tcPr>
          <w:p>
            <w:pPr>
              <w:pStyle w:val="12"/>
            </w:pPr>
            <w:r>
              <w:t>37.50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1923.48</w:t>
            </w:r>
          </w:p>
        </w:tc>
        <w:tc>
          <w:tcPr>
            <w:tcW w:w="1134" w:type="dxa"/>
            <w:vAlign w:val="center"/>
          </w:tcPr>
          <w:p>
            <w:pPr>
              <w:pStyle w:val="12"/>
            </w:pPr>
            <w:r>
              <w:t>1923.48</w:t>
            </w:r>
          </w:p>
        </w:tc>
        <w:tc>
          <w:tcPr>
            <w:tcW w:w="1134" w:type="dxa"/>
            <w:vAlign w:val="center"/>
          </w:tcPr>
          <w:p>
            <w:pPr>
              <w:pStyle w:val="12"/>
            </w:pPr>
            <w:r>
              <w:t>1923.48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1633.48</w:t>
            </w:r>
          </w:p>
        </w:tc>
        <w:tc>
          <w:tcPr>
            <w:tcW w:w="1134" w:type="dxa"/>
            <w:vAlign w:val="center"/>
          </w:tcPr>
          <w:p>
            <w:pPr>
              <w:pStyle w:val="12"/>
            </w:pPr>
            <w:r>
              <w:t>1633.48</w:t>
            </w:r>
          </w:p>
        </w:tc>
        <w:tc>
          <w:tcPr>
            <w:tcW w:w="1134" w:type="dxa"/>
            <w:vAlign w:val="center"/>
          </w:tcPr>
          <w:p>
            <w:pPr>
              <w:pStyle w:val="12"/>
            </w:pPr>
            <w:r>
              <w:t>1633.48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1434.10</w:t>
            </w:r>
          </w:p>
        </w:tc>
        <w:tc>
          <w:tcPr>
            <w:tcW w:w="1134" w:type="dxa"/>
            <w:vAlign w:val="center"/>
          </w:tcPr>
          <w:p>
            <w:pPr>
              <w:pStyle w:val="12"/>
            </w:pPr>
            <w:r>
              <w:t>1434.10</w:t>
            </w:r>
          </w:p>
        </w:tc>
        <w:tc>
          <w:tcPr>
            <w:tcW w:w="1134" w:type="dxa"/>
            <w:vAlign w:val="center"/>
          </w:tcPr>
          <w:p>
            <w:pPr>
              <w:pStyle w:val="12"/>
            </w:pPr>
            <w:r>
              <w:t>1434.10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2120109</w:t>
            </w:r>
          </w:p>
        </w:tc>
        <w:tc>
          <w:tcPr>
            <w:tcW w:w="1559" w:type="dxa"/>
            <w:vAlign w:val="center"/>
          </w:tcPr>
          <w:p>
            <w:pPr>
              <w:pStyle w:val="13"/>
            </w:pPr>
            <w:r>
              <w:t>住宅建设与房地产市场监管</w:t>
            </w:r>
          </w:p>
        </w:tc>
        <w:tc>
          <w:tcPr>
            <w:tcW w:w="1134" w:type="dxa"/>
            <w:vAlign w:val="center"/>
          </w:tcPr>
          <w:p>
            <w:pPr>
              <w:pStyle w:val="12"/>
            </w:pPr>
            <w:r>
              <w:t>199.38</w:t>
            </w:r>
          </w:p>
        </w:tc>
        <w:tc>
          <w:tcPr>
            <w:tcW w:w="1134" w:type="dxa"/>
            <w:vAlign w:val="center"/>
          </w:tcPr>
          <w:p>
            <w:pPr>
              <w:pStyle w:val="12"/>
            </w:pPr>
            <w:r>
              <w:t>199.38</w:t>
            </w:r>
          </w:p>
        </w:tc>
        <w:tc>
          <w:tcPr>
            <w:tcW w:w="1134" w:type="dxa"/>
            <w:vAlign w:val="center"/>
          </w:tcPr>
          <w:p>
            <w:pPr>
              <w:pStyle w:val="12"/>
            </w:pPr>
            <w:r>
              <w:t>199.38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21206</w:t>
            </w:r>
          </w:p>
        </w:tc>
        <w:tc>
          <w:tcPr>
            <w:tcW w:w="1559" w:type="dxa"/>
            <w:vAlign w:val="center"/>
          </w:tcPr>
          <w:p>
            <w:pPr>
              <w:pStyle w:val="13"/>
            </w:pPr>
            <w:r>
              <w:t>建设市场管理与监督</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2120601</w:t>
            </w:r>
          </w:p>
        </w:tc>
        <w:tc>
          <w:tcPr>
            <w:tcW w:w="1559" w:type="dxa"/>
            <w:vAlign w:val="center"/>
          </w:tcPr>
          <w:p>
            <w:pPr>
              <w:pStyle w:val="13"/>
            </w:pPr>
            <w:r>
              <w:t>建设市场管理与监督</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2072.58</w:t>
            </w:r>
          </w:p>
        </w:tc>
        <w:tc>
          <w:tcPr>
            <w:tcW w:w="1361" w:type="dxa"/>
            <w:vAlign w:val="center"/>
          </w:tcPr>
          <w:p>
            <w:pPr>
              <w:pStyle w:val="16"/>
            </w:pPr>
            <w:r>
              <w:t>1869.08</w:t>
            </w:r>
          </w:p>
        </w:tc>
        <w:tc>
          <w:tcPr>
            <w:tcW w:w="1361" w:type="dxa"/>
            <w:vAlign w:val="center"/>
          </w:tcPr>
          <w:p>
            <w:pPr>
              <w:pStyle w:val="16"/>
            </w:pPr>
            <w:r>
              <w:t>203.50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98.10</w:t>
            </w:r>
          </w:p>
        </w:tc>
        <w:tc>
          <w:tcPr>
            <w:tcW w:w="1361" w:type="dxa"/>
            <w:vAlign w:val="center"/>
          </w:tcPr>
          <w:p>
            <w:pPr>
              <w:pStyle w:val="12"/>
            </w:pPr>
            <w:r>
              <w:t>98.10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98.10</w:t>
            </w:r>
          </w:p>
        </w:tc>
        <w:tc>
          <w:tcPr>
            <w:tcW w:w="1361" w:type="dxa"/>
            <w:vAlign w:val="center"/>
          </w:tcPr>
          <w:p>
            <w:pPr>
              <w:pStyle w:val="12"/>
            </w:pPr>
            <w:r>
              <w:t>98.10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83.50</w:t>
            </w:r>
          </w:p>
        </w:tc>
        <w:tc>
          <w:tcPr>
            <w:tcW w:w="1361" w:type="dxa"/>
            <w:vAlign w:val="center"/>
          </w:tcPr>
          <w:p>
            <w:pPr>
              <w:pStyle w:val="12"/>
            </w:pPr>
            <w:r>
              <w:t>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14.60</w:t>
            </w:r>
          </w:p>
        </w:tc>
        <w:tc>
          <w:tcPr>
            <w:tcW w:w="1361" w:type="dxa"/>
            <w:vAlign w:val="center"/>
          </w:tcPr>
          <w:p>
            <w:pPr>
              <w:pStyle w:val="12"/>
            </w:pPr>
            <w:r>
              <w:t>14.60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37.50</w:t>
            </w:r>
          </w:p>
        </w:tc>
        <w:tc>
          <w:tcPr>
            <w:tcW w:w="1361" w:type="dxa"/>
            <w:vAlign w:val="center"/>
          </w:tcPr>
          <w:p>
            <w:pPr>
              <w:pStyle w:val="12"/>
            </w:pPr>
            <w:r>
              <w:t>37.50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37.50</w:t>
            </w:r>
          </w:p>
        </w:tc>
        <w:tc>
          <w:tcPr>
            <w:tcW w:w="1361" w:type="dxa"/>
            <w:vAlign w:val="center"/>
          </w:tcPr>
          <w:p>
            <w:pPr>
              <w:pStyle w:val="12"/>
            </w:pPr>
            <w:r>
              <w:t>37.50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1923.48</w:t>
            </w:r>
          </w:p>
        </w:tc>
        <w:tc>
          <w:tcPr>
            <w:tcW w:w="1361" w:type="dxa"/>
            <w:vAlign w:val="center"/>
          </w:tcPr>
          <w:p>
            <w:pPr>
              <w:pStyle w:val="12"/>
            </w:pPr>
            <w:r>
              <w:t>1733.48</w:t>
            </w:r>
          </w:p>
        </w:tc>
        <w:tc>
          <w:tcPr>
            <w:tcW w:w="1361" w:type="dxa"/>
            <w:vAlign w:val="center"/>
          </w:tcPr>
          <w:p>
            <w:pPr>
              <w:pStyle w:val="12"/>
            </w:pPr>
            <w:r>
              <w:t>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1633.48</w:t>
            </w:r>
          </w:p>
        </w:tc>
        <w:tc>
          <w:tcPr>
            <w:tcW w:w="1361" w:type="dxa"/>
            <w:vAlign w:val="center"/>
          </w:tcPr>
          <w:p>
            <w:pPr>
              <w:pStyle w:val="12"/>
            </w:pPr>
            <w:r>
              <w:t>1633.48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1434.10</w:t>
            </w:r>
          </w:p>
        </w:tc>
        <w:tc>
          <w:tcPr>
            <w:tcW w:w="1361" w:type="dxa"/>
            <w:vAlign w:val="center"/>
          </w:tcPr>
          <w:p>
            <w:pPr>
              <w:pStyle w:val="12"/>
            </w:pPr>
            <w:r>
              <w:t>1434.10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2120109</w:t>
            </w:r>
          </w:p>
        </w:tc>
        <w:tc>
          <w:tcPr>
            <w:tcW w:w="4535" w:type="dxa"/>
            <w:vAlign w:val="center"/>
          </w:tcPr>
          <w:p>
            <w:pPr>
              <w:pStyle w:val="13"/>
            </w:pPr>
            <w:r>
              <w:t>住宅建设与房地产市场监管</w:t>
            </w:r>
          </w:p>
        </w:tc>
        <w:tc>
          <w:tcPr>
            <w:tcW w:w="1361" w:type="dxa"/>
            <w:vAlign w:val="center"/>
          </w:tcPr>
          <w:p>
            <w:pPr>
              <w:pStyle w:val="12"/>
            </w:pPr>
            <w:r>
              <w:t>199.38</w:t>
            </w:r>
          </w:p>
        </w:tc>
        <w:tc>
          <w:tcPr>
            <w:tcW w:w="1361" w:type="dxa"/>
            <w:vAlign w:val="center"/>
          </w:tcPr>
          <w:p>
            <w:pPr>
              <w:pStyle w:val="12"/>
            </w:pPr>
            <w:r>
              <w:t>199.38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21202</w:t>
            </w:r>
          </w:p>
        </w:tc>
        <w:tc>
          <w:tcPr>
            <w:tcW w:w="4535" w:type="dxa"/>
            <w:vAlign w:val="center"/>
          </w:tcPr>
          <w:p>
            <w:pPr>
              <w:pStyle w:val="13"/>
            </w:pPr>
            <w:r>
              <w:t>城乡社区规划与管理</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2120201</w:t>
            </w:r>
          </w:p>
        </w:tc>
        <w:tc>
          <w:tcPr>
            <w:tcW w:w="4535" w:type="dxa"/>
            <w:vAlign w:val="center"/>
          </w:tcPr>
          <w:p>
            <w:pPr>
              <w:pStyle w:val="13"/>
            </w:pPr>
            <w:r>
              <w:t>城乡社区规划与管理</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21206</w:t>
            </w:r>
          </w:p>
        </w:tc>
        <w:tc>
          <w:tcPr>
            <w:tcW w:w="4535" w:type="dxa"/>
            <w:vAlign w:val="center"/>
          </w:tcPr>
          <w:p>
            <w:pPr>
              <w:pStyle w:val="13"/>
            </w:pPr>
            <w:r>
              <w:t>建设市场管理与监督</w:t>
            </w:r>
          </w:p>
        </w:tc>
        <w:tc>
          <w:tcPr>
            <w:tcW w:w="1361" w:type="dxa"/>
            <w:vAlign w:val="center"/>
          </w:tcPr>
          <w:p>
            <w:pPr>
              <w:pStyle w:val="12"/>
            </w:pPr>
            <w:r>
              <w:t>200.00</w:t>
            </w:r>
          </w:p>
        </w:tc>
        <w:tc>
          <w:tcPr>
            <w:tcW w:w="1361" w:type="dxa"/>
            <w:vAlign w:val="center"/>
          </w:tcPr>
          <w:p>
            <w:pPr>
              <w:pStyle w:val="12"/>
            </w:pPr>
            <w:r>
              <w:t>100.00</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2120601</w:t>
            </w:r>
          </w:p>
        </w:tc>
        <w:tc>
          <w:tcPr>
            <w:tcW w:w="4535" w:type="dxa"/>
            <w:vAlign w:val="center"/>
          </w:tcPr>
          <w:p>
            <w:pPr>
              <w:pStyle w:val="13"/>
            </w:pPr>
            <w:r>
              <w:t>建设市场管理与监督</w:t>
            </w:r>
          </w:p>
        </w:tc>
        <w:tc>
          <w:tcPr>
            <w:tcW w:w="1361" w:type="dxa"/>
            <w:vAlign w:val="center"/>
          </w:tcPr>
          <w:p>
            <w:pPr>
              <w:pStyle w:val="12"/>
            </w:pPr>
            <w:r>
              <w:t>200.00</w:t>
            </w:r>
          </w:p>
        </w:tc>
        <w:tc>
          <w:tcPr>
            <w:tcW w:w="1361" w:type="dxa"/>
            <w:vAlign w:val="center"/>
          </w:tcPr>
          <w:p>
            <w:pPr>
              <w:pStyle w:val="12"/>
            </w:pPr>
            <w:r>
              <w:t>100.00</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2072.58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98.10</w:t>
            </w:r>
          </w:p>
        </w:tc>
        <w:tc>
          <w:tcPr>
            <w:tcW w:w="1474" w:type="dxa"/>
            <w:vAlign w:val="center"/>
          </w:tcPr>
          <w:p>
            <w:pPr>
              <w:pStyle w:val="12"/>
            </w:pPr>
            <w:r>
              <w:t>98.10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37.50</w:t>
            </w:r>
          </w:p>
        </w:tc>
        <w:tc>
          <w:tcPr>
            <w:tcW w:w="1474" w:type="dxa"/>
            <w:vAlign w:val="center"/>
          </w:tcPr>
          <w:p>
            <w:pPr>
              <w:pStyle w:val="12"/>
            </w:pPr>
            <w:r>
              <w:t>37.50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1923.48</w:t>
            </w:r>
          </w:p>
        </w:tc>
        <w:tc>
          <w:tcPr>
            <w:tcW w:w="1474" w:type="dxa"/>
            <w:vAlign w:val="center"/>
          </w:tcPr>
          <w:p>
            <w:pPr>
              <w:pStyle w:val="12"/>
            </w:pPr>
            <w:r>
              <w:t>1923.48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13.50</w:t>
            </w:r>
          </w:p>
        </w:tc>
        <w:tc>
          <w:tcPr>
            <w:tcW w:w="1474" w:type="dxa"/>
            <w:vAlign w:val="center"/>
          </w:tcPr>
          <w:p>
            <w:pPr>
              <w:pStyle w:val="12"/>
            </w:pPr>
            <w:r>
              <w:t>13.50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2072.58</w:t>
            </w:r>
          </w:p>
        </w:tc>
        <w:tc>
          <w:tcPr>
            <w:tcW w:w="3402" w:type="dxa"/>
            <w:vAlign w:val="center"/>
          </w:tcPr>
          <w:p>
            <w:pPr>
              <w:pStyle w:val="15"/>
            </w:pPr>
            <w:r>
              <w:t>本年支出合计</w:t>
            </w:r>
          </w:p>
        </w:tc>
        <w:tc>
          <w:tcPr>
            <w:tcW w:w="1474" w:type="dxa"/>
            <w:vAlign w:val="center"/>
          </w:tcPr>
          <w:p>
            <w:pPr>
              <w:pStyle w:val="16"/>
            </w:pPr>
            <w:r>
              <w:t>2072.58</w:t>
            </w:r>
          </w:p>
        </w:tc>
        <w:tc>
          <w:tcPr>
            <w:tcW w:w="1474" w:type="dxa"/>
            <w:vAlign w:val="center"/>
          </w:tcPr>
          <w:p>
            <w:pPr>
              <w:pStyle w:val="16"/>
            </w:pPr>
            <w:r>
              <w:t>2072.58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2072.58</w:t>
            </w:r>
          </w:p>
        </w:tc>
        <w:tc>
          <w:tcPr>
            <w:tcW w:w="3402" w:type="dxa"/>
            <w:vAlign w:val="center"/>
          </w:tcPr>
          <w:p>
            <w:pPr>
              <w:pStyle w:val="15"/>
            </w:pPr>
            <w:r>
              <w:t>支出总计</w:t>
            </w:r>
          </w:p>
        </w:tc>
        <w:tc>
          <w:tcPr>
            <w:tcW w:w="1474" w:type="dxa"/>
            <w:vAlign w:val="center"/>
          </w:tcPr>
          <w:p>
            <w:pPr>
              <w:pStyle w:val="16"/>
            </w:pPr>
            <w:r>
              <w:t>2072.58</w:t>
            </w:r>
          </w:p>
        </w:tc>
        <w:tc>
          <w:tcPr>
            <w:tcW w:w="1474" w:type="dxa"/>
            <w:vAlign w:val="center"/>
          </w:tcPr>
          <w:p>
            <w:pPr>
              <w:pStyle w:val="16"/>
            </w:pPr>
            <w:r>
              <w:t>2072.58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2072.58</w:t>
            </w:r>
          </w:p>
        </w:tc>
        <w:tc>
          <w:tcPr>
            <w:tcW w:w="2551" w:type="dxa"/>
            <w:vAlign w:val="center"/>
          </w:tcPr>
          <w:p>
            <w:pPr>
              <w:pStyle w:val="16"/>
            </w:pPr>
            <w:r>
              <w:t>1869.08</w:t>
            </w:r>
          </w:p>
        </w:tc>
        <w:tc>
          <w:tcPr>
            <w:tcW w:w="2551" w:type="dxa"/>
            <w:vAlign w:val="center"/>
          </w:tcPr>
          <w:p>
            <w:pPr>
              <w:pStyle w:val="16"/>
            </w:pPr>
            <w:r>
              <w:t>203.50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98.10</w:t>
            </w:r>
          </w:p>
        </w:tc>
        <w:tc>
          <w:tcPr>
            <w:tcW w:w="2551" w:type="dxa"/>
            <w:vAlign w:val="center"/>
          </w:tcPr>
          <w:p>
            <w:pPr>
              <w:pStyle w:val="12"/>
            </w:pPr>
            <w:r>
              <w:t>98.10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98.10</w:t>
            </w:r>
          </w:p>
        </w:tc>
        <w:tc>
          <w:tcPr>
            <w:tcW w:w="2551" w:type="dxa"/>
            <w:vAlign w:val="center"/>
          </w:tcPr>
          <w:p>
            <w:pPr>
              <w:pStyle w:val="12"/>
            </w:pPr>
            <w:r>
              <w:t>98.10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83.50</w:t>
            </w:r>
          </w:p>
        </w:tc>
        <w:tc>
          <w:tcPr>
            <w:tcW w:w="2551" w:type="dxa"/>
            <w:vAlign w:val="center"/>
          </w:tcPr>
          <w:p>
            <w:pPr>
              <w:pStyle w:val="12"/>
            </w:pPr>
            <w:r>
              <w:t>83.50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14.60</w:t>
            </w:r>
          </w:p>
        </w:tc>
        <w:tc>
          <w:tcPr>
            <w:tcW w:w="2551" w:type="dxa"/>
            <w:vAlign w:val="center"/>
          </w:tcPr>
          <w:p>
            <w:pPr>
              <w:pStyle w:val="12"/>
            </w:pPr>
            <w:r>
              <w:t>14.60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37.50</w:t>
            </w:r>
          </w:p>
        </w:tc>
        <w:tc>
          <w:tcPr>
            <w:tcW w:w="2551" w:type="dxa"/>
            <w:vAlign w:val="center"/>
          </w:tcPr>
          <w:p>
            <w:pPr>
              <w:pStyle w:val="12"/>
            </w:pPr>
            <w:r>
              <w:t>37.50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37.50</w:t>
            </w:r>
          </w:p>
        </w:tc>
        <w:tc>
          <w:tcPr>
            <w:tcW w:w="2551" w:type="dxa"/>
            <w:vAlign w:val="center"/>
          </w:tcPr>
          <w:p>
            <w:pPr>
              <w:pStyle w:val="12"/>
            </w:pPr>
            <w:r>
              <w:t>37.50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1923.48</w:t>
            </w:r>
          </w:p>
        </w:tc>
        <w:tc>
          <w:tcPr>
            <w:tcW w:w="2551" w:type="dxa"/>
            <w:vAlign w:val="center"/>
          </w:tcPr>
          <w:p>
            <w:pPr>
              <w:pStyle w:val="12"/>
            </w:pPr>
            <w:r>
              <w:t>1733.48</w:t>
            </w:r>
          </w:p>
        </w:tc>
        <w:tc>
          <w:tcPr>
            <w:tcW w:w="2551" w:type="dxa"/>
            <w:vAlign w:val="center"/>
          </w:tcPr>
          <w:p>
            <w:pPr>
              <w:pStyle w:val="12"/>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1633.48</w:t>
            </w:r>
          </w:p>
        </w:tc>
        <w:tc>
          <w:tcPr>
            <w:tcW w:w="2551" w:type="dxa"/>
            <w:vAlign w:val="center"/>
          </w:tcPr>
          <w:p>
            <w:pPr>
              <w:pStyle w:val="12"/>
            </w:pPr>
            <w:r>
              <w:t>1633.48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1434.10</w:t>
            </w:r>
          </w:p>
        </w:tc>
        <w:tc>
          <w:tcPr>
            <w:tcW w:w="2551" w:type="dxa"/>
            <w:vAlign w:val="center"/>
          </w:tcPr>
          <w:p>
            <w:pPr>
              <w:pStyle w:val="12"/>
            </w:pPr>
            <w:r>
              <w:t>1434.10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2120109</w:t>
            </w:r>
          </w:p>
        </w:tc>
        <w:tc>
          <w:tcPr>
            <w:tcW w:w="4535" w:type="dxa"/>
            <w:vAlign w:val="center"/>
          </w:tcPr>
          <w:p>
            <w:pPr>
              <w:pStyle w:val="13"/>
            </w:pPr>
            <w:r>
              <w:t>住宅建设与房地产市场监管</w:t>
            </w:r>
          </w:p>
        </w:tc>
        <w:tc>
          <w:tcPr>
            <w:tcW w:w="2551" w:type="dxa"/>
            <w:vAlign w:val="center"/>
          </w:tcPr>
          <w:p>
            <w:pPr>
              <w:pStyle w:val="12"/>
            </w:pPr>
            <w:r>
              <w:t>199.38</w:t>
            </w:r>
          </w:p>
        </w:tc>
        <w:tc>
          <w:tcPr>
            <w:tcW w:w="2551" w:type="dxa"/>
            <w:vAlign w:val="center"/>
          </w:tcPr>
          <w:p>
            <w:pPr>
              <w:pStyle w:val="12"/>
            </w:pPr>
            <w:r>
              <w:t>199.38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21206</w:t>
            </w:r>
          </w:p>
        </w:tc>
        <w:tc>
          <w:tcPr>
            <w:tcW w:w="4535" w:type="dxa"/>
            <w:vAlign w:val="center"/>
          </w:tcPr>
          <w:p>
            <w:pPr>
              <w:pStyle w:val="13"/>
            </w:pPr>
            <w:r>
              <w:t>建设市场管理与监督</w:t>
            </w:r>
          </w:p>
        </w:tc>
        <w:tc>
          <w:tcPr>
            <w:tcW w:w="2551" w:type="dxa"/>
            <w:vAlign w:val="center"/>
          </w:tcPr>
          <w:p>
            <w:pPr>
              <w:pStyle w:val="12"/>
            </w:pPr>
            <w:r>
              <w:t>200.00</w:t>
            </w:r>
          </w:p>
        </w:tc>
        <w:tc>
          <w:tcPr>
            <w:tcW w:w="2551" w:type="dxa"/>
            <w:vAlign w:val="center"/>
          </w:tcPr>
          <w:p>
            <w:pPr>
              <w:pStyle w:val="12"/>
            </w:pPr>
            <w:r>
              <w:t>100.00</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2120601</w:t>
            </w:r>
          </w:p>
        </w:tc>
        <w:tc>
          <w:tcPr>
            <w:tcW w:w="4535" w:type="dxa"/>
            <w:vAlign w:val="center"/>
          </w:tcPr>
          <w:p>
            <w:pPr>
              <w:pStyle w:val="13"/>
            </w:pPr>
            <w:r>
              <w:t>建设市场管理与监督</w:t>
            </w:r>
          </w:p>
        </w:tc>
        <w:tc>
          <w:tcPr>
            <w:tcW w:w="2551" w:type="dxa"/>
            <w:vAlign w:val="center"/>
          </w:tcPr>
          <w:p>
            <w:pPr>
              <w:pStyle w:val="12"/>
            </w:pPr>
            <w:r>
              <w:t>200.00</w:t>
            </w:r>
          </w:p>
        </w:tc>
        <w:tc>
          <w:tcPr>
            <w:tcW w:w="2551" w:type="dxa"/>
            <w:vAlign w:val="center"/>
          </w:tcPr>
          <w:p>
            <w:pPr>
              <w:pStyle w:val="12"/>
            </w:pPr>
            <w:r>
              <w:t>100.00</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1869.08</w:t>
            </w:r>
          </w:p>
        </w:tc>
        <w:tc>
          <w:tcPr>
            <w:tcW w:w="2551" w:type="dxa"/>
            <w:vAlign w:val="center"/>
          </w:tcPr>
          <w:p>
            <w:pPr>
              <w:pStyle w:val="16"/>
            </w:pPr>
            <w:r>
              <w:t>1515.08</w:t>
            </w:r>
          </w:p>
        </w:tc>
        <w:tc>
          <w:tcPr>
            <w:tcW w:w="2551" w:type="dxa"/>
            <w:vAlign w:val="center"/>
          </w:tcPr>
          <w:p>
            <w:pPr>
              <w:pStyle w:val="16"/>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1388.26</w:t>
            </w:r>
          </w:p>
        </w:tc>
        <w:tc>
          <w:tcPr>
            <w:tcW w:w="2551" w:type="dxa"/>
            <w:vAlign w:val="center"/>
          </w:tcPr>
          <w:p>
            <w:pPr>
              <w:pStyle w:val="12"/>
            </w:pPr>
            <w:r>
              <w:t>1388.26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1044.00</w:t>
            </w:r>
          </w:p>
        </w:tc>
        <w:tc>
          <w:tcPr>
            <w:tcW w:w="2551" w:type="dxa"/>
            <w:vAlign w:val="center"/>
          </w:tcPr>
          <w:p>
            <w:pPr>
              <w:pStyle w:val="12"/>
            </w:pPr>
            <w:r>
              <w:t>1044.00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61.90</w:t>
            </w:r>
          </w:p>
        </w:tc>
        <w:tc>
          <w:tcPr>
            <w:tcW w:w="2551" w:type="dxa"/>
            <w:vAlign w:val="center"/>
          </w:tcPr>
          <w:p>
            <w:pPr>
              <w:pStyle w:val="12"/>
            </w:pPr>
            <w:r>
              <w:t>61.90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56.26</w:t>
            </w:r>
          </w:p>
        </w:tc>
        <w:tc>
          <w:tcPr>
            <w:tcW w:w="2551" w:type="dxa"/>
            <w:vAlign w:val="center"/>
          </w:tcPr>
          <w:p>
            <w:pPr>
              <w:pStyle w:val="12"/>
            </w:pPr>
            <w:r>
              <w:t>56.26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83.50</w:t>
            </w:r>
          </w:p>
        </w:tc>
        <w:tc>
          <w:tcPr>
            <w:tcW w:w="2551" w:type="dxa"/>
            <w:vAlign w:val="center"/>
          </w:tcPr>
          <w:p>
            <w:pPr>
              <w:pStyle w:val="12"/>
            </w:pPr>
            <w:r>
              <w:t>83.50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14.60</w:t>
            </w:r>
          </w:p>
        </w:tc>
        <w:tc>
          <w:tcPr>
            <w:tcW w:w="2551" w:type="dxa"/>
            <w:vAlign w:val="center"/>
          </w:tcPr>
          <w:p>
            <w:pPr>
              <w:pStyle w:val="12"/>
            </w:pPr>
            <w:r>
              <w:t>14.60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37.50</w:t>
            </w:r>
          </w:p>
        </w:tc>
        <w:tc>
          <w:tcPr>
            <w:tcW w:w="2551" w:type="dxa"/>
            <w:vAlign w:val="center"/>
          </w:tcPr>
          <w:p>
            <w:pPr>
              <w:pStyle w:val="12"/>
            </w:pPr>
            <w:r>
              <w:t>37.50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354.00</w:t>
            </w:r>
          </w:p>
        </w:tc>
        <w:tc>
          <w:tcPr>
            <w:tcW w:w="2551" w:type="dxa"/>
            <w:vAlign w:val="center"/>
          </w:tcPr>
          <w:p>
            <w:pPr>
              <w:pStyle w:val="12"/>
            </w:pPr>
          </w:p>
        </w:tc>
        <w:tc>
          <w:tcPr>
            <w:tcW w:w="2551" w:type="dxa"/>
            <w:vAlign w:val="center"/>
          </w:tcPr>
          <w:p>
            <w:pPr>
              <w:pStyle w:val="12"/>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126.82</w:t>
            </w:r>
          </w:p>
        </w:tc>
        <w:tc>
          <w:tcPr>
            <w:tcW w:w="2551" w:type="dxa"/>
            <w:vAlign w:val="center"/>
          </w:tcPr>
          <w:p>
            <w:pPr>
              <w:pStyle w:val="12"/>
            </w:pPr>
            <w:r>
              <w:t>126.82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126.82</w:t>
            </w:r>
          </w:p>
        </w:tc>
        <w:tc>
          <w:tcPr>
            <w:tcW w:w="2551" w:type="dxa"/>
            <w:vAlign w:val="center"/>
          </w:tcPr>
          <w:p>
            <w:pPr>
              <w:pStyle w:val="12"/>
            </w:pPr>
            <w:r>
              <w:t>126.82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无极县住房和城乡建设局2024年部门预算信息公开情况说明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无极县住房和城乡建设局2024年部门预算信息公开情况说明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按照《中华人民共和国预算法》、《地方预决算公开操作规程》和《关于进一步推进预算公开工作的实施意见》规定，现将无极县住房和城乡建设局2024年部门预算公开如下：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rPr>
          <w:rFonts w:hint="eastAsia"/>
        </w:rPr>
      </w:pPr>
      <w:r>
        <w:rPr>
          <w:rFonts w:hint="eastAsia"/>
        </w:rP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8"/>
        <w:rPr>
          <w:rFonts w:hint="eastAsia"/>
        </w:rPr>
      </w:pPr>
      <w:r>
        <w:rPr>
          <w:rFonts w:hint="eastAsia"/>
        </w:rP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8"/>
        <w:rPr>
          <w:rFonts w:hint="eastAsia"/>
        </w:rPr>
      </w:pPr>
      <w:r>
        <w:rPr>
          <w:rFonts w:hint="eastAsia"/>
        </w:rPr>
        <w:t>(三)负责推进住房制度</w:t>
      </w:r>
      <w:r>
        <w:rPr>
          <w:rFonts w:hint="eastAsia"/>
          <w:lang w:eastAsia="zh-CN"/>
        </w:rPr>
        <w:t>改革</w:t>
      </w:r>
      <w:r>
        <w:rPr>
          <w:rFonts w:hint="eastAsia"/>
        </w:rPr>
        <w:t>。拟订适合县情的住房政策指导住房建设，推动住房制度改革；拟订住房建设发展规划并组织实施。</w:t>
      </w:r>
    </w:p>
    <w:p>
      <w:pPr>
        <w:pStyle w:val="18"/>
        <w:rPr>
          <w:rFonts w:hint="eastAsia"/>
        </w:rPr>
      </w:pPr>
      <w:r>
        <w:rPr>
          <w:rFonts w:hint="eastAsia"/>
        </w:rP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8"/>
        <w:rPr>
          <w:rFonts w:hint="eastAsia"/>
        </w:rPr>
      </w:pPr>
      <w:r>
        <w:rPr>
          <w:rFonts w:hint="eastAsia"/>
        </w:rP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8"/>
        <w:rPr>
          <w:rFonts w:hint="eastAsia"/>
        </w:rPr>
      </w:pPr>
      <w:r>
        <w:rPr>
          <w:rFonts w:hint="eastAsia"/>
        </w:rPr>
        <w:t>(六)统筹编制县内市政基础设施建设中长期发展规划，会同有关部门拟订县本级城建计划并组织实施；负责组织实施县政府安排的县内市政基础设施建设工作(包括城市路网的新建、改建、扩建工程)。</w:t>
      </w:r>
    </w:p>
    <w:p>
      <w:pPr>
        <w:pStyle w:val="18"/>
        <w:rPr>
          <w:rFonts w:hint="eastAsia"/>
        </w:rPr>
      </w:pPr>
      <w:r>
        <w:rPr>
          <w:rFonts w:hint="eastAsia"/>
        </w:rPr>
        <w:t>(七)指导推进新型城镇化(国家新型城镇化综合试点)和县城建设工作。</w:t>
      </w:r>
    </w:p>
    <w:p>
      <w:pPr>
        <w:pStyle w:val="18"/>
        <w:rPr>
          <w:rFonts w:hint="eastAsia"/>
        </w:rPr>
      </w:pPr>
      <w:r>
        <w:rPr>
          <w:rFonts w:hint="eastAsia"/>
        </w:rP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8"/>
        <w:rPr>
          <w:rFonts w:hint="eastAsia"/>
        </w:rPr>
      </w:pPr>
      <w:r>
        <w:rPr>
          <w:rFonts w:hint="eastAsia"/>
        </w:rP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8"/>
        <w:rPr>
          <w:rFonts w:hint="eastAsia"/>
        </w:rPr>
      </w:pPr>
      <w:r>
        <w:rPr>
          <w:rFonts w:hint="eastAsia"/>
        </w:rP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8"/>
        <w:rPr>
          <w:rFonts w:hint="eastAsia"/>
        </w:rPr>
      </w:pPr>
      <w:r>
        <w:rPr>
          <w:rFonts w:hint="eastAsia"/>
        </w:rP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8"/>
        <w:rPr>
          <w:rFonts w:hint="eastAsia"/>
        </w:rPr>
      </w:pPr>
      <w:r>
        <w:rPr>
          <w:rFonts w:hint="eastAsia"/>
        </w:rP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8"/>
        <w:rPr>
          <w:rFonts w:hint="eastAsia"/>
        </w:rPr>
      </w:pPr>
      <w:r>
        <w:rPr>
          <w:rFonts w:hint="eastAsia"/>
        </w:rPr>
        <w:t>(十三)拟订地下综合管廊中长期建设计划，制定地下综合管廊运营、维护管理办法和配套政策；督导国家试点地下综合管廊建设工作，指导综合管廊运营和维护管理工作。</w:t>
      </w:r>
    </w:p>
    <w:p>
      <w:pPr>
        <w:pStyle w:val="18"/>
        <w:rPr>
          <w:rFonts w:hint="eastAsia"/>
        </w:rPr>
      </w:pPr>
      <w:r>
        <w:rPr>
          <w:rFonts w:hint="eastAsia"/>
        </w:rP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8"/>
        <w:rPr>
          <w:rFonts w:hint="eastAsia"/>
        </w:rPr>
      </w:pPr>
      <w:r>
        <w:rPr>
          <w:rFonts w:hint="eastAsia"/>
        </w:rPr>
        <w:t>(十五)负责住房和城乡建设行业人才队伍建设。</w:t>
      </w:r>
    </w:p>
    <w:p>
      <w:pPr>
        <w:pStyle w:val="18"/>
        <w:rPr>
          <w:rFonts w:hint="eastAsia"/>
        </w:rPr>
      </w:pPr>
      <w:r>
        <w:rPr>
          <w:rFonts w:hint="eastAsia"/>
        </w:rPr>
        <w:t>(十六)负责各类房屋建筑及其附属设施和城市市政设施建设工程的抗震设防监督管理。</w:t>
      </w:r>
    </w:p>
    <w:p>
      <w:pPr>
        <w:pStyle w:val="18"/>
        <w:rPr>
          <w:rFonts w:hint="eastAsia"/>
        </w:rPr>
      </w:pPr>
      <w:r>
        <w:rPr>
          <w:rFonts w:hint="eastAsia"/>
        </w:rPr>
        <w:t>(十七)负责城市建设档案监督管理工作。</w:t>
      </w:r>
    </w:p>
    <w:p>
      <w:pPr>
        <w:pStyle w:val="18"/>
        <w:rPr>
          <w:rFonts w:hint="eastAsia"/>
        </w:rPr>
      </w:pPr>
      <w:r>
        <w:rPr>
          <w:rFonts w:hint="eastAsia"/>
        </w:rPr>
        <w:t>(十八)会同有关部门做好支油、支铁建设协调工作。</w:t>
      </w:r>
    </w:p>
    <w:p>
      <w:pPr>
        <w:pStyle w:val="18"/>
        <w:rPr>
          <w:rFonts w:hint="eastAsia"/>
        </w:rPr>
      </w:pPr>
      <w:r>
        <w:rPr>
          <w:rFonts w:hint="eastAsia"/>
        </w:rPr>
        <w:t>(十九)负责直管公有住房的资产、售房款和售后维修资全的管理工作。</w:t>
      </w:r>
    </w:p>
    <w:p>
      <w:pPr>
        <w:pStyle w:val="18"/>
        <w:rPr>
          <w:rFonts w:hint="eastAsia"/>
        </w:rPr>
      </w:pPr>
      <w:r>
        <w:rPr>
          <w:rFonts w:hint="eastAsia"/>
        </w:rPr>
        <w:t>(二十)会同有关部门，做好城市建设行业涉及本部门的相关专业规划的编制和实施工作。</w:t>
      </w:r>
    </w:p>
    <w:p>
      <w:pPr>
        <w:pStyle w:val="18"/>
        <w:rPr>
          <w:rFonts w:hint="eastAsia"/>
        </w:rPr>
      </w:pPr>
      <w:r>
        <w:rPr>
          <w:rFonts w:hint="eastAsia"/>
        </w:rPr>
        <w:t>(二十一)负责住房城乡建设行业信息采集、整理、统计分析、发布等工作。</w:t>
      </w:r>
    </w:p>
    <w:p>
      <w:pPr>
        <w:pStyle w:val="18"/>
        <w:rPr>
          <w:rFonts w:hint="eastAsia"/>
        </w:rPr>
      </w:pPr>
      <w:r>
        <w:rPr>
          <w:rFonts w:hint="eastAsia"/>
        </w:rPr>
        <w:t>(二十二)负责城市污水处理工作。</w:t>
      </w:r>
    </w:p>
    <w:p>
      <w:pPr>
        <w:pStyle w:val="18"/>
        <w:rPr>
          <w:rFonts w:hint="eastAsia"/>
        </w:rPr>
      </w:pPr>
      <w:r>
        <w:rPr>
          <w:rFonts w:hint="eastAsia"/>
        </w:rPr>
        <w:t>(二十三)负责城市建成区内建筑施工扬尘污染的行政处罚、住房和城乡建设方面法律法规规章规定的行政处罚。</w:t>
      </w:r>
    </w:p>
    <w:p>
      <w:pPr>
        <w:pStyle w:val="18"/>
      </w:pPr>
      <w:r>
        <w:rPr>
          <w:rFonts w:hint="eastAsia"/>
        </w:rPr>
        <w:t>(二十四)完成县委、县政府交办的其他任务。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无极县建筑工程质量监督站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无极县住房保障和房产服务中心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按照预算管理有关规定，目前部门预算的编制实行综合预算管理，即全部收入和支出都反映在预算中。无极县住房和城乡建设局机关及所属事业单位的收支包含在部门预算中。</w:t>
      </w:r>
    </w:p>
    <w:p>
      <w:pPr>
        <w:pStyle w:val="19"/>
      </w:pPr>
      <w:r>
        <w:t>1、收入说明</w:t>
      </w:r>
    </w:p>
    <w:p>
      <w:pPr>
        <w:pStyle w:val="19"/>
      </w:pPr>
      <w:r>
        <w:t>反映本部门当年全部收入。2024年预算收入2072.58万元，其中：一般公共预算收入2072.58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住房和城乡建设局年度部门预算中支出预算的总体情况。2024年支出预算2072.58万元，其中基本支出1869.08万元，包括人员经费1515.08万元和日常公用经费354.00万元；项目支出203.50万元，主要为城市体检社会满意度调查和信息平台建设资金</w:t>
      </w:r>
      <w:r>
        <w:rPr>
          <w:rFonts w:hint="eastAsia"/>
          <w:lang w:val="en-US" w:eastAsia="zh-CN"/>
        </w:rPr>
        <w:t>60万元</w:t>
      </w:r>
      <w:r>
        <w:t>、2024年县城办运作经费</w:t>
      </w:r>
      <w:r>
        <w:rPr>
          <w:rFonts w:hint="eastAsia"/>
          <w:lang w:val="en-US" w:eastAsia="zh-CN"/>
        </w:rPr>
        <w:t>30万元</w:t>
      </w:r>
      <w:r>
        <w:t>、2024年中央财政农村危房改造补助资金</w:t>
      </w:r>
      <w:r>
        <w:rPr>
          <w:rFonts w:hint="eastAsia"/>
          <w:lang w:val="en-US" w:eastAsia="zh-CN"/>
        </w:rPr>
        <w:t>10.1万元</w:t>
      </w:r>
      <w:r>
        <w:t>、2024年省级财政保障性安居工程（农村危房改造）补助资金</w:t>
      </w:r>
      <w:r>
        <w:rPr>
          <w:rFonts w:hint="eastAsia"/>
          <w:lang w:val="en-US" w:eastAsia="zh-CN"/>
        </w:rPr>
        <w:t>3.4万元</w:t>
      </w:r>
      <w:r>
        <w:t>、2024年质监站经费</w:t>
      </w:r>
      <w:r>
        <w:rPr>
          <w:rFonts w:hint="eastAsia"/>
          <w:lang w:val="en-US" w:eastAsia="zh-CN"/>
        </w:rPr>
        <w:t>100万元</w:t>
      </w:r>
      <w:r>
        <w:t>。</w:t>
      </w:r>
    </w:p>
    <w:p>
      <w:pPr>
        <w:pStyle w:val="19"/>
      </w:pPr>
      <w:r>
        <w:t>3、比上年增减情况</w:t>
      </w:r>
    </w:p>
    <w:p>
      <w:pPr>
        <w:pStyle w:val="19"/>
      </w:pPr>
      <w:r>
        <w:t>2024年预算收支安排2072.58万元，较2023年预算减少21669.61万元，其中：基本支出减少333.71万元，主要为人员经费支出减少</w:t>
      </w:r>
      <w:r>
        <w:rPr>
          <w:rFonts w:hint="eastAsia"/>
          <w:lang w:eastAsia="zh-CN"/>
        </w:rPr>
        <w:t>；</w:t>
      </w:r>
      <w:r>
        <w:t>项目支出减少21335.90万元，主要为建设项目支出经费减少。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2024年，我部门机关运行经费共计安排354.00万元，主要用于日常维修、办公用房水电费、办公用房取暖费、 办公用房物业管理费等日常运行支出</w:t>
      </w:r>
      <w:r>
        <w:rPr>
          <w:rFonts w:hint="eastAsia" w:cs="Times New Roman"/>
          <w:sz w:val="28"/>
          <w:szCs w:val="24"/>
          <w:lang w:val="en-US" w:eastAsia="zh-CN" w:bidi="ar-SA"/>
        </w:rP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bookmarkStart w:id="13" w:name="_Toc_3_3_0000000014"/>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w:t>
      </w:r>
      <w:r>
        <w:rPr>
          <w:rFonts w:hint="eastAsia"/>
          <w:lang w:eastAsia="zh-CN"/>
        </w:rPr>
        <w:t>是</w:t>
      </w:r>
      <w:r>
        <w:t>严格按照公务用车相关制度执行，厉行节约；未安排因公出国（境）费</w:t>
      </w:r>
      <w:r>
        <w:rPr>
          <w:rFonts w:hint="eastAsia"/>
          <w:lang w:eastAsia="zh-CN"/>
        </w:rPr>
        <w:t>和</w:t>
      </w:r>
      <w:r>
        <w:t>公务接待费。</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整体绩效目标</w:t>
      </w:r>
    </w:p>
    <w:p>
      <w:pPr>
        <w:pStyle w:val="22"/>
      </w:pPr>
      <w:r>
        <w:t>住建局的主要职能：</w:t>
      </w:r>
    </w:p>
    <w:p>
      <w:pPr>
        <w:pStyle w:val="22"/>
      </w:pPr>
      <w:r>
        <w:t>一是负责住房城乡建设行业安全生产监管。</w:t>
      </w:r>
    </w:p>
    <w:p>
      <w:pPr>
        <w:pStyle w:val="22"/>
      </w:pPr>
      <w:r>
        <w:t>二是负责城区保障房配建、分配、维护管理及专项资金监督使用等工作。</w:t>
      </w:r>
    </w:p>
    <w:p>
      <w:pPr>
        <w:pStyle w:val="22"/>
      </w:pPr>
      <w:r>
        <w:t>三是负责全县房地产市场的监督管理。</w:t>
      </w:r>
    </w:p>
    <w:p>
      <w:pPr>
        <w:pStyle w:val="22"/>
      </w:pPr>
      <w:r>
        <w:t>四是负责建筑市场的监督管理。</w:t>
      </w:r>
    </w:p>
    <w:p>
      <w:pPr>
        <w:pStyle w:val="22"/>
      </w:pPr>
      <w:r>
        <w:t>五是负责组织实施县政府安排的城区市政基础设施建设工作。</w:t>
      </w:r>
    </w:p>
    <w:p>
      <w:pPr>
        <w:pStyle w:val="22"/>
      </w:pPr>
      <w:r>
        <w:t>六是负责城市污水处理工作。</w:t>
      </w:r>
    </w:p>
    <w:p>
      <w:pPr>
        <w:pStyle w:val="22"/>
      </w:pPr>
      <w:r>
        <w:t>七是负责老旧小区改造工程建设。</w:t>
      </w:r>
    </w:p>
    <w:p>
      <w:pPr>
        <w:pStyle w:val="22"/>
      </w:pPr>
      <w:r>
        <w:t>八是负责既有建筑节能改造工作。</w:t>
      </w:r>
    </w:p>
    <w:p>
      <w:pPr>
        <w:pStyle w:val="22"/>
      </w:pPr>
      <w:r>
        <w:t>九是棚户区老旧小区农村危房改造工作。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一、继续推进路网及管网提质改造。</w:t>
      </w:r>
    </w:p>
    <w:p>
      <w:pPr>
        <w:pStyle w:val="23"/>
      </w:pPr>
      <w:r>
        <w:t>绩效目标：不断加大基础设施项目建设力度，完善基础设施，提升城市承载能力。</w:t>
      </w:r>
    </w:p>
    <w:p>
      <w:pPr>
        <w:pStyle w:val="23"/>
      </w:pPr>
      <w:r>
        <w:t>绩效指标：一是城区小街巷道提升，对现状土路及破损严重的水泥路面、水泥板路面、破损砖路进行拆除新建；二是拉大城市框架。</w:t>
      </w:r>
    </w:p>
    <w:p>
      <w:pPr>
        <w:pStyle w:val="23"/>
      </w:pPr>
      <w:r>
        <w:t>二、力推棚户区老旧小区农村危房改造，构建宜居城市。</w:t>
      </w:r>
    </w:p>
    <w:p>
      <w:pPr>
        <w:pStyle w:val="23"/>
      </w:pPr>
      <w:r>
        <w:t>绩效目标：促进危房改造工作，加快棚户区改造步伐，推进老旧小区改造工程建设。</w:t>
      </w:r>
    </w:p>
    <w:p>
      <w:pPr>
        <w:pStyle w:val="23"/>
      </w:pPr>
      <w:r>
        <w:t>绩效指标：推进老旧小区改造工程建设，完成老旧小区改造工作。</w:t>
      </w:r>
    </w:p>
    <w:p>
      <w:pPr>
        <w:pStyle w:val="23"/>
      </w:pPr>
      <w:r>
        <w:t>三、抓好生态文明建设，促进高质量发展。</w:t>
      </w:r>
    </w:p>
    <w:p>
      <w:pPr>
        <w:pStyle w:val="23"/>
      </w:pPr>
      <w:r>
        <w:t>绩效目标：加强扬尘治理工作。</w:t>
      </w:r>
    </w:p>
    <w:p>
      <w:pPr>
        <w:pStyle w:val="23"/>
      </w:pPr>
      <w:r>
        <w:t>绩效指标：发挥扬尘专班作用，进一步加大扬尘工作治理力度。</w:t>
      </w:r>
    </w:p>
    <w:p>
      <w:pPr>
        <w:pStyle w:val="23"/>
      </w:pPr>
      <w:r>
        <w:t>四、保证污水处理厂稳定运行。</w:t>
      </w:r>
    </w:p>
    <w:p>
      <w:pPr>
        <w:pStyle w:val="23"/>
      </w:pPr>
      <w:r>
        <w:t>绩效目标：保证污水处理达标运行。</w:t>
      </w:r>
    </w:p>
    <w:p>
      <w:pPr>
        <w:pStyle w:val="23"/>
      </w:pPr>
      <w:r>
        <w:t>绩效指标：在污水处理一体化ppp项目实施当中严格按照PPP实施方案考核内容对污水厂进行监管，保证污水处理达标运行。积极协调、沟通污水处理一体化ppp项目中标单位完善污水处理提标“类四类”水项目成本核算，尽快将该项目纳入污水处理一体化ppp项目 。</w:t>
      </w:r>
    </w:p>
    <w:p>
      <w:pPr>
        <w:pStyle w:val="23"/>
      </w:pPr>
      <w:r>
        <w:t>五、加强监管，住房和建设市场健康有序发展。</w:t>
      </w:r>
    </w:p>
    <w:p>
      <w:pPr>
        <w:pStyle w:val="23"/>
      </w:pPr>
      <w:r>
        <w:t>绩效目标：巩固“双违”成果，促进房地产市场健康发展，强化安全生产监管，消除事故隐患。绩效指标：加强住房和建设市场健康有序发展监管力度，坚持联合执法和专项执法相结合，实行网格化管理，强化安全生产监管，消除事故隐患。</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规范财务资产管理。完善局财务管理制度，建立财务领导小组，严格各项审批程序，加强局所有固定资产登记、使用和报废处置管理，做到支出合理，物尽其用。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1、2024年省级财政保障性安居工程（农村危房改造）补助资金绩效目标表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13013024P00000210129R</w:t>
            </w:r>
          </w:p>
        </w:tc>
        <w:tc>
          <w:tcPr>
            <w:tcW w:w="2835" w:type="dxa"/>
            <w:vAlign w:val="center"/>
          </w:tcPr>
          <w:p>
            <w:pPr>
              <w:pStyle w:val="11"/>
            </w:pPr>
            <w:r>
              <w:t>项目名称</w:t>
            </w:r>
          </w:p>
        </w:tc>
        <w:tc>
          <w:tcPr>
            <w:tcW w:w="6094" w:type="dxa"/>
            <w:gridSpan w:val="3"/>
            <w:vAlign w:val="center"/>
          </w:tcPr>
          <w:p>
            <w:pPr>
              <w:pStyle w:val="13"/>
            </w:pPr>
            <w:r>
              <w:t>2024年省级财政保障性安居工程（农村危房改造）补助资金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w:t>
            </w:r>
          </w:p>
        </w:tc>
        <w:tc>
          <w:tcPr>
            <w:tcW w:w="2835" w:type="dxa"/>
            <w:vAlign w:val="center"/>
          </w:tcPr>
          <w:p>
            <w:pPr>
              <w:pStyle w:val="11"/>
            </w:pPr>
            <w:r>
              <w:t>其中：财政    资金</w:t>
            </w:r>
          </w:p>
        </w:tc>
        <w:tc>
          <w:tcPr>
            <w:tcW w:w="2551" w:type="dxa"/>
            <w:vAlign w:val="center"/>
          </w:tcPr>
          <w:p>
            <w:pPr>
              <w:pStyle w:val="13"/>
            </w:pPr>
            <w:r>
              <w:t>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危房改造资金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危房改造覆盖率</w:t>
            </w:r>
          </w:p>
        </w:tc>
        <w:tc>
          <w:tcPr>
            <w:tcW w:w="5386" w:type="dxa"/>
            <w:vAlign w:val="center"/>
          </w:tcPr>
          <w:p>
            <w:pPr>
              <w:pStyle w:val="13"/>
            </w:pPr>
            <w:r>
              <w:t>危房改造户数占农村应改造危房总量的比率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危房改造验收合格率</w:t>
            </w:r>
          </w:p>
        </w:tc>
        <w:tc>
          <w:tcPr>
            <w:tcW w:w="5386" w:type="dxa"/>
            <w:vAlign w:val="center"/>
          </w:tcPr>
          <w:p>
            <w:pPr>
              <w:pStyle w:val="13"/>
            </w:pPr>
            <w:r>
              <w:t>危房改造验收合格数量占总改造数量的比率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危房改造完成率</w:t>
            </w:r>
          </w:p>
        </w:tc>
        <w:tc>
          <w:tcPr>
            <w:tcW w:w="5386" w:type="dxa"/>
            <w:vAlign w:val="center"/>
          </w:tcPr>
          <w:p>
            <w:pPr>
              <w:pStyle w:val="13"/>
            </w:pPr>
            <w:r>
              <w:t>当年农村危房改造完成情况</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危房改造补贴标准</w:t>
            </w:r>
          </w:p>
        </w:tc>
        <w:tc>
          <w:tcPr>
            <w:tcW w:w="5386" w:type="dxa"/>
            <w:vAlign w:val="center"/>
          </w:tcPr>
          <w:p>
            <w:pPr>
              <w:pStyle w:val="13"/>
            </w:pPr>
            <w:r>
              <w:t>危房改造户改造资金补贴标准</w:t>
            </w:r>
          </w:p>
        </w:tc>
        <w:tc>
          <w:tcPr>
            <w:tcW w:w="2268" w:type="dxa"/>
            <w:vAlign w:val="center"/>
          </w:tcPr>
          <w:p>
            <w:pPr>
              <w:pStyle w:val="13"/>
            </w:pPr>
            <w:r>
              <w:t>≤3.4万元</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改造资金发放率</w:t>
            </w:r>
          </w:p>
        </w:tc>
        <w:tc>
          <w:tcPr>
            <w:tcW w:w="5386" w:type="dxa"/>
            <w:vAlign w:val="center"/>
          </w:tcPr>
          <w:p>
            <w:pPr>
              <w:pStyle w:val="13"/>
            </w:pPr>
            <w:r>
              <w:t>危房改造资金发放数量占应发放总量的比率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保证住房安全</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《无极县2021年农村危房改造实施方案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2、2024年县城办运转经费绩效目标表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13013024P00000210205W</w:t>
            </w:r>
          </w:p>
        </w:tc>
        <w:tc>
          <w:tcPr>
            <w:tcW w:w="2835" w:type="dxa"/>
            <w:vAlign w:val="center"/>
          </w:tcPr>
          <w:p>
            <w:pPr>
              <w:pStyle w:val="11"/>
            </w:pPr>
            <w:r>
              <w:t>项目名称</w:t>
            </w:r>
          </w:p>
        </w:tc>
        <w:tc>
          <w:tcPr>
            <w:tcW w:w="6094" w:type="dxa"/>
            <w:gridSpan w:val="3"/>
            <w:vAlign w:val="center"/>
          </w:tcPr>
          <w:p>
            <w:pPr>
              <w:pStyle w:val="13"/>
            </w:pPr>
            <w:r>
              <w:t>2024年县城办运转经费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2024年县城办运转经费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1.县城办运转经费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≤100%</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&lt;100%</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30万元</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&lt;100%</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提升周边环境</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居住环境得到改善</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依据合同协议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3、2024年中央财政农村危房改造补助资金绩效目标表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13013024P000002101305</w:t>
            </w:r>
          </w:p>
        </w:tc>
        <w:tc>
          <w:tcPr>
            <w:tcW w:w="2835" w:type="dxa"/>
            <w:vAlign w:val="center"/>
          </w:tcPr>
          <w:p>
            <w:pPr>
              <w:pStyle w:val="11"/>
            </w:pPr>
            <w:r>
              <w:t>项目名称</w:t>
            </w:r>
          </w:p>
        </w:tc>
        <w:tc>
          <w:tcPr>
            <w:tcW w:w="6094" w:type="dxa"/>
            <w:gridSpan w:val="3"/>
            <w:vAlign w:val="center"/>
          </w:tcPr>
          <w:p>
            <w:pPr>
              <w:pStyle w:val="13"/>
            </w:pPr>
            <w:r>
              <w:t>2024年中央财政农村危房改造补助资金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10.10</w:t>
            </w:r>
          </w:p>
        </w:tc>
        <w:tc>
          <w:tcPr>
            <w:tcW w:w="2835" w:type="dxa"/>
            <w:vAlign w:val="center"/>
          </w:tcPr>
          <w:p>
            <w:pPr>
              <w:pStyle w:val="11"/>
            </w:pPr>
            <w:r>
              <w:t>其中：财政    资金</w:t>
            </w:r>
          </w:p>
        </w:tc>
        <w:tc>
          <w:tcPr>
            <w:tcW w:w="2551" w:type="dxa"/>
            <w:vAlign w:val="center"/>
          </w:tcPr>
          <w:p>
            <w:pPr>
              <w:pStyle w:val="13"/>
            </w:pPr>
            <w:r>
              <w:t>10.10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危房改造资金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危房改造覆盖率</w:t>
            </w:r>
          </w:p>
        </w:tc>
        <w:tc>
          <w:tcPr>
            <w:tcW w:w="5386" w:type="dxa"/>
            <w:vAlign w:val="center"/>
          </w:tcPr>
          <w:p>
            <w:pPr>
              <w:pStyle w:val="13"/>
            </w:pPr>
            <w:r>
              <w:t>危房改造户数占农村应改造危房总量的比率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危房改造验收合格率</w:t>
            </w:r>
          </w:p>
        </w:tc>
        <w:tc>
          <w:tcPr>
            <w:tcW w:w="5386" w:type="dxa"/>
            <w:vAlign w:val="center"/>
          </w:tcPr>
          <w:p>
            <w:pPr>
              <w:pStyle w:val="13"/>
            </w:pPr>
            <w:r>
              <w:t>危房改造验收合格数量占总改造数量的比率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危房改造完成率</w:t>
            </w:r>
          </w:p>
        </w:tc>
        <w:tc>
          <w:tcPr>
            <w:tcW w:w="5386" w:type="dxa"/>
            <w:vAlign w:val="center"/>
          </w:tcPr>
          <w:p>
            <w:pPr>
              <w:pStyle w:val="13"/>
            </w:pPr>
            <w:r>
              <w:t>当年农村危房改造完成情况</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危房改造补贴标准</w:t>
            </w:r>
          </w:p>
        </w:tc>
        <w:tc>
          <w:tcPr>
            <w:tcW w:w="5386" w:type="dxa"/>
            <w:vAlign w:val="center"/>
          </w:tcPr>
          <w:p>
            <w:pPr>
              <w:pStyle w:val="13"/>
            </w:pPr>
            <w:r>
              <w:t>危房改造户改造资金补贴标准</w:t>
            </w:r>
          </w:p>
        </w:tc>
        <w:tc>
          <w:tcPr>
            <w:tcW w:w="2268" w:type="dxa"/>
            <w:vAlign w:val="center"/>
          </w:tcPr>
          <w:p>
            <w:pPr>
              <w:pStyle w:val="13"/>
            </w:pPr>
            <w:r>
              <w:t>≤10.1万元</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改造资金发放率</w:t>
            </w:r>
          </w:p>
        </w:tc>
        <w:tc>
          <w:tcPr>
            <w:tcW w:w="5386" w:type="dxa"/>
            <w:vAlign w:val="center"/>
          </w:tcPr>
          <w:p>
            <w:pPr>
              <w:pStyle w:val="13"/>
            </w:pPr>
            <w:r>
              <w:t>危房改造资金发放数量占应发放总量的比率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保证住房安全</w:t>
            </w:r>
          </w:p>
        </w:tc>
        <w:tc>
          <w:tcPr>
            <w:tcW w:w="1276"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4、城市体检社会满意度调查和信息平台建设资金绩效目标表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13013024P00000210194T</w:t>
            </w:r>
          </w:p>
        </w:tc>
        <w:tc>
          <w:tcPr>
            <w:tcW w:w="2835" w:type="dxa"/>
            <w:vAlign w:val="center"/>
          </w:tcPr>
          <w:p>
            <w:pPr>
              <w:pStyle w:val="11"/>
            </w:pPr>
            <w:r>
              <w:t>项目名称</w:t>
            </w:r>
          </w:p>
        </w:tc>
        <w:tc>
          <w:tcPr>
            <w:tcW w:w="6094" w:type="dxa"/>
            <w:gridSpan w:val="3"/>
            <w:vAlign w:val="center"/>
          </w:tcPr>
          <w:p>
            <w:pPr>
              <w:pStyle w:val="13"/>
            </w:pPr>
            <w:r>
              <w:t>城市体检社会满意度调查和信息平台建设资金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城市体检社会满意度调查和信息平台建设资金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1.城市体检社会满意度调查和信息平台建设资金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宣传活动数量</w:t>
            </w:r>
          </w:p>
        </w:tc>
        <w:tc>
          <w:tcPr>
            <w:tcW w:w="2268" w:type="dxa"/>
            <w:vAlign w:val="center"/>
          </w:tcPr>
          <w:p>
            <w:pPr>
              <w:pStyle w:val="13"/>
            </w:pPr>
            <w:r>
              <w:t>≥2次</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评审通过率</w:t>
            </w:r>
          </w:p>
        </w:tc>
        <w:tc>
          <w:tcPr>
            <w:tcW w:w="5386" w:type="dxa"/>
            <w:vAlign w:val="center"/>
          </w:tcPr>
          <w:p>
            <w:pPr>
              <w:pStyle w:val="13"/>
            </w:pPr>
            <w:r>
              <w:t>评审通过率</w:t>
            </w:r>
          </w:p>
        </w:tc>
        <w:tc>
          <w:tcPr>
            <w:tcW w:w="2268" w:type="dxa"/>
            <w:vAlign w:val="center"/>
          </w:tcPr>
          <w:p>
            <w:pPr>
              <w:pStyle w:val="13"/>
            </w:pPr>
            <w:r>
              <w:t>≥100%</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全年预算资金完成率</w:t>
            </w:r>
          </w:p>
        </w:tc>
        <w:tc>
          <w:tcPr>
            <w:tcW w:w="5386" w:type="dxa"/>
            <w:vAlign w:val="center"/>
          </w:tcPr>
          <w:p>
            <w:pPr>
              <w:pStyle w:val="13"/>
            </w:pPr>
            <w:r>
              <w:t>全年预算资金完成率</w:t>
            </w:r>
          </w:p>
        </w:tc>
        <w:tc>
          <w:tcPr>
            <w:tcW w:w="2268" w:type="dxa"/>
            <w:vAlign w:val="center"/>
          </w:tcPr>
          <w:p>
            <w:pPr>
              <w:pStyle w:val="13"/>
            </w:pPr>
            <w:r>
              <w:t>60万元</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长远发挥作用</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提升居民生态环境质量</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改善生活环境</w:t>
            </w:r>
          </w:p>
        </w:tc>
        <w:tc>
          <w:tcPr>
            <w:tcW w:w="5386" w:type="dxa"/>
            <w:vAlign w:val="center"/>
          </w:tcPr>
          <w:p>
            <w:pPr>
              <w:pStyle w:val="13"/>
            </w:pPr>
            <w:r>
              <w:t>改善生活环境</w:t>
            </w:r>
          </w:p>
        </w:tc>
        <w:tc>
          <w:tcPr>
            <w:tcW w:w="2268" w:type="dxa"/>
            <w:vAlign w:val="center"/>
          </w:tcPr>
          <w:p>
            <w:pPr>
              <w:pStyle w:val="13"/>
            </w:pPr>
            <w:r>
              <w:t>修缮小区建筑配套设施</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被调查满意人数占总人数比例</w:t>
            </w:r>
          </w:p>
        </w:tc>
        <w:tc>
          <w:tcPr>
            <w:tcW w:w="2268" w:type="dxa"/>
            <w:vAlign w:val="center"/>
          </w:tcPr>
          <w:p>
            <w:pPr>
              <w:pStyle w:val="13"/>
            </w:pPr>
            <w:r>
              <w:t>较满意</w:t>
            </w:r>
          </w:p>
        </w:tc>
        <w:tc>
          <w:tcPr>
            <w:tcW w:w="1276" w:type="dxa"/>
            <w:vAlign w:val="center"/>
          </w:tcPr>
          <w:p>
            <w:pPr>
              <w:pStyle w:val="13"/>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被调查满意人数占总人数比例</w:t>
            </w:r>
          </w:p>
        </w:tc>
        <w:tc>
          <w:tcPr>
            <w:tcW w:w="2268" w:type="dxa"/>
            <w:vAlign w:val="center"/>
          </w:tcPr>
          <w:p>
            <w:pPr>
              <w:pStyle w:val="13"/>
            </w:pPr>
            <w:r>
              <w:t>较满意</w:t>
            </w:r>
          </w:p>
        </w:tc>
        <w:tc>
          <w:tcPr>
            <w:tcW w:w="1276" w:type="dxa"/>
            <w:vAlign w:val="center"/>
          </w:tcPr>
          <w:p>
            <w:pPr>
              <w:pStyle w:val="13"/>
            </w:pPr>
            <w:r>
              <w:t>石县指办（2023）6号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5、质监站经费绩效目标表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13013024P00000210206G</w:t>
            </w:r>
          </w:p>
        </w:tc>
        <w:tc>
          <w:tcPr>
            <w:tcW w:w="2835" w:type="dxa"/>
            <w:vAlign w:val="center"/>
          </w:tcPr>
          <w:p>
            <w:pPr>
              <w:pStyle w:val="11"/>
            </w:pPr>
            <w:r>
              <w:t>项目名称</w:t>
            </w:r>
          </w:p>
        </w:tc>
        <w:tc>
          <w:tcPr>
            <w:tcW w:w="6094" w:type="dxa"/>
            <w:gridSpan w:val="3"/>
            <w:vAlign w:val="center"/>
          </w:tcPr>
          <w:p>
            <w:pPr>
              <w:pStyle w:val="13"/>
            </w:pPr>
            <w:r>
              <w:t>质监站经费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质监站经费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1.保障人员工资正常发放</w:t>
            </w:r>
          </w:p>
          <w:p>
            <w:pPr>
              <w:pStyle w:val="13"/>
            </w:pPr>
            <w:r>
              <w:t>2.保障单位正常运转</w:t>
            </w:r>
          </w:p>
          <w:p>
            <w:pPr>
              <w:pStyle w:val="13"/>
            </w:pPr>
            <w:r>
              <w:t>3.保障职工满意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2024年实际发放工资人数占应发放工资人数</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保障工作正常进展</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保障单位人员稳定</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正常缴纳</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发放工资人员对工资的满意度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职工满意度</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333无极县住房和城乡建设局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无极县住房和城乡建设局（含所属单位）上年末固定资产金额为596.44万元（详见下表）。本年度拟购置固定资产总额为0.00万元，已按要求列入政府采购预算，详见政府采购预算表。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333无极县住房和城乡建设局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5660</w:t>
            </w:r>
          </w:p>
        </w:tc>
        <w:tc>
          <w:tcPr>
            <w:tcW w:w="2835" w:type="dxa"/>
            <w:vAlign w:val="center"/>
          </w:tcPr>
          <w:p>
            <w:pPr>
              <w:pStyle w:val="12"/>
            </w:pPr>
            <w:r>
              <w:t>275.18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1060</w:t>
            </w:r>
          </w:p>
        </w:tc>
        <w:tc>
          <w:tcPr>
            <w:tcW w:w="2835" w:type="dxa"/>
            <w:vAlign w:val="center"/>
          </w:tcPr>
          <w:p>
            <w:pPr>
              <w:pStyle w:val="12"/>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886</w:t>
            </w:r>
          </w:p>
        </w:tc>
        <w:tc>
          <w:tcPr>
            <w:tcW w:w="2835" w:type="dxa"/>
            <w:vAlign w:val="center"/>
          </w:tcPr>
          <w:p>
            <w:pPr>
              <w:pStyle w:val="12"/>
            </w:pPr>
            <w:r>
              <w:t>257.36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999DB7"/>
    <w:multiLevelType w:val="singleLevel"/>
    <w:tmpl w:val="5A999D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C26AAD"/>
    <w:rsid w:val="4FDD5478"/>
    <w:rsid w:val="53044D3F"/>
    <w:rsid w:val="57516E97"/>
    <w:rsid w:val="6ADF340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2024-02-04T10:13:25Z</dcterms:created>
  <dcterms:modified xsi:type="dcterms:W3CDTF">2024-02-04T02:13:25Z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2024-02-04T10:13:26Z</dcterms:created>
  <dcterms:modified xsi:type="dcterms:W3CDTF">2024-02-04T02:13:26Z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2024-02-04T10:13:24Z</dcterms:created>
  <dcterms:modified xsi:type="dcterms:W3CDTF">2024-02-04T02:13:24Z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2024-02-04T10:13:24Z</dcterms:created>
  <dcterms:modified xsi:type="dcterms:W3CDTF">2024-02-04T02:13:24Z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2024-02-04T10:13:24Z</dcterms:created>
  <dcterms:modified xsi:type="dcterms:W3CDTF">2024-02-04T02:13:24Z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2024-02-04T10:13:24Z</dcterms:created>
  <dcterms:modified xsi:type="dcterms:W3CDTF">2024-02-04T02:13:24Z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2024-02-04T10:13:21Z</dcterms:created>
  <dcterms:modified xsi:type="dcterms:W3CDTF">2024-02-04T02:13:21Z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2024-02-04T10:13:24Z</dcterms:created>
  <dcterms:modified xsi:type="dcterms:W3CDTF">2024-02-04T02:13:24Z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2024-02-04T10:13:25Z</dcterms:created>
  <dcterms:modified xsi:type="dcterms:W3CDTF">2024-02-04T02:13:25Z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dde5aae-fc98-4097-8b30-196c3ec36608}">
  <ds:schemaRefs/>
</ds:datastoreItem>
</file>

<file path=customXml/itemProps11.xml><?xml version="1.0" encoding="utf-8"?>
<ds:datastoreItem xmlns:ds="http://schemas.openxmlformats.org/officeDocument/2006/customXml" ds:itemID="{f26f8af0-5d5c-46e3-88a3-efe0967bce8a}">
  <ds:schemaRefs/>
</ds:datastoreItem>
</file>

<file path=customXml/itemProps12.xml><?xml version="1.0" encoding="utf-8"?>
<ds:datastoreItem xmlns:ds="http://schemas.openxmlformats.org/officeDocument/2006/customXml" ds:itemID="{ad807a4e-1dc1-494a-a070-002e0bdda3e4}">
  <ds:schemaRefs/>
</ds:datastoreItem>
</file>

<file path=customXml/itemProps13.xml><?xml version="1.0" encoding="utf-8"?>
<ds:datastoreItem xmlns:ds="http://schemas.openxmlformats.org/officeDocument/2006/customXml" ds:itemID="{d6cb6ac5-42e5-4ba3-be9f-edffabfe818b}">
  <ds:schemaRefs/>
</ds:datastoreItem>
</file>

<file path=customXml/itemProps14.xml><?xml version="1.0" encoding="utf-8"?>
<ds:datastoreItem xmlns:ds="http://schemas.openxmlformats.org/officeDocument/2006/customXml" ds:itemID="{8865480c-d7a8-4d94-9fdc-f91a57506a2e}">
  <ds:schemaRefs/>
</ds:datastoreItem>
</file>

<file path=customXml/itemProps15.xml><?xml version="1.0" encoding="utf-8"?>
<ds:datastoreItem xmlns:ds="http://schemas.openxmlformats.org/officeDocument/2006/customXml" ds:itemID="{263133b5-3a0d-48cd-ba9e-97405a162c4c}">
  <ds:schemaRefs/>
</ds:datastoreItem>
</file>

<file path=customXml/itemProps16.xml><?xml version="1.0" encoding="utf-8"?>
<ds:datastoreItem xmlns:ds="http://schemas.openxmlformats.org/officeDocument/2006/customXml" ds:itemID="{689d06a8-b585-4eba-8203-40214524c3a2}">
  <ds:schemaRefs/>
</ds:datastoreItem>
</file>

<file path=customXml/itemProps17.xml><?xml version="1.0" encoding="utf-8"?>
<ds:datastoreItem xmlns:ds="http://schemas.openxmlformats.org/officeDocument/2006/customXml" ds:itemID="{7e22373a-747d-4d06-8c58-6a5ee99d2b73}">
  <ds:schemaRefs/>
</ds:datastoreItem>
</file>

<file path=customXml/itemProps18.xml><?xml version="1.0" encoding="utf-8"?>
<ds:datastoreItem xmlns:ds="http://schemas.openxmlformats.org/officeDocument/2006/customXml" ds:itemID="{03bfd922-2340-4dbb-af92-6320ef9e4043}">
  <ds:schemaRefs/>
</ds:datastoreItem>
</file>

<file path=customXml/itemProps19.xml><?xml version="1.0" encoding="utf-8"?>
<ds:datastoreItem xmlns:ds="http://schemas.openxmlformats.org/officeDocument/2006/customXml" ds:itemID="{a85c4e35-2108-4a8d-a743-75dc5b497dce}">
  <ds:schemaRefs/>
</ds:datastoreItem>
</file>

<file path=customXml/itemProps2.xml><?xml version="1.0" encoding="utf-8"?>
<ds:datastoreItem xmlns:ds="http://schemas.openxmlformats.org/officeDocument/2006/customXml" ds:itemID="{926882f9-3ac9-40ca-b123-00e1b32df228}">
  <ds:schemaRefs/>
</ds:datastoreItem>
</file>

<file path=customXml/itemProps3.xml><?xml version="1.0" encoding="utf-8"?>
<ds:datastoreItem xmlns:ds="http://schemas.openxmlformats.org/officeDocument/2006/customXml" ds:itemID="{fec791fd-e2d0-4549-9022-9e48078dcb4b}">
  <ds:schemaRefs/>
</ds:datastoreItem>
</file>

<file path=customXml/itemProps4.xml><?xml version="1.0" encoding="utf-8"?>
<ds:datastoreItem xmlns:ds="http://schemas.openxmlformats.org/officeDocument/2006/customXml" ds:itemID="{b97f997c-e748-453e-9181-e1f8c7207204}">
  <ds:schemaRefs/>
</ds:datastoreItem>
</file>

<file path=customXml/itemProps5.xml><?xml version="1.0" encoding="utf-8"?>
<ds:datastoreItem xmlns:ds="http://schemas.openxmlformats.org/officeDocument/2006/customXml" ds:itemID="{47e91e80-1acc-4c9c-8814-96b6a84e142f}">
  <ds:schemaRefs/>
</ds:datastoreItem>
</file>

<file path=customXml/itemProps6.xml><?xml version="1.0" encoding="utf-8"?>
<ds:datastoreItem xmlns:ds="http://schemas.openxmlformats.org/officeDocument/2006/customXml" ds:itemID="{8f1090f0-bfa7-4c05-a5c9-e062e074839c}">
  <ds:schemaRefs/>
</ds:datastoreItem>
</file>

<file path=customXml/itemProps7.xml><?xml version="1.0" encoding="utf-8"?>
<ds:datastoreItem xmlns:ds="http://schemas.openxmlformats.org/officeDocument/2006/customXml" ds:itemID="{54f5195f-506f-40b1-ac66-54606cbdf4c8}">
  <ds:schemaRefs/>
</ds:datastoreItem>
</file>

<file path=customXml/itemProps8.xml><?xml version="1.0" encoding="utf-8"?>
<ds:datastoreItem xmlns:ds="http://schemas.openxmlformats.org/officeDocument/2006/customXml" ds:itemID="{66133d08-b1e3-40c3-844a-b5096529557e}">
  <ds:schemaRefs/>
</ds:datastoreItem>
</file>

<file path=customXml/itemProps9.xml><?xml version="1.0" encoding="utf-8"?>
<ds:datastoreItem xmlns:ds="http://schemas.openxmlformats.org/officeDocument/2006/customXml" ds:itemID="{703e2cc6-181f-40f1-a05d-2a26fbcf8aaf}">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2024-02-04T10:13:00Z</dcterms:created>
  <dc:creator>Administrator</dc:creator>
  <cp:lastModifiedBy>海纳百川</cp:lastModifiedBy>
  <dcterms:modified xsi:type="dcterms:W3CDTF">2024-07-31T00:33:01Z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DC13050ECE954D89B0F203B44FF98CC7</vt:lpwstr>
  </property>
</Properties>
</file>