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一、无极县档案馆本级收支预算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241001无极县档案馆本级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168.40</w:t>
            </w:r>
          </w:p>
        </w:tc>
        <w:tc>
          <w:tcPr>
            <w:tcW w:w="4535" w:type="dxa"/>
            <w:vAlign w:val="center"/>
          </w:tcPr>
          <w:p>
            <w:pPr>
              <w:pStyle w:val="12"/>
            </w:pPr>
            <w:r>
              <w:t>一、一般公共服务支出</w:t>
            </w:r>
          </w:p>
        </w:tc>
        <w:tc>
          <w:tcPr>
            <w:tcW w:w="2126" w:type="dxa"/>
            <w:vAlign w:val="center"/>
          </w:tcPr>
          <w:p>
            <w:pPr>
              <w:pStyle w:val="11"/>
            </w:pPr>
            <w:r>
              <w:t>136.74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168.40</w:t>
            </w:r>
          </w:p>
        </w:tc>
        <w:tc>
          <w:tcPr>
            <w:tcW w:w="4535" w:type="dxa"/>
            <w:vAlign w:val="center"/>
          </w:tcPr>
          <w:p>
            <w:pPr>
              <w:pStyle w:val="14"/>
            </w:pPr>
            <w:r>
              <w:t>本年支出合计</w:t>
            </w:r>
          </w:p>
        </w:tc>
        <w:tc>
          <w:tcPr>
            <w:tcW w:w="2126" w:type="dxa"/>
            <w:vAlign w:val="center"/>
          </w:tcPr>
          <w:p>
            <w:pPr>
              <w:pStyle w:val="15"/>
            </w:pPr>
            <w:r>
              <w:t>168.40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168.40</w:t>
            </w:r>
          </w:p>
        </w:tc>
        <w:tc>
          <w:tcPr>
            <w:tcW w:w="4535" w:type="dxa"/>
            <w:vAlign w:val="center"/>
          </w:tcPr>
          <w:p>
            <w:pPr>
              <w:pStyle w:val="14"/>
            </w:pPr>
            <w:r>
              <w:t>支出总计</w:t>
            </w:r>
          </w:p>
        </w:tc>
        <w:tc>
          <w:tcPr>
            <w:tcW w:w="2126" w:type="dxa"/>
            <w:vAlign w:val="center"/>
          </w:tcPr>
          <w:p>
            <w:pPr>
              <w:pStyle w:val="15"/>
            </w:pPr>
            <w:r>
              <w:t>168.40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241001无极县档案馆本级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168.40</w:t>
            </w:r>
          </w:p>
        </w:tc>
        <w:tc>
          <w:tcPr>
            <w:tcW w:w="1134" w:type="dxa"/>
            <w:vAlign w:val="center"/>
          </w:tcPr>
          <w:p>
            <w:pPr>
              <w:pStyle w:val="15"/>
            </w:pPr>
            <w:r>
              <w:t>168.40</w:t>
            </w:r>
          </w:p>
        </w:tc>
        <w:tc>
          <w:tcPr>
            <w:tcW w:w="1134" w:type="dxa"/>
            <w:vAlign w:val="center"/>
          </w:tcPr>
          <w:p>
            <w:pPr>
              <w:pStyle w:val="15"/>
            </w:pPr>
            <w:r>
              <w:t>168.40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136.74</w:t>
            </w:r>
          </w:p>
        </w:tc>
        <w:tc>
          <w:tcPr>
            <w:tcW w:w="1134" w:type="dxa"/>
            <w:vAlign w:val="center"/>
          </w:tcPr>
          <w:p>
            <w:pPr>
              <w:pStyle w:val="11"/>
            </w:pPr>
            <w:r>
              <w:t>136.74</w:t>
            </w:r>
          </w:p>
        </w:tc>
        <w:tc>
          <w:tcPr>
            <w:tcW w:w="1134" w:type="dxa"/>
            <w:vAlign w:val="center"/>
          </w:tcPr>
          <w:p>
            <w:pPr>
              <w:pStyle w:val="11"/>
            </w:pPr>
            <w:r>
              <w:t>136.74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136.74</w:t>
            </w:r>
          </w:p>
        </w:tc>
        <w:tc>
          <w:tcPr>
            <w:tcW w:w="1134" w:type="dxa"/>
            <w:vAlign w:val="center"/>
          </w:tcPr>
          <w:p>
            <w:pPr>
              <w:pStyle w:val="11"/>
            </w:pPr>
            <w:r>
              <w:t>136.74</w:t>
            </w:r>
          </w:p>
        </w:tc>
        <w:tc>
          <w:tcPr>
            <w:tcW w:w="1134" w:type="dxa"/>
            <w:vAlign w:val="center"/>
          </w:tcPr>
          <w:p>
            <w:pPr>
              <w:pStyle w:val="11"/>
            </w:pPr>
            <w:r>
              <w:t>136.74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2012601</w:t>
            </w:r>
          </w:p>
        </w:tc>
        <w:tc>
          <w:tcPr>
            <w:tcW w:w="1559" w:type="dxa"/>
            <w:vAlign w:val="center"/>
          </w:tcPr>
          <w:p>
            <w:pPr>
              <w:pStyle w:val="12"/>
            </w:pPr>
            <w:r>
              <w:t>行政运行</w:t>
            </w:r>
          </w:p>
        </w:tc>
        <w:tc>
          <w:tcPr>
            <w:tcW w:w="1134" w:type="dxa"/>
            <w:vAlign w:val="center"/>
          </w:tcPr>
          <w:p>
            <w:pPr>
              <w:pStyle w:val="11"/>
            </w:pPr>
            <w:r>
              <w:t>126.74</w:t>
            </w:r>
          </w:p>
        </w:tc>
        <w:tc>
          <w:tcPr>
            <w:tcW w:w="1134" w:type="dxa"/>
            <w:vAlign w:val="center"/>
          </w:tcPr>
          <w:p>
            <w:pPr>
              <w:pStyle w:val="11"/>
            </w:pPr>
            <w:r>
              <w:t>126.74</w:t>
            </w:r>
          </w:p>
        </w:tc>
        <w:tc>
          <w:tcPr>
            <w:tcW w:w="1134" w:type="dxa"/>
            <w:vAlign w:val="center"/>
          </w:tcPr>
          <w:p>
            <w:pPr>
              <w:pStyle w:val="11"/>
            </w:pPr>
            <w:r>
              <w:t>126.74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2012604</w:t>
            </w:r>
          </w:p>
        </w:tc>
        <w:tc>
          <w:tcPr>
            <w:tcW w:w="1559" w:type="dxa"/>
            <w:vAlign w:val="center"/>
          </w:tcPr>
          <w:p>
            <w:pPr>
              <w:pStyle w:val="12"/>
            </w:pPr>
            <w:r>
              <w:t>档案馆</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23.16</w:t>
            </w:r>
          </w:p>
        </w:tc>
        <w:tc>
          <w:tcPr>
            <w:tcW w:w="1134" w:type="dxa"/>
            <w:vAlign w:val="center"/>
          </w:tcPr>
          <w:p>
            <w:pPr>
              <w:pStyle w:val="11"/>
            </w:pPr>
            <w:r>
              <w:t>23.16</w:t>
            </w:r>
          </w:p>
        </w:tc>
        <w:tc>
          <w:tcPr>
            <w:tcW w:w="1134" w:type="dxa"/>
            <w:vAlign w:val="center"/>
          </w:tcPr>
          <w:p>
            <w:pPr>
              <w:pStyle w:val="11"/>
            </w:pPr>
            <w:r>
              <w:t>23.16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23.16</w:t>
            </w:r>
          </w:p>
        </w:tc>
        <w:tc>
          <w:tcPr>
            <w:tcW w:w="1134" w:type="dxa"/>
            <w:vAlign w:val="center"/>
          </w:tcPr>
          <w:p>
            <w:pPr>
              <w:pStyle w:val="11"/>
            </w:pPr>
            <w:r>
              <w:t>23.16</w:t>
            </w:r>
          </w:p>
        </w:tc>
        <w:tc>
          <w:tcPr>
            <w:tcW w:w="1134" w:type="dxa"/>
            <w:vAlign w:val="center"/>
          </w:tcPr>
          <w:p>
            <w:pPr>
              <w:pStyle w:val="11"/>
            </w:pPr>
            <w:r>
              <w:t>23.16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19.28</w:t>
            </w:r>
          </w:p>
        </w:tc>
        <w:tc>
          <w:tcPr>
            <w:tcW w:w="1134" w:type="dxa"/>
            <w:vAlign w:val="center"/>
          </w:tcPr>
          <w:p>
            <w:pPr>
              <w:pStyle w:val="11"/>
            </w:pPr>
            <w:r>
              <w:t>19.28</w:t>
            </w:r>
          </w:p>
        </w:tc>
        <w:tc>
          <w:tcPr>
            <w:tcW w:w="1134" w:type="dxa"/>
            <w:vAlign w:val="center"/>
          </w:tcPr>
          <w:p>
            <w:pPr>
              <w:pStyle w:val="11"/>
            </w:pPr>
            <w:r>
              <w:t>19.28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3.88</w:t>
            </w:r>
          </w:p>
        </w:tc>
        <w:tc>
          <w:tcPr>
            <w:tcW w:w="1134" w:type="dxa"/>
            <w:vAlign w:val="center"/>
          </w:tcPr>
          <w:p>
            <w:pPr>
              <w:pStyle w:val="11"/>
            </w:pPr>
            <w:r>
              <w:t>3.88</w:t>
            </w:r>
          </w:p>
        </w:tc>
        <w:tc>
          <w:tcPr>
            <w:tcW w:w="1134" w:type="dxa"/>
            <w:vAlign w:val="center"/>
          </w:tcPr>
          <w:p>
            <w:pPr>
              <w:pStyle w:val="11"/>
            </w:pPr>
            <w:r>
              <w:t>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168.40</w:t>
            </w:r>
          </w:p>
        </w:tc>
        <w:tc>
          <w:tcPr>
            <w:tcW w:w="1361" w:type="dxa"/>
            <w:vAlign w:val="center"/>
          </w:tcPr>
          <w:p>
            <w:pPr>
              <w:pStyle w:val="15"/>
            </w:pPr>
            <w:r>
              <w:t>158.40</w:t>
            </w:r>
          </w:p>
        </w:tc>
        <w:tc>
          <w:tcPr>
            <w:tcW w:w="1361" w:type="dxa"/>
            <w:vAlign w:val="center"/>
          </w:tcPr>
          <w:p>
            <w:pPr>
              <w:pStyle w:val="15"/>
            </w:pPr>
            <w: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136.74</w:t>
            </w:r>
          </w:p>
        </w:tc>
        <w:tc>
          <w:tcPr>
            <w:tcW w:w="1361" w:type="dxa"/>
            <w:vAlign w:val="center"/>
          </w:tcPr>
          <w:p>
            <w:pPr>
              <w:pStyle w:val="11"/>
            </w:pPr>
            <w:r>
              <w:t>126.74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136.74</w:t>
            </w:r>
          </w:p>
        </w:tc>
        <w:tc>
          <w:tcPr>
            <w:tcW w:w="1361" w:type="dxa"/>
            <w:vAlign w:val="center"/>
          </w:tcPr>
          <w:p>
            <w:pPr>
              <w:pStyle w:val="11"/>
            </w:pPr>
            <w:r>
              <w:t>126.74</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2012601</w:t>
            </w:r>
          </w:p>
        </w:tc>
        <w:tc>
          <w:tcPr>
            <w:tcW w:w="4535" w:type="dxa"/>
            <w:vAlign w:val="center"/>
          </w:tcPr>
          <w:p>
            <w:pPr>
              <w:pStyle w:val="12"/>
            </w:pPr>
            <w:r>
              <w:t>行政运行</w:t>
            </w:r>
          </w:p>
        </w:tc>
        <w:tc>
          <w:tcPr>
            <w:tcW w:w="1361" w:type="dxa"/>
            <w:vAlign w:val="center"/>
          </w:tcPr>
          <w:p>
            <w:pPr>
              <w:pStyle w:val="11"/>
            </w:pPr>
            <w:r>
              <w:t>126.74</w:t>
            </w:r>
          </w:p>
        </w:tc>
        <w:tc>
          <w:tcPr>
            <w:tcW w:w="1361" w:type="dxa"/>
            <w:vAlign w:val="center"/>
          </w:tcPr>
          <w:p>
            <w:pPr>
              <w:pStyle w:val="11"/>
            </w:pPr>
            <w:r>
              <w:t>126.74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2012604</w:t>
            </w:r>
          </w:p>
        </w:tc>
        <w:tc>
          <w:tcPr>
            <w:tcW w:w="4535" w:type="dxa"/>
            <w:vAlign w:val="center"/>
          </w:tcPr>
          <w:p>
            <w:pPr>
              <w:pStyle w:val="12"/>
            </w:pPr>
            <w:r>
              <w:t>档案馆</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23.16</w:t>
            </w:r>
          </w:p>
        </w:tc>
        <w:tc>
          <w:tcPr>
            <w:tcW w:w="1361" w:type="dxa"/>
            <w:vAlign w:val="center"/>
          </w:tcPr>
          <w:p>
            <w:pPr>
              <w:pStyle w:val="11"/>
            </w:pPr>
            <w:r>
              <w:t>23.16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23.16</w:t>
            </w:r>
          </w:p>
        </w:tc>
        <w:tc>
          <w:tcPr>
            <w:tcW w:w="1361" w:type="dxa"/>
            <w:vAlign w:val="center"/>
          </w:tcPr>
          <w:p>
            <w:pPr>
              <w:pStyle w:val="11"/>
            </w:pPr>
            <w:r>
              <w:t>23.16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19.28</w:t>
            </w:r>
          </w:p>
        </w:tc>
        <w:tc>
          <w:tcPr>
            <w:tcW w:w="1361" w:type="dxa"/>
            <w:vAlign w:val="center"/>
          </w:tcPr>
          <w:p>
            <w:pPr>
              <w:pStyle w:val="11"/>
            </w:pPr>
            <w:r>
              <w:t>19.28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3.88</w:t>
            </w:r>
          </w:p>
        </w:tc>
        <w:tc>
          <w:tcPr>
            <w:tcW w:w="1361" w:type="dxa"/>
            <w:vAlign w:val="center"/>
          </w:tcPr>
          <w:p>
            <w:pPr>
              <w:pStyle w:val="11"/>
            </w:pPr>
            <w:r>
              <w:t>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8.50</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168.40</w:t>
            </w:r>
          </w:p>
        </w:tc>
        <w:tc>
          <w:tcPr>
            <w:tcW w:w="3402" w:type="dxa"/>
            <w:vAlign w:val="center"/>
          </w:tcPr>
          <w:p>
            <w:pPr>
              <w:pStyle w:val="12"/>
            </w:pPr>
            <w:r>
              <w:t>一、一般公共服务支出</w:t>
            </w:r>
          </w:p>
        </w:tc>
        <w:tc>
          <w:tcPr>
            <w:tcW w:w="1474" w:type="dxa"/>
            <w:vAlign w:val="center"/>
          </w:tcPr>
          <w:p>
            <w:pPr>
              <w:pStyle w:val="11"/>
            </w:pPr>
            <w:r>
              <w:t>136.74</w:t>
            </w:r>
          </w:p>
        </w:tc>
        <w:tc>
          <w:tcPr>
            <w:tcW w:w="1474" w:type="dxa"/>
            <w:vAlign w:val="center"/>
          </w:tcPr>
          <w:p>
            <w:pPr>
              <w:pStyle w:val="11"/>
            </w:pPr>
            <w:r>
              <w:t>136.74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23.16</w:t>
            </w:r>
          </w:p>
        </w:tc>
        <w:tc>
          <w:tcPr>
            <w:tcW w:w="1474" w:type="dxa"/>
            <w:vAlign w:val="center"/>
          </w:tcPr>
          <w:p>
            <w:pPr>
              <w:pStyle w:val="11"/>
            </w:pPr>
            <w:r>
              <w:t>23.16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8.50</w:t>
            </w:r>
          </w:p>
        </w:tc>
        <w:tc>
          <w:tcPr>
            <w:tcW w:w="1474" w:type="dxa"/>
            <w:vAlign w:val="center"/>
          </w:tcPr>
          <w:p>
            <w:pPr>
              <w:pStyle w:val="11"/>
            </w:pPr>
            <w:r>
              <w:t>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168.40</w:t>
            </w:r>
          </w:p>
        </w:tc>
        <w:tc>
          <w:tcPr>
            <w:tcW w:w="3402" w:type="dxa"/>
            <w:vAlign w:val="center"/>
          </w:tcPr>
          <w:p>
            <w:pPr>
              <w:pStyle w:val="14"/>
            </w:pPr>
            <w:r>
              <w:t>本年支出合计</w:t>
            </w:r>
          </w:p>
        </w:tc>
        <w:tc>
          <w:tcPr>
            <w:tcW w:w="1474" w:type="dxa"/>
            <w:vAlign w:val="center"/>
          </w:tcPr>
          <w:p>
            <w:pPr>
              <w:pStyle w:val="15"/>
            </w:pPr>
            <w:r>
              <w:t>168.40</w:t>
            </w:r>
          </w:p>
        </w:tc>
        <w:tc>
          <w:tcPr>
            <w:tcW w:w="1474" w:type="dxa"/>
            <w:vAlign w:val="center"/>
          </w:tcPr>
          <w:p>
            <w:pPr>
              <w:pStyle w:val="15"/>
            </w:pPr>
            <w:r>
              <w:t>168.40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168.40</w:t>
            </w:r>
          </w:p>
        </w:tc>
        <w:tc>
          <w:tcPr>
            <w:tcW w:w="3402" w:type="dxa"/>
            <w:vAlign w:val="center"/>
          </w:tcPr>
          <w:p>
            <w:pPr>
              <w:pStyle w:val="14"/>
            </w:pPr>
            <w:r>
              <w:t>支出总计</w:t>
            </w:r>
          </w:p>
        </w:tc>
        <w:tc>
          <w:tcPr>
            <w:tcW w:w="1474" w:type="dxa"/>
            <w:vAlign w:val="center"/>
          </w:tcPr>
          <w:p>
            <w:pPr>
              <w:pStyle w:val="15"/>
            </w:pPr>
            <w:r>
              <w:t>168.40</w:t>
            </w:r>
          </w:p>
        </w:tc>
        <w:tc>
          <w:tcPr>
            <w:tcW w:w="1474" w:type="dxa"/>
            <w:vAlign w:val="center"/>
          </w:tcPr>
          <w:p>
            <w:pPr>
              <w:pStyle w:val="15"/>
            </w:pPr>
            <w:r>
              <w:t>168.40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168.40</w:t>
            </w:r>
          </w:p>
        </w:tc>
        <w:tc>
          <w:tcPr>
            <w:tcW w:w="2551" w:type="dxa"/>
            <w:vAlign w:val="center"/>
          </w:tcPr>
          <w:p>
            <w:pPr>
              <w:pStyle w:val="15"/>
            </w:pPr>
            <w:r>
              <w:t>158.40</w:t>
            </w: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136.74</w:t>
            </w:r>
          </w:p>
        </w:tc>
        <w:tc>
          <w:tcPr>
            <w:tcW w:w="2551" w:type="dxa"/>
            <w:vAlign w:val="center"/>
          </w:tcPr>
          <w:p>
            <w:pPr>
              <w:pStyle w:val="11"/>
            </w:pPr>
            <w:r>
              <w:t>126.74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136.74</w:t>
            </w:r>
          </w:p>
        </w:tc>
        <w:tc>
          <w:tcPr>
            <w:tcW w:w="2551" w:type="dxa"/>
            <w:vAlign w:val="center"/>
          </w:tcPr>
          <w:p>
            <w:pPr>
              <w:pStyle w:val="11"/>
            </w:pPr>
            <w:r>
              <w:t>126.74</w:t>
            </w: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2012601</w:t>
            </w:r>
          </w:p>
        </w:tc>
        <w:tc>
          <w:tcPr>
            <w:tcW w:w="4535" w:type="dxa"/>
            <w:vAlign w:val="center"/>
          </w:tcPr>
          <w:p>
            <w:pPr>
              <w:pStyle w:val="12"/>
            </w:pPr>
            <w:r>
              <w:t>行政运行</w:t>
            </w:r>
          </w:p>
        </w:tc>
        <w:tc>
          <w:tcPr>
            <w:tcW w:w="2551" w:type="dxa"/>
            <w:vAlign w:val="center"/>
          </w:tcPr>
          <w:p>
            <w:pPr>
              <w:pStyle w:val="11"/>
            </w:pPr>
            <w:r>
              <w:t>126.74</w:t>
            </w:r>
          </w:p>
        </w:tc>
        <w:tc>
          <w:tcPr>
            <w:tcW w:w="2551" w:type="dxa"/>
            <w:vAlign w:val="center"/>
          </w:tcPr>
          <w:p>
            <w:pPr>
              <w:pStyle w:val="11"/>
            </w:pPr>
            <w:r>
              <w:t>126.74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2012604</w:t>
            </w:r>
          </w:p>
        </w:tc>
        <w:tc>
          <w:tcPr>
            <w:tcW w:w="4535" w:type="dxa"/>
            <w:vAlign w:val="center"/>
          </w:tcPr>
          <w:p>
            <w:pPr>
              <w:pStyle w:val="12"/>
            </w:pPr>
            <w:r>
              <w:t>档案馆</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23.16</w:t>
            </w:r>
          </w:p>
        </w:tc>
        <w:tc>
          <w:tcPr>
            <w:tcW w:w="2551" w:type="dxa"/>
            <w:vAlign w:val="center"/>
          </w:tcPr>
          <w:p>
            <w:pPr>
              <w:pStyle w:val="11"/>
            </w:pPr>
            <w:r>
              <w:t>23.16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23.16</w:t>
            </w:r>
          </w:p>
        </w:tc>
        <w:tc>
          <w:tcPr>
            <w:tcW w:w="2551" w:type="dxa"/>
            <w:vAlign w:val="center"/>
          </w:tcPr>
          <w:p>
            <w:pPr>
              <w:pStyle w:val="11"/>
            </w:pPr>
            <w:r>
              <w:t>23.16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19.28</w:t>
            </w:r>
          </w:p>
        </w:tc>
        <w:tc>
          <w:tcPr>
            <w:tcW w:w="2551" w:type="dxa"/>
            <w:vAlign w:val="center"/>
          </w:tcPr>
          <w:p>
            <w:pPr>
              <w:pStyle w:val="11"/>
            </w:pPr>
            <w:r>
              <w:t>19.28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3.88</w:t>
            </w:r>
          </w:p>
        </w:tc>
        <w:tc>
          <w:tcPr>
            <w:tcW w:w="2551" w:type="dxa"/>
            <w:vAlign w:val="center"/>
          </w:tcPr>
          <w:p>
            <w:pPr>
              <w:pStyle w:val="11"/>
            </w:pPr>
            <w:r>
              <w:t>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158.40</w:t>
            </w:r>
          </w:p>
        </w:tc>
        <w:tc>
          <w:tcPr>
            <w:tcW w:w="2551" w:type="dxa"/>
            <w:vAlign w:val="center"/>
          </w:tcPr>
          <w:p>
            <w:pPr>
              <w:pStyle w:val="15"/>
            </w:pPr>
            <w:r>
              <w:t>147.04</w:t>
            </w:r>
          </w:p>
        </w:tc>
        <w:tc>
          <w:tcPr>
            <w:tcW w:w="2551" w:type="dxa"/>
            <w:vAlign w:val="center"/>
          </w:tcPr>
          <w:p>
            <w:pPr>
              <w:pStyle w:val="15"/>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120.10</w:t>
            </w:r>
          </w:p>
        </w:tc>
        <w:tc>
          <w:tcPr>
            <w:tcW w:w="2551" w:type="dxa"/>
            <w:vAlign w:val="center"/>
          </w:tcPr>
          <w:p>
            <w:pPr>
              <w:pStyle w:val="11"/>
            </w:pPr>
            <w:r>
              <w:t>120.10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16.28</w:t>
            </w:r>
          </w:p>
        </w:tc>
        <w:tc>
          <w:tcPr>
            <w:tcW w:w="2551" w:type="dxa"/>
            <w:vAlign w:val="center"/>
          </w:tcPr>
          <w:p>
            <w:pPr>
              <w:pStyle w:val="11"/>
            </w:pPr>
            <w:r>
              <w:t>16.28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14.10</w:t>
            </w:r>
          </w:p>
        </w:tc>
        <w:tc>
          <w:tcPr>
            <w:tcW w:w="2551" w:type="dxa"/>
            <w:vAlign w:val="center"/>
          </w:tcPr>
          <w:p>
            <w:pPr>
              <w:pStyle w:val="11"/>
            </w:pPr>
            <w:r>
              <w:t>14.10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14.70</w:t>
            </w:r>
          </w:p>
        </w:tc>
        <w:tc>
          <w:tcPr>
            <w:tcW w:w="2551" w:type="dxa"/>
            <w:vAlign w:val="center"/>
          </w:tcPr>
          <w:p>
            <w:pPr>
              <w:pStyle w:val="11"/>
            </w:pPr>
            <w:r>
              <w:t>14.70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19.28</w:t>
            </w:r>
          </w:p>
        </w:tc>
        <w:tc>
          <w:tcPr>
            <w:tcW w:w="2551" w:type="dxa"/>
            <w:vAlign w:val="center"/>
          </w:tcPr>
          <w:p>
            <w:pPr>
              <w:pStyle w:val="11"/>
            </w:pPr>
            <w:r>
              <w:t>19.28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3.88</w:t>
            </w:r>
          </w:p>
        </w:tc>
        <w:tc>
          <w:tcPr>
            <w:tcW w:w="2551" w:type="dxa"/>
            <w:vAlign w:val="center"/>
          </w:tcPr>
          <w:p>
            <w:pPr>
              <w:pStyle w:val="11"/>
            </w:pPr>
            <w:r>
              <w:t>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0.36</w:t>
            </w:r>
          </w:p>
        </w:tc>
        <w:tc>
          <w:tcPr>
            <w:tcW w:w="2551" w:type="dxa"/>
            <w:vAlign w:val="center"/>
          </w:tcPr>
          <w:p>
            <w:pPr>
              <w:pStyle w:val="11"/>
            </w:pPr>
            <w:r>
              <w:t>0.36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11.36</w:t>
            </w:r>
          </w:p>
        </w:tc>
        <w:tc>
          <w:tcPr>
            <w:tcW w:w="2551" w:type="dxa"/>
            <w:vAlign w:val="center"/>
          </w:tcPr>
          <w:p>
            <w:pPr>
              <w:pStyle w:val="11"/>
            </w:pPr>
          </w:p>
        </w:tc>
        <w:tc>
          <w:tcPr>
            <w:tcW w:w="2551" w:type="dxa"/>
            <w:vAlign w:val="center"/>
          </w:tcPr>
          <w:p>
            <w:pPr>
              <w:pStyle w:val="11"/>
            </w:pPr>
            <w:r>
              <w:t>11.36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2.45</w:t>
            </w:r>
          </w:p>
        </w:tc>
        <w:tc>
          <w:tcPr>
            <w:tcW w:w="2551" w:type="dxa"/>
            <w:vAlign w:val="center"/>
          </w:tcPr>
          <w:p>
            <w:pPr>
              <w:pStyle w:val="11"/>
            </w:pPr>
          </w:p>
        </w:tc>
        <w:tc>
          <w:tcPr>
            <w:tcW w:w="2551" w:type="dxa"/>
            <w:vAlign w:val="center"/>
          </w:tcPr>
          <w:p>
            <w:pPr>
              <w:pStyle w:val="11"/>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3.91</w:t>
            </w:r>
          </w:p>
        </w:tc>
        <w:tc>
          <w:tcPr>
            <w:tcW w:w="2551" w:type="dxa"/>
            <w:vAlign w:val="center"/>
          </w:tcPr>
          <w:p>
            <w:pPr>
              <w:pStyle w:val="11"/>
            </w:pPr>
          </w:p>
        </w:tc>
        <w:tc>
          <w:tcPr>
            <w:tcW w:w="2551" w:type="dxa"/>
            <w:vAlign w:val="center"/>
          </w:tcPr>
          <w:p>
            <w:pPr>
              <w:pStyle w:val="11"/>
            </w:pPr>
            <w:r>
              <w:t>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26.93</w:t>
            </w:r>
          </w:p>
        </w:tc>
        <w:tc>
          <w:tcPr>
            <w:tcW w:w="2551" w:type="dxa"/>
            <w:vAlign w:val="center"/>
          </w:tcPr>
          <w:p>
            <w:pPr>
              <w:pStyle w:val="11"/>
            </w:pPr>
            <w:r>
              <w:t>26.93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26.93</w:t>
            </w:r>
          </w:p>
        </w:tc>
        <w:tc>
          <w:tcPr>
            <w:tcW w:w="2551" w:type="dxa"/>
            <w:vAlign w:val="center"/>
          </w:tcPr>
          <w:p>
            <w:pPr>
              <w:pStyle w:val="11"/>
            </w:pPr>
            <w:r>
              <w:t>26.93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无极县档案馆本级2024年单位预算信息公开情况说明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按照《中华人民共和国预算法》、《地方预决算公开操作规程》和《关于进一步推进预算公开工作的实施意见》规定，现将无极县档案馆本级2024年单位预算公开如下：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7"/>
      </w:pPr>
      <w:r>
        <w:t>二、负责集中统一管理县机关的重要档案资料，保守党和国家的机密，维护档案的完整，确保档案资料的安全。</w:t>
      </w:r>
    </w:p>
    <w:p>
      <w:pPr>
        <w:pStyle w:val="17"/>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7"/>
      </w:pPr>
      <w:r>
        <w:t>四、制订全县档案工作人员队伍建设规划，组织全县档案专业教育和档案专业培训工作。</w:t>
      </w:r>
    </w:p>
    <w:p>
      <w:pPr>
        <w:pStyle w:val="17"/>
      </w:pPr>
      <w:r>
        <w:t>五、负责规划和推动全县档案宣传工作，组织全县档案工作的经验交流。</w:t>
      </w:r>
    </w:p>
    <w:p>
      <w:pPr>
        <w:pStyle w:val="17"/>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无极县档案馆本级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168.40万元，其中：一般公共预算收入168.40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档案馆本级年度单位预算中支出预算的总体情况。2024年支出预算168.40万元，其中基本支出158.40万元，包括人员经费147.04万元和日常公用经费11.36万元；项目支出10.00万元，主要为今年增加项目支出。</w:t>
      </w:r>
    </w:p>
    <w:p>
      <w:pPr>
        <w:pStyle w:val="18"/>
      </w:pPr>
      <w:r>
        <w:t>3、比上年增减情况</w:t>
      </w:r>
    </w:p>
    <w:p>
      <w:pPr>
        <w:pStyle w:val="18"/>
      </w:pPr>
      <w:r>
        <w:t>2024年预算收支安排168.40万元，较2023年预算减少27.36万元，其中：基本支出减少37.36万元，主要为有人员退休和调出。项目支出增加10.00万元，主要为今年有项目支出增加日常维护费。</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2024年，我单位机关运行经费共计安排11.36万元，主要用于日常维修、办公用房水电费、办公用房取暖费、办公用房物业管理费等日常运行支出。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余2023年持平，无变化，是因为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1、日常维护费绩效目标表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13013024P00010410096U</w:t>
            </w:r>
          </w:p>
        </w:tc>
        <w:tc>
          <w:tcPr>
            <w:tcW w:w="2835" w:type="dxa"/>
            <w:vAlign w:val="center"/>
          </w:tcPr>
          <w:p>
            <w:pPr>
              <w:pStyle w:val="10"/>
            </w:pPr>
            <w:r>
              <w:t>项目名称</w:t>
            </w:r>
          </w:p>
        </w:tc>
        <w:tc>
          <w:tcPr>
            <w:tcW w:w="6094" w:type="dxa"/>
            <w:gridSpan w:val="3"/>
            <w:vAlign w:val="center"/>
          </w:tcPr>
          <w:p>
            <w:pPr>
              <w:pStyle w:val="12"/>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2024年档案日常维护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1.保证工作正常开展</w:t>
            </w:r>
          </w:p>
          <w:p>
            <w:pPr>
              <w:pStyle w:val="12"/>
            </w:pPr>
            <w:r>
              <w:t>2.保证服务对象满意</w:t>
            </w:r>
          </w:p>
          <w:p>
            <w:pPr>
              <w:pStyle w:val="12"/>
            </w:pPr>
            <w:r>
              <w:t>3.保证资金正常支出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正常运转率</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工作时效</w:t>
            </w:r>
          </w:p>
        </w:tc>
        <w:tc>
          <w:tcPr>
            <w:tcW w:w="5386" w:type="dxa"/>
            <w:vAlign w:val="center"/>
          </w:tcPr>
          <w:p>
            <w:pPr>
              <w:pStyle w:val="12"/>
            </w:pPr>
            <w:r>
              <w:t>工作时效</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其他征集费用</w:t>
            </w:r>
          </w:p>
        </w:tc>
        <w:tc>
          <w:tcPr>
            <w:tcW w:w="5386" w:type="dxa"/>
            <w:vAlign w:val="center"/>
          </w:tcPr>
          <w:p>
            <w:pPr>
              <w:pStyle w:val="12"/>
            </w:pPr>
            <w:r>
              <w:t>其他征集费用</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运行成本</w:t>
            </w:r>
          </w:p>
        </w:tc>
        <w:tc>
          <w:tcPr>
            <w:tcW w:w="5386" w:type="dxa"/>
            <w:vAlign w:val="center"/>
          </w:tcPr>
          <w:p>
            <w:pPr>
              <w:pStyle w:val="12"/>
            </w:pPr>
            <w:r>
              <w:t>运行成本</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保障车管业务工作顺利进行，维护社会稳定</w:t>
            </w:r>
          </w:p>
        </w:tc>
        <w:tc>
          <w:tcPr>
            <w:tcW w:w="2268" w:type="dxa"/>
            <w:vAlign w:val="center"/>
          </w:tcPr>
          <w:p>
            <w:pPr>
              <w:pStyle w:val="12"/>
            </w:pPr>
            <w:r>
              <w:t>保证工作正常开展</w:t>
            </w:r>
          </w:p>
        </w:tc>
        <w:tc>
          <w:tcPr>
            <w:tcW w:w="1276"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保证工作正常开展</w:t>
            </w:r>
          </w:p>
        </w:tc>
        <w:tc>
          <w:tcPr>
            <w:tcW w:w="1276" w:type="dxa"/>
            <w:vAlign w:val="center"/>
          </w:tcPr>
          <w:p>
            <w:pPr>
              <w:pStyle w:val="12"/>
            </w:pPr>
            <w:r>
              <w:t>保证服务对象满意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保证工作正常开展</w:t>
            </w:r>
          </w:p>
        </w:tc>
        <w:tc>
          <w:tcPr>
            <w:tcW w:w="1276" w:type="dxa"/>
            <w:vAlign w:val="center"/>
          </w:tcPr>
          <w:p>
            <w:pPr>
              <w:pStyle w:val="12"/>
            </w:pPr>
            <w:r>
              <w:t>保证服务对象满意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保证工作正常开展</w:t>
            </w:r>
          </w:p>
        </w:tc>
        <w:tc>
          <w:tcPr>
            <w:tcW w:w="1276" w:type="dxa"/>
            <w:vAlign w:val="center"/>
          </w:tcPr>
          <w:p>
            <w:pPr>
              <w:pStyle w:val="12"/>
            </w:pPr>
            <w:r>
              <w:t>保证服务对象满意</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241001无极县档案馆本级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无极县档案馆本级上年末固定资产金额为105.51万元（详见下表）。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bookmarkStart w:id="1" w:name="_GoBack"/>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241001无极县档案馆本级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51</w:t>
            </w:r>
          </w:p>
        </w:tc>
        <w:tc>
          <w:tcPr>
            <w:tcW w:w="2835" w:type="dxa"/>
            <w:vAlign w:val="center"/>
          </w:tcPr>
          <w:p>
            <w:pPr>
              <w:pStyle w:val="11"/>
            </w:pPr>
            <w:r>
              <w:t>105.51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7108E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2024-02-05T09:45:18Z</dcterms:created>
  <dcterms:modified xsi:type="dcterms:W3CDTF">2024-02-05T01:45:18Z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2024-02-05T09:45:17Z</dcterms:created>
  <dcterms:modified xsi:type="dcterms:W3CDTF">2024-02-05T01:45:17Z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2024-02-05T09:45:16Z</dcterms:created>
  <dcterms:modified xsi:type="dcterms:W3CDTF">2024-02-05T01:45:16Z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2024-02-05T09:45:13Z</dcterms:created>
  <dcterms:modified xsi:type="dcterms:W3CDTF">2024-02-05T01:45:13Z</dcterms:modified>
</cp:coreProperties>
</file>

<file path=customXml/itemProps1.xml><?xml version="1.0" encoding="utf-8"?>
<ds:datastoreItem xmlns:ds="http://schemas.openxmlformats.org/officeDocument/2006/customXml" ds:itemID="{099f0d02-59bd-4d42-acf5-ea2b2264bba6}">
  <ds:schemaRefs/>
</ds:datastoreItem>
</file>

<file path=customXml/itemProps2.xml><?xml version="1.0" encoding="utf-8"?>
<ds:datastoreItem xmlns:ds="http://schemas.openxmlformats.org/officeDocument/2006/customXml" ds:itemID="{79b759c5-20f1-4afa-b212-103aaa071a06}">
  <ds:schemaRefs/>
</ds:datastoreItem>
</file>

<file path=customXml/itemProps3.xml><?xml version="1.0" encoding="utf-8"?>
<ds:datastoreItem xmlns:ds="http://schemas.openxmlformats.org/officeDocument/2006/customXml" ds:itemID="{af1b38d5-690e-410b-a8fc-d9f4c70edea4}">
  <ds:schemaRefs/>
</ds:datastoreItem>
</file>

<file path=customXml/itemProps4.xml><?xml version="1.0" encoding="utf-8"?>
<ds:datastoreItem xmlns:ds="http://schemas.openxmlformats.org/officeDocument/2006/customXml" ds:itemID="{c6740ee6-7dc1-4530-a763-683dec32d03d}">
  <ds:schemaRefs/>
</ds:datastoreItem>
</file>

<file path=customXml/itemProps5.xml><?xml version="1.0" encoding="utf-8"?>
<ds:datastoreItem xmlns:ds="http://schemas.openxmlformats.org/officeDocument/2006/customXml" ds:itemID="{4599c814-e4c4-4822-b297-35490c0d3598}">
  <ds:schemaRefs/>
</ds:datastoreItem>
</file>

<file path=customXml/itemProps6.xml><?xml version="1.0" encoding="utf-8"?>
<ds:datastoreItem xmlns:ds="http://schemas.openxmlformats.org/officeDocument/2006/customXml" ds:itemID="{241e373d-6ce8-49aa-8179-f55565ee4ec4}">
  <ds:schemaRefs/>
</ds:datastoreItem>
</file>

<file path=customXml/itemProps7.xml><?xml version="1.0" encoding="utf-8"?>
<ds:datastoreItem xmlns:ds="http://schemas.openxmlformats.org/officeDocument/2006/customXml" ds:itemID="{8ac9dc1c-ad25-4e40-9513-68baeb1852a4}">
  <ds:schemaRefs/>
</ds:datastoreItem>
</file>

<file path=customXml/itemProps8.xml><?xml version="1.0" encoding="utf-8"?>
<ds:datastoreItem xmlns:ds="http://schemas.openxmlformats.org/officeDocument/2006/customXml" ds:itemID="{8ac5c0f7-787f-4a89-877b-08e1b56b3000}">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2024-02-05T09:45:00Z</dcterms:created>
  <dc:creator>Administrator</dc:creator>
  <cp:lastModifiedBy>Administrator</cp:lastModifiedBy>
  <dcterms:modified xsi:type="dcterms:W3CDTF">2024-02-05T01:55:49Z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1EBFD7F4C0A84E409464E875FBBBD268</vt:lpwstr>
  </property>
</Properties>
</file>