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一、无极县政府投资项目代建中心收支预算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一、无极县政府投资项目代建中心收支预算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114.17</w:t>
            </w:r>
          </w:p>
        </w:tc>
        <w:tc>
          <w:tcPr>
            <w:tcW w:w="4535" w:type="dxa"/>
            <w:vAlign w:val="center"/>
          </w:tcPr>
          <w:p>
            <w:pPr>
              <w:pStyle w:val="12"/>
            </w:pPr>
            <w:r>
              <w:t>一、一般公共服务支出</w:t>
            </w:r>
          </w:p>
        </w:tc>
        <w:tc>
          <w:tcPr>
            <w:tcW w:w="2126" w:type="dxa"/>
            <w:vAlign w:val="center"/>
          </w:tcPr>
          <w:p>
            <w:pPr>
              <w:pStyle w:val="11"/>
            </w:pPr>
            <w:r>
              <w:t>95.58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114.17</w:t>
            </w:r>
          </w:p>
        </w:tc>
        <w:tc>
          <w:tcPr>
            <w:tcW w:w="4535" w:type="dxa"/>
            <w:vAlign w:val="center"/>
          </w:tcPr>
          <w:p>
            <w:pPr>
              <w:pStyle w:val="14"/>
            </w:pPr>
            <w:r>
              <w:t>本年支出合计</w:t>
            </w:r>
          </w:p>
        </w:tc>
        <w:tc>
          <w:tcPr>
            <w:tcW w:w="2126" w:type="dxa"/>
            <w:vAlign w:val="center"/>
          </w:tcPr>
          <w:p>
            <w:pPr>
              <w:pStyle w:val="15"/>
            </w:pPr>
            <w:r>
              <w:t>114.17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114.17</w:t>
            </w:r>
          </w:p>
        </w:tc>
        <w:tc>
          <w:tcPr>
            <w:tcW w:w="4535" w:type="dxa"/>
            <w:vAlign w:val="center"/>
          </w:tcPr>
          <w:p>
            <w:pPr>
              <w:pStyle w:val="14"/>
            </w:pPr>
            <w:r>
              <w:t>支出总计</w:t>
            </w:r>
          </w:p>
        </w:tc>
        <w:tc>
          <w:tcPr>
            <w:tcW w:w="2126" w:type="dxa"/>
            <w:vAlign w:val="center"/>
          </w:tcPr>
          <w:p>
            <w:pPr>
              <w:pStyle w:val="15"/>
            </w:pPr>
            <w:r>
              <w:t>114.17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114.17</w:t>
            </w:r>
          </w:p>
        </w:tc>
        <w:tc>
          <w:tcPr>
            <w:tcW w:w="1134" w:type="dxa"/>
            <w:vAlign w:val="center"/>
          </w:tcPr>
          <w:p>
            <w:pPr>
              <w:pStyle w:val="15"/>
            </w:pPr>
            <w:r>
              <w:t>114.17</w:t>
            </w:r>
          </w:p>
        </w:tc>
        <w:tc>
          <w:tcPr>
            <w:tcW w:w="1134" w:type="dxa"/>
            <w:vAlign w:val="center"/>
          </w:tcPr>
          <w:p>
            <w:pPr>
              <w:pStyle w:val="15"/>
            </w:pPr>
            <w:r>
              <w:t>114.17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r>
              <w:t>95.58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15.93</w:t>
            </w:r>
          </w:p>
        </w:tc>
        <w:tc>
          <w:tcPr>
            <w:tcW w:w="1134" w:type="dxa"/>
            <w:vAlign w:val="center"/>
          </w:tcPr>
          <w:p>
            <w:pPr>
              <w:pStyle w:val="11"/>
            </w:pPr>
            <w:r>
              <w:t>15.93</w:t>
            </w:r>
          </w:p>
        </w:tc>
        <w:tc>
          <w:tcPr>
            <w:tcW w:w="1134" w:type="dxa"/>
            <w:vAlign w:val="center"/>
          </w:tcPr>
          <w:p>
            <w:pPr>
              <w:pStyle w:val="11"/>
            </w:pPr>
            <w:r>
              <w:t>15.93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2.65</w:t>
            </w:r>
          </w:p>
        </w:tc>
        <w:tc>
          <w:tcPr>
            <w:tcW w:w="1134" w:type="dxa"/>
            <w:vAlign w:val="center"/>
          </w:tcPr>
          <w:p>
            <w:pPr>
              <w:pStyle w:val="11"/>
            </w:pPr>
            <w:r>
              <w:t>2.65</w:t>
            </w:r>
          </w:p>
        </w:tc>
        <w:tc>
          <w:tcPr>
            <w:tcW w:w="1134" w:type="dxa"/>
            <w:vAlign w:val="center"/>
          </w:tcPr>
          <w:p>
            <w:pPr>
              <w:pStyle w:val="11"/>
            </w:pPr>
            <w:r>
              <w:t>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114.17</w:t>
            </w:r>
          </w:p>
        </w:tc>
        <w:tc>
          <w:tcPr>
            <w:tcW w:w="1361" w:type="dxa"/>
            <w:vAlign w:val="center"/>
          </w:tcPr>
          <w:p>
            <w:pPr>
              <w:pStyle w:val="15"/>
            </w:pPr>
            <w:r>
              <w:t>114.17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95.58</w:t>
            </w:r>
          </w:p>
        </w:tc>
        <w:tc>
          <w:tcPr>
            <w:tcW w:w="1361" w:type="dxa"/>
            <w:vAlign w:val="center"/>
          </w:tcPr>
          <w:p>
            <w:pPr>
              <w:pStyle w:val="11"/>
            </w:pPr>
            <w:r>
              <w:t>95.58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95.58</w:t>
            </w:r>
          </w:p>
        </w:tc>
        <w:tc>
          <w:tcPr>
            <w:tcW w:w="1361" w:type="dxa"/>
            <w:vAlign w:val="center"/>
          </w:tcPr>
          <w:p>
            <w:pPr>
              <w:pStyle w:val="11"/>
            </w:pPr>
            <w:r>
              <w:t>95.58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95.58</w:t>
            </w:r>
          </w:p>
        </w:tc>
        <w:tc>
          <w:tcPr>
            <w:tcW w:w="1361" w:type="dxa"/>
            <w:vAlign w:val="center"/>
          </w:tcPr>
          <w:p>
            <w:pPr>
              <w:pStyle w:val="11"/>
            </w:pPr>
            <w:r>
              <w:t>95.58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18.58</w:t>
            </w:r>
          </w:p>
        </w:tc>
        <w:tc>
          <w:tcPr>
            <w:tcW w:w="1361" w:type="dxa"/>
            <w:vAlign w:val="center"/>
          </w:tcPr>
          <w:p>
            <w:pPr>
              <w:pStyle w:val="11"/>
            </w:pPr>
            <w:r>
              <w:t>18.58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18.58</w:t>
            </w:r>
          </w:p>
        </w:tc>
        <w:tc>
          <w:tcPr>
            <w:tcW w:w="1361" w:type="dxa"/>
            <w:vAlign w:val="center"/>
          </w:tcPr>
          <w:p>
            <w:pPr>
              <w:pStyle w:val="11"/>
            </w:pPr>
            <w:r>
              <w:t>18.58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15.93</w:t>
            </w:r>
          </w:p>
        </w:tc>
        <w:tc>
          <w:tcPr>
            <w:tcW w:w="1361" w:type="dxa"/>
            <w:vAlign w:val="center"/>
          </w:tcPr>
          <w:p>
            <w:pPr>
              <w:pStyle w:val="11"/>
            </w:pPr>
            <w:r>
              <w:t>15.93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2.65</w:t>
            </w:r>
          </w:p>
        </w:tc>
        <w:tc>
          <w:tcPr>
            <w:tcW w:w="1361" w:type="dxa"/>
            <w:vAlign w:val="center"/>
          </w:tcPr>
          <w:p>
            <w:pPr>
              <w:pStyle w:val="11"/>
            </w:pPr>
            <w:r>
              <w:t>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114.17</w:t>
            </w:r>
          </w:p>
        </w:tc>
        <w:tc>
          <w:tcPr>
            <w:tcW w:w="3402" w:type="dxa"/>
            <w:vAlign w:val="center"/>
          </w:tcPr>
          <w:p>
            <w:pPr>
              <w:pStyle w:val="12"/>
            </w:pPr>
            <w:r>
              <w:t>一、一般公共服务支出</w:t>
            </w:r>
          </w:p>
        </w:tc>
        <w:tc>
          <w:tcPr>
            <w:tcW w:w="1474" w:type="dxa"/>
            <w:vAlign w:val="center"/>
          </w:tcPr>
          <w:p>
            <w:pPr>
              <w:pStyle w:val="11"/>
            </w:pPr>
            <w:r>
              <w:t>95.58</w:t>
            </w:r>
          </w:p>
        </w:tc>
        <w:tc>
          <w:tcPr>
            <w:tcW w:w="1474" w:type="dxa"/>
            <w:vAlign w:val="center"/>
          </w:tcPr>
          <w:p>
            <w:pPr>
              <w:pStyle w:val="11"/>
            </w:pPr>
            <w:r>
              <w:t>95.58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18.58</w:t>
            </w:r>
          </w:p>
        </w:tc>
        <w:tc>
          <w:tcPr>
            <w:tcW w:w="1474" w:type="dxa"/>
            <w:vAlign w:val="center"/>
          </w:tcPr>
          <w:p>
            <w:pPr>
              <w:pStyle w:val="11"/>
            </w:pPr>
            <w:r>
              <w:t>18.58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114.17</w:t>
            </w:r>
          </w:p>
        </w:tc>
        <w:tc>
          <w:tcPr>
            <w:tcW w:w="3402" w:type="dxa"/>
            <w:vAlign w:val="center"/>
          </w:tcPr>
          <w:p>
            <w:pPr>
              <w:pStyle w:val="14"/>
            </w:pPr>
            <w:r>
              <w:t>本年支出合计</w:t>
            </w:r>
          </w:p>
        </w:tc>
        <w:tc>
          <w:tcPr>
            <w:tcW w:w="1474" w:type="dxa"/>
            <w:vAlign w:val="center"/>
          </w:tcPr>
          <w:p>
            <w:pPr>
              <w:pStyle w:val="15"/>
            </w:pPr>
            <w:r>
              <w:t>114.17</w:t>
            </w:r>
          </w:p>
        </w:tc>
        <w:tc>
          <w:tcPr>
            <w:tcW w:w="1474" w:type="dxa"/>
            <w:vAlign w:val="center"/>
          </w:tcPr>
          <w:p>
            <w:pPr>
              <w:pStyle w:val="15"/>
            </w:pPr>
            <w:r>
              <w:t>114.17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114.17</w:t>
            </w:r>
          </w:p>
        </w:tc>
        <w:tc>
          <w:tcPr>
            <w:tcW w:w="3402" w:type="dxa"/>
            <w:vAlign w:val="center"/>
          </w:tcPr>
          <w:p>
            <w:pPr>
              <w:pStyle w:val="14"/>
            </w:pPr>
            <w:r>
              <w:t>支出总计</w:t>
            </w:r>
          </w:p>
        </w:tc>
        <w:tc>
          <w:tcPr>
            <w:tcW w:w="1474" w:type="dxa"/>
            <w:vAlign w:val="center"/>
          </w:tcPr>
          <w:p>
            <w:pPr>
              <w:pStyle w:val="15"/>
            </w:pPr>
            <w:r>
              <w:t>114.17</w:t>
            </w:r>
          </w:p>
        </w:tc>
        <w:tc>
          <w:tcPr>
            <w:tcW w:w="1474" w:type="dxa"/>
            <w:vAlign w:val="center"/>
          </w:tcPr>
          <w:p>
            <w:pPr>
              <w:pStyle w:val="15"/>
            </w:pPr>
            <w:r>
              <w:t>114.17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114.17</w:t>
            </w:r>
          </w:p>
        </w:tc>
        <w:tc>
          <w:tcPr>
            <w:tcW w:w="2551" w:type="dxa"/>
            <w:vAlign w:val="center"/>
          </w:tcPr>
          <w:p>
            <w:pPr>
              <w:pStyle w:val="15"/>
            </w:pPr>
            <w:r>
              <w:t>114.17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95.58</w:t>
            </w:r>
          </w:p>
        </w:tc>
        <w:tc>
          <w:tcPr>
            <w:tcW w:w="2551" w:type="dxa"/>
            <w:vAlign w:val="center"/>
          </w:tcPr>
          <w:p>
            <w:pPr>
              <w:pStyle w:val="11"/>
            </w:pPr>
            <w:r>
              <w:t>95.58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95.58</w:t>
            </w:r>
          </w:p>
        </w:tc>
        <w:tc>
          <w:tcPr>
            <w:tcW w:w="2551" w:type="dxa"/>
            <w:vAlign w:val="center"/>
          </w:tcPr>
          <w:p>
            <w:pPr>
              <w:pStyle w:val="11"/>
            </w:pPr>
            <w:r>
              <w:t>95.58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95.58</w:t>
            </w:r>
          </w:p>
        </w:tc>
        <w:tc>
          <w:tcPr>
            <w:tcW w:w="2551" w:type="dxa"/>
            <w:vAlign w:val="center"/>
          </w:tcPr>
          <w:p>
            <w:pPr>
              <w:pStyle w:val="11"/>
            </w:pPr>
            <w:r>
              <w:t>95.58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18.58</w:t>
            </w:r>
          </w:p>
        </w:tc>
        <w:tc>
          <w:tcPr>
            <w:tcW w:w="2551" w:type="dxa"/>
            <w:vAlign w:val="center"/>
          </w:tcPr>
          <w:p>
            <w:pPr>
              <w:pStyle w:val="11"/>
            </w:pPr>
            <w:r>
              <w:t>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18.58</w:t>
            </w:r>
          </w:p>
        </w:tc>
        <w:tc>
          <w:tcPr>
            <w:tcW w:w="2551" w:type="dxa"/>
            <w:vAlign w:val="center"/>
          </w:tcPr>
          <w:p>
            <w:pPr>
              <w:pStyle w:val="11"/>
            </w:pPr>
            <w:r>
              <w:t>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15.93</w:t>
            </w:r>
          </w:p>
        </w:tc>
        <w:tc>
          <w:tcPr>
            <w:tcW w:w="2551" w:type="dxa"/>
            <w:vAlign w:val="center"/>
          </w:tcPr>
          <w:p>
            <w:pPr>
              <w:pStyle w:val="11"/>
            </w:pPr>
            <w:r>
              <w:t>15.93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2.65</w:t>
            </w:r>
          </w:p>
        </w:tc>
        <w:tc>
          <w:tcPr>
            <w:tcW w:w="2551" w:type="dxa"/>
            <w:vAlign w:val="center"/>
          </w:tcPr>
          <w:p>
            <w:pPr>
              <w:pStyle w:val="11"/>
            </w:pPr>
            <w:r>
              <w:t>2.65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114.17</w:t>
            </w:r>
          </w:p>
        </w:tc>
        <w:tc>
          <w:tcPr>
            <w:tcW w:w="2551" w:type="dxa"/>
            <w:vAlign w:val="center"/>
          </w:tcPr>
          <w:p>
            <w:pPr>
              <w:pStyle w:val="15"/>
            </w:pPr>
            <w:r>
              <w:t>106.67</w:t>
            </w:r>
          </w:p>
        </w:tc>
        <w:tc>
          <w:tcPr>
            <w:tcW w:w="2551" w:type="dxa"/>
            <w:vAlign w:val="center"/>
          </w:tcPr>
          <w:p>
            <w:pPr>
              <w:pStyle w:val="15"/>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106.67</w:t>
            </w:r>
          </w:p>
        </w:tc>
        <w:tc>
          <w:tcPr>
            <w:tcW w:w="2551" w:type="dxa"/>
            <w:vAlign w:val="center"/>
          </w:tcPr>
          <w:p>
            <w:pPr>
              <w:pStyle w:val="11"/>
            </w:pPr>
            <w:r>
              <w:t>106.67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37.33</w:t>
            </w:r>
          </w:p>
        </w:tc>
        <w:tc>
          <w:tcPr>
            <w:tcW w:w="2551" w:type="dxa"/>
            <w:vAlign w:val="center"/>
          </w:tcPr>
          <w:p>
            <w:pPr>
              <w:pStyle w:val="11"/>
            </w:pPr>
            <w:r>
              <w:t>37.33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7.20</w:t>
            </w:r>
          </w:p>
        </w:tc>
        <w:tc>
          <w:tcPr>
            <w:tcW w:w="2551" w:type="dxa"/>
            <w:vAlign w:val="center"/>
          </w:tcPr>
          <w:p>
            <w:pPr>
              <w:pStyle w:val="11"/>
            </w:pPr>
            <w:r>
              <w:t>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5.60</w:t>
            </w:r>
          </w:p>
        </w:tc>
        <w:tc>
          <w:tcPr>
            <w:tcW w:w="2551" w:type="dxa"/>
            <w:vAlign w:val="center"/>
          </w:tcPr>
          <w:p>
            <w:pPr>
              <w:pStyle w:val="11"/>
            </w:pPr>
            <w:r>
              <w:t>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29.11</w:t>
            </w:r>
          </w:p>
        </w:tc>
        <w:tc>
          <w:tcPr>
            <w:tcW w:w="2551" w:type="dxa"/>
            <w:vAlign w:val="center"/>
          </w:tcPr>
          <w:p>
            <w:pPr>
              <w:pStyle w:val="11"/>
            </w:pPr>
            <w:r>
              <w:t>29.11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15.93</w:t>
            </w:r>
          </w:p>
        </w:tc>
        <w:tc>
          <w:tcPr>
            <w:tcW w:w="2551" w:type="dxa"/>
            <w:vAlign w:val="center"/>
          </w:tcPr>
          <w:p>
            <w:pPr>
              <w:pStyle w:val="11"/>
            </w:pPr>
            <w:r>
              <w:t>15.93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2.65</w:t>
            </w:r>
          </w:p>
        </w:tc>
        <w:tc>
          <w:tcPr>
            <w:tcW w:w="2551" w:type="dxa"/>
            <w:vAlign w:val="center"/>
          </w:tcPr>
          <w:p>
            <w:pPr>
              <w:pStyle w:val="11"/>
            </w:pPr>
            <w:r>
              <w:t>2.65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7.68</w:t>
            </w:r>
          </w:p>
        </w:tc>
        <w:tc>
          <w:tcPr>
            <w:tcW w:w="2551" w:type="dxa"/>
            <w:vAlign w:val="center"/>
          </w:tcPr>
          <w:p>
            <w:pPr>
              <w:pStyle w:val="11"/>
            </w:pPr>
            <w:r>
              <w:t>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1.15</w:t>
            </w:r>
          </w:p>
        </w:tc>
        <w:tc>
          <w:tcPr>
            <w:tcW w:w="2551" w:type="dxa"/>
            <w:vAlign w:val="center"/>
          </w:tcPr>
          <w:p>
            <w:pPr>
              <w:pStyle w:val="11"/>
            </w:pPr>
            <w:r>
              <w:t>1.15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 w:name="_Toc_2_2_0000000009"/>
      <w:r>
        <w:rPr>
          <w:rFonts w:ascii="方正小标宋_GBK" w:hAnsi="方正小标宋_GBK" w:eastAsia="方正小标宋_GBK" w:cs="方正小标宋_GBK"/>
          <w:color w:val="000000"/>
          <w:sz w:val="36"/>
        </w:rPr>
        <w:t>部门预算财政拨款“三公”经费支出表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无极县政府投资项目代建中心2024年单位预算信息公开情况说明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按照《中华人民共和国预算法》、《地方预决算公开操作规程》和《关于进一步推进预算公开工作的实施意见》规定，现将无极县政府投资项目代建中心2024年单位预算公开如下：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rPr>
          <w:rFonts w:hint="eastAsia" w:ascii="Times New Roman" w:hAnsi="Times New Roman" w:eastAsia="方正仿宋_GBK" w:cs="Times New Roman"/>
          <w:color w:val="000000"/>
          <w:sz w:val="28"/>
          <w:szCs w:val="24"/>
          <w:lang w:val="en-US" w:eastAsia="uk-UA" w:bidi="ar-SA"/>
        </w:rPr>
        <w:t>组织施工图设计及审查、预算编制；组织开展工程勘察、设计、监理、施工招标工作；负责项目资金拨付工作；负责项目实施过程管理；项目竣工后按规定报审计进行结算和决算审计；项目完成后与委建单位进行移交工作:县委、县政府交办的其他代建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无极县政府投资项目代建中心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w:t>
      </w:r>
    </w:p>
    <w:p>
      <w:pPr>
        <w:pStyle w:val="18"/>
      </w:pPr>
      <w:r>
        <w:t>1.收入说明</w:t>
      </w:r>
    </w:p>
    <w:p>
      <w:pPr>
        <w:pStyle w:val="22"/>
        <w:rPr>
          <w:rFonts w:hint="eastAsia" w:eastAsia="方正仿宋_GBK"/>
          <w:lang w:eastAsia="zh-CN"/>
        </w:rPr>
      </w:pPr>
      <w:r>
        <w:rPr>
          <w:rFonts w:hint="eastAsia"/>
        </w:rPr>
        <w:t>反映本</w:t>
      </w:r>
      <w:r>
        <w:rPr>
          <w:rFonts w:hint="eastAsia"/>
          <w:lang w:eastAsia="zh-CN"/>
        </w:rPr>
        <w:t>单位</w:t>
      </w:r>
      <w:r>
        <w:rPr>
          <w:rFonts w:hint="eastAsia"/>
        </w:rPr>
        <w:t>当年全部收入。2024年预算收入114.17万元，其中：一般公共预算收入114.17万元，基金预算收入0.00万元， 国有资本经营预算收入0.00万元，财政专户核拨收入0.00万元，单位资金收入0.00万元，上年结转结余0.00万元</w:t>
      </w:r>
      <w:r>
        <w:rPr>
          <w:rFonts w:hint="eastAsia"/>
          <w:lang w:eastAsia="zh-CN"/>
        </w:rPr>
        <w:t>。</w:t>
      </w:r>
    </w:p>
    <w:p>
      <w:pPr>
        <w:pStyle w:val="18"/>
      </w:pPr>
    </w:p>
    <w:p>
      <w:pPr>
        <w:pStyle w:val="18"/>
      </w:pPr>
      <w:r>
        <w:t>2.支出说明</w:t>
      </w:r>
    </w:p>
    <w:p>
      <w:pPr>
        <w:pStyle w:val="18"/>
        <w:rPr>
          <w:rFonts w:hint="eastAsia"/>
          <w:lang w:val="en-US" w:eastAsia="zh-CN"/>
        </w:rPr>
      </w:pPr>
      <w:r>
        <w:rPr>
          <w:rFonts w:hint="eastAsia"/>
        </w:rPr>
        <w:t>收支预算总表支出栏、基本支出表、项目支出表按经济分类和支出功能分类科目编制，反映无极县政府投资项目代建中心年度单位预算中支出预算的总体情况。 2024年支出预算114.17万元，其中基本支出114.17万元，包括人员经费106.67万元和日常公用经费7.50万元；项目支出0.00万元</w:t>
      </w:r>
      <w:r>
        <w:rPr>
          <w:rFonts w:hint="eastAsia"/>
          <w:lang w:val="en-US" w:eastAsia="zh-CN"/>
        </w:rPr>
        <w:t>。</w:t>
      </w:r>
    </w:p>
    <w:p>
      <w:pPr>
        <w:pStyle w:val="18"/>
      </w:pPr>
      <w:r>
        <w:t>3、比上年增减情况</w:t>
      </w:r>
    </w:p>
    <w:p>
      <w:pPr>
        <w:pStyle w:val="18"/>
        <w:rPr>
          <w:rFonts w:hint="eastAsia"/>
          <w:highlight w:val="none"/>
          <w:lang w:eastAsia="zh-CN"/>
        </w:rPr>
      </w:pPr>
      <w:r>
        <w:t>2024年预算收支安排114.17万元，</w:t>
      </w:r>
      <w:r>
        <w:rPr>
          <w:rFonts w:hint="eastAsia"/>
        </w:rPr>
        <w:t>较2023年预算减少88.39万元， 其中：基本支出减少88.39万</w:t>
      </w:r>
      <w:r>
        <w:rPr>
          <w:rFonts w:hint="eastAsia"/>
          <w:highlight w:val="none"/>
        </w:rPr>
        <w:t>元，</w:t>
      </w:r>
      <w:r>
        <w:rPr>
          <w:highlight w:val="none"/>
        </w:rPr>
        <w:t>主要为</w:t>
      </w:r>
      <w:r>
        <w:rPr>
          <w:rFonts w:hint="eastAsia"/>
          <w:highlight w:val="none"/>
          <w:lang w:eastAsia="zh-CN"/>
        </w:rPr>
        <w:t>本单位为新成立单位，故上年预算预计新增人员较多，预算收支较高，本年预算依照现有人数统计，收支安排预算有所减少。</w:t>
      </w:r>
    </w:p>
    <w:p>
      <w:pPr>
        <w:pStyle w:val="18"/>
        <w:rPr>
          <w:rFonts w:hint="eastAsia"/>
          <w:highlight w:val="none"/>
          <w:lang w:eastAsia="zh-CN"/>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w:t>
      </w:r>
      <w:r>
        <w:rPr>
          <w:rFonts w:hint="eastAsia"/>
          <w:lang w:eastAsia="zh-CN"/>
        </w:rPr>
        <w:t>，我单位</w:t>
      </w:r>
      <w:r>
        <w:t>机关运行经费共计安排7.5万元，主要用于日常办公，办公区水电费、日常维修等日常运行支出。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2024年，我单位财政拨款“三公”经费预算安排3万元，其中：因公出国（境）费0万元；公务用车购置及运行维护费3万元（其中：公务用车购置费0万元，公务用车运行维护费3万元）</w:t>
      </w:r>
      <w:r>
        <w:rPr>
          <w:rFonts w:hint="eastAsia"/>
          <w:lang w:eastAsia="zh-CN"/>
        </w:rPr>
        <w:t>；</w:t>
      </w:r>
      <w:r>
        <w:t>其中公务接待费0万元</w:t>
      </w:r>
      <w:r>
        <w:rPr>
          <w:rFonts w:hint="eastAsia"/>
          <w:lang w:eastAsia="zh-CN"/>
        </w:rPr>
        <w:t>。与2023年相比增加3万元，主要原因是严格按照公务用车相关制度执行，厉行节约，未安排</w:t>
      </w:r>
      <w:r>
        <w:t>因公出国（境）费</w:t>
      </w:r>
      <w:r>
        <w:rPr>
          <w:rFonts w:hint="eastAsia"/>
          <w:lang w:eastAsia="zh-CN"/>
        </w:rPr>
        <w:t>和</w:t>
      </w:r>
      <w:r>
        <w:t>公务接待费</w:t>
      </w:r>
      <w:r>
        <w:rPr>
          <w:rFonts w:hint="eastAsia"/>
          <w:lang w:eastAsia="zh-CN"/>
        </w:rP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bookmarkStart w:id="2" w:name="_GoBack"/>
      <w:bookmarkEnd w:id="2"/>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ind w:firstLine="640" w:firstLineChars="2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无极县政府投资项目代建中心上年末固定资产金额为24.35万元（详见下表）。本年度拟购置固定资产总额为1.00万元，已按要求列入政府采购预算，详见政府采购预算表。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809001无极县政府投资项目代建中心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119</w:t>
            </w:r>
          </w:p>
        </w:tc>
        <w:tc>
          <w:tcPr>
            <w:tcW w:w="2835" w:type="dxa"/>
            <w:vAlign w:val="center"/>
          </w:tcPr>
          <w:p>
            <w:pPr>
              <w:pStyle w:val="11"/>
            </w:pPr>
            <w:r>
              <w:t>14.99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C6CBA"/>
    <w:multiLevelType w:val="singleLevel"/>
    <w:tmpl w:val="995C6CB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0OTAyZmI3MmIyMmRiMmY0ODljYzI2NDFmNzU5YjMifQ=="/>
  </w:docVars>
  <w:rsids>
    <w:rsidRoot w:val="00000000"/>
    <w:rsid w:val="002E21DB"/>
    <w:rsid w:val="00325708"/>
    <w:rsid w:val="02295499"/>
    <w:rsid w:val="0DF42924"/>
    <w:rsid w:val="1C14011E"/>
    <w:rsid w:val="2012512B"/>
    <w:rsid w:val="20764E4F"/>
    <w:rsid w:val="2301409C"/>
    <w:rsid w:val="274C7086"/>
    <w:rsid w:val="281B09D9"/>
    <w:rsid w:val="2A942FD5"/>
    <w:rsid w:val="2B4A4093"/>
    <w:rsid w:val="2CCE41EA"/>
    <w:rsid w:val="383A58BA"/>
    <w:rsid w:val="412E4C7F"/>
    <w:rsid w:val="427D7E24"/>
    <w:rsid w:val="439C49F8"/>
    <w:rsid w:val="48BC2DE1"/>
    <w:rsid w:val="49256CE8"/>
    <w:rsid w:val="4D94137A"/>
    <w:rsid w:val="512B7338"/>
    <w:rsid w:val="578313D3"/>
    <w:rsid w:val="5DDA6EB7"/>
    <w:rsid w:val="65142F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2024-01-30T10:22:09Z</dcterms:created>
  <dcterms:modified xsi:type="dcterms:W3CDTF">2024-01-30T02:22:09Z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2024-01-30T10:22:08Z</dcterms:created>
  <dcterms:modified xsi:type="dcterms:W3CDTF">2024-01-30T02:22:08Z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2024-01-30T10:22:00Z</dcterms:created>
  <dcterms:modified xsi:type="dcterms:W3CDTF">2024-01-30T02:22:00Z</dcterms:modified>
</cp:coreProperties>
</file>

<file path=customXml/itemProps1.xml><?xml version="1.0" encoding="utf-8"?>
<ds:datastoreItem xmlns:ds="http://schemas.openxmlformats.org/officeDocument/2006/customXml" ds:itemID="{1f352d44-abd9-4f6c-ad79-c2b235bd0f4a}">
  <ds:schemaRefs/>
</ds:datastoreItem>
</file>

<file path=customXml/itemProps2.xml><?xml version="1.0" encoding="utf-8"?>
<ds:datastoreItem xmlns:ds="http://schemas.openxmlformats.org/officeDocument/2006/customXml" ds:itemID="{0b03b681-1f49-4a2e-8893-c627f97f9f91}">
  <ds:schemaRefs/>
</ds:datastoreItem>
</file>

<file path=customXml/itemProps3.xml><?xml version="1.0" encoding="utf-8"?>
<ds:datastoreItem xmlns:ds="http://schemas.openxmlformats.org/officeDocument/2006/customXml" ds:itemID="{1dbd590f-78ef-4709-a028-38eb2d2f2377}">
  <ds:schemaRefs/>
</ds:datastoreItem>
</file>

<file path=customXml/itemProps4.xml><?xml version="1.0" encoding="utf-8"?>
<ds:datastoreItem xmlns:ds="http://schemas.openxmlformats.org/officeDocument/2006/customXml" ds:itemID="{9ec8f04e-eb71-4f6b-9357-33df277af3c0}">
  <ds:schemaRefs/>
</ds:datastoreItem>
</file>

<file path=customXml/itemProps5.xml><?xml version="1.0" encoding="utf-8"?>
<ds:datastoreItem xmlns:ds="http://schemas.openxmlformats.org/officeDocument/2006/customXml" ds:itemID="{341d093c-76fe-4936-93b0-1bbb132ba952}">
  <ds:schemaRefs/>
</ds:datastoreItem>
</file>

<file path=customXml/itemProps6.xml><?xml version="1.0" encoding="utf-8"?>
<ds:datastoreItem xmlns:ds="http://schemas.openxmlformats.org/officeDocument/2006/customXml" ds:itemID="{6255fa2a-653f-4ec2-83c8-084e39b4aef7}">
  <ds:schemaRefs/>
</ds:datastoreItem>
</file>

<file path=docProps/app.xml><?xml version="1.0" encoding="utf-8"?>
<Properties xmlns="http://schemas.openxmlformats.org/officeDocument/2006/extended-properties" xmlns:vt="http://schemas.openxmlformats.org/officeDocument/2006/docPropsVTypes">
  <Pages>29</Pages>
  <Words>4184</Words>
  <Characters>4965</Characters>
  <TotalTime>1</TotalTime>
  <ScaleCrop>false</ScaleCrop>
  <LinksUpToDate>false</LinksUpToDate>
  <CharactersWithSpaces>5068</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2024-01-30T10:22:00Z</dcterms:created>
  <dc:creator>lenovo</dc:creator>
  <cp:lastModifiedBy>Administrator</cp:lastModifiedBy>
  <dcterms:modified xsi:type="dcterms:W3CDTF">2024-02-02T08:32:18Z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6424DD2B38804714BF92BDAF0DC93857</vt:lpwstr>
  </property>
</Properties>
</file>