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114.17</w:t>
            </w:r>
          </w:p>
        </w:tc>
        <w:tc>
          <w:tcPr>
            <w:tcW w:w="4535" w:type="dxa"/>
            <w:vAlign w:val="center"/>
          </w:tcPr>
          <w:p>
            <w:pPr>
              <w:pStyle w:val="13"/>
            </w:pPr>
            <w:r>
              <w:t>一、一般公共服务支出</w:t>
            </w:r>
          </w:p>
        </w:tc>
        <w:tc>
          <w:tcPr>
            <w:tcW w:w="2126" w:type="dxa"/>
            <w:vAlign w:val="center"/>
          </w:tcPr>
          <w:p>
            <w:pPr>
              <w:pStyle w:val="12"/>
            </w:pPr>
            <w:r>
              <w:t>95.58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114.17</w:t>
            </w:r>
          </w:p>
        </w:tc>
        <w:tc>
          <w:tcPr>
            <w:tcW w:w="4535" w:type="dxa"/>
            <w:vAlign w:val="center"/>
          </w:tcPr>
          <w:p>
            <w:pPr>
              <w:pStyle w:val="15"/>
            </w:pPr>
            <w:r>
              <w:t>本年支出合计</w:t>
            </w:r>
          </w:p>
        </w:tc>
        <w:tc>
          <w:tcPr>
            <w:tcW w:w="2126" w:type="dxa"/>
            <w:vAlign w:val="center"/>
          </w:tcPr>
          <w:p>
            <w:pPr>
              <w:pStyle w:val="16"/>
            </w:pPr>
            <w:r>
              <w:t>114.17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114.17</w:t>
            </w:r>
          </w:p>
        </w:tc>
        <w:tc>
          <w:tcPr>
            <w:tcW w:w="4535" w:type="dxa"/>
            <w:vAlign w:val="center"/>
          </w:tcPr>
          <w:p>
            <w:pPr>
              <w:pStyle w:val="15"/>
            </w:pPr>
            <w:r>
              <w:t>支出总计</w:t>
            </w:r>
          </w:p>
        </w:tc>
        <w:tc>
          <w:tcPr>
            <w:tcW w:w="2126" w:type="dxa"/>
            <w:vAlign w:val="center"/>
          </w:tcPr>
          <w:p>
            <w:pPr>
              <w:pStyle w:val="16"/>
            </w:pPr>
            <w:r>
              <w:t>114.17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114.17</w:t>
            </w:r>
          </w:p>
        </w:tc>
        <w:tc>
          <w:tcPr>
            <w:tcW w:w="1134" w:type="dxa"/>
            <w:vAlign w:val="center"/>
          </w:tcPr>
          <w:p>
            <w:pPr>
              <w:pStyle w:val="16"/>
            </w:pPr>
            <w:r>
              <w:t>114.17</w:t>
            </w:r>
          </w:p>
        </w:tc>
        <w:tc>
          <w:tcPr>
            <w:tcW w:w="1134" w:type="dxa"/>
            <w:vAlign w:val="center"/>
          </w:tcPr>
          <w:p>
            <w:pPr>
              <w:pStyle w:val="16"/>
            </w:pPr>
            <w:r>
              <w:t>114.17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95.58</w:t>
            </w:r>
          </w:p>
        </w:tc>
        <w:tc>
          <w:tcPr>
            <w:tcW w:w="1134" w:type="dxa"/>
            <w:vAlign w:val="center"/>
          </w:tcPr>
          <w:p>
            <w:pPr>
              <w:pStyle w:val="12"/>
            </w:pPr>
            <w:r>
              <w:t>95.58</w:t>
            </w:r>
          </w:p>
        </w:tc>
        <w:tc>
          <w:tcPr>
            <w:tcW w:w="1134" w:type="dxa"/>
            <w:vAlign w:val="center"/>
          </w:tcPr>
          <w:p>
            <w:pPr>
              <w:pStyle w:val="12"/>
            </w:pPr>
            <w:r>
              <w:t>95.58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95.58</w:t>
            </w:r>
          </w:p>
        </w:tc>
        <w:tc>
          <w:tcPr>
            <w:tcW w:w="1134" w:type="dxa"/>
            <w:vAlign w:val="center"/>
          </w:tcPr>
          <w:p>
            <w:pPr>
              <w:pStyle w:val="12"/>
            </w:pPr>
            <w:r>
              <w:t>95.58</w:t>
            </w:r>
          </w:p>
        </w:tc>
        <w:tc>
          <w:tcPr>
            <w:tcW w:w="1134" w:type="dxa"/>
            <w:vAlign w:val="center"/>
          </w:tcPr>
          <w:p>
            <w:pPr>
              <w:pStyle w:val="12"/>
            </w:pPr>
            <w:r>
              <w:t>95.58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95.58</w:t>
            </w:r>
          </w:p>
        </w:tc>
        <w:tc>
          <w:tcPr>
            <w:tcW w:w="1134" w:type="dxa"/>
            <w:vAlign w:val="center"/>
          </w:tcPr>
          <w:p>
            <w:pPr>
              <w:pStyle w:val="12"/>
            </w:pPr>
            <w:r>
              <w:t>95.58</w:t>
            </w:r>
          </w:p>
        </w:tc>
        <w:tc>
          <w:tcPr>
            <w:tcW w:w="1134" w:type="dxa"/>
            <w:vAlign w:val="center"/>
          </w:tcPr>
          <w:p>
            <w:pPr>
              <w:pStyle w:val="12"/>
            </w:pPr>
            <w:r>
              <w:t>95.58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18.58</w:t>
            </w:r>
          </w:p>
        </w:tc>
        <w:tc>
          <w:tcPr>
            <w:tcW w:w="1134" w:type="dxa"/>
            <w:vAlign w:val="center"/>
          </w:tcPr>
          <w:p>
            <w:pPr>
              <w:pStyle w:val="12"/>
            </w:pPr>
            <w:r>
              <w:t>18.58</w:t>
            </w:r>
          </w:p>
        </w:tc>
        <w:tc>
          <w:tcPr>
            <w:tcW w:w="1134" w:type="dxa"/>
            <w:vAlign w:val="center"/>
          </w:tcPr>
          <w:p>
            <w:pPr>
              <w:pStyle w:val="12"/>
            </w:pPr>
            <w:r>
              <w:t>18.58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18.58</w:t>
            </w:r>
          </w:p>
        </w:tc>
        <w:tc>
          <w:tcPr>
            <w:tcW w:w="1134" w:type="dxa"/>
            <w:vAlign w:val="center"/>
          </w:tcPr>
          <w:p>
            <w:pPr>
              <w:pStyle w:val="12"/>
            </w:pPr>
            <w:r>
              <w:t>18.58</w:t>
            </w:r>
          </w:p>
        </w:tc>
        <w:tc>
          <w:tcPr>
            <w:tcW w:w="1134" w:type="dxa"/>
            <w:vAlign w:val="center"/>
          </w:tcPr>
          <w:p>
            <w:pPr>
              <w:pStyle w:val="12"/>
            </w:pPr>
            <w:r>
              <w:t>18.58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15.93</w:t>
            </w:r>
          </w:p>
        </w:tc>
        <w:tc>
          <w:tcPr>
            <w:tcW w:w="1134" w:type="dxa"/>
            <w:vAlign w:val="center"/>
          </w:tcPr>
          <w:p>
            <w:pPr>
              <w:pStyle w:val="12"/>
            </w:pPr>
            <w:r>
              <w:t>15.93</w:t>
            </w:r>
          </w:p>
        </w:tc>
        <w:tc>
          <w:tcPr>
            <w:tcW w:w="1134" w:type="dxa"/>
            <w:vAlign w:val="center"/>
          </w:tcPr>
          <w:p>
            <w:pPr>
              <w:pStyle w:val="12"/>
            </w:pPr>
            <w:r>
              <w:t>15.93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2.65</w:t>
            </w:r>
          </w:p>
        </w:tc>
        <w:tc>
          <w:tcPr>
            <w:tcW w:w="1134" w:type="dxa"/>
            <w:vAlign w:val="center"/>
          </w:tcPr>
          <w:p>
            <w:pPr>
              <w:pStyle w:val="12"/>
            </w:pPr>
            <w:r>
              <w:t>2.65</w:t>
            </w:r>
          </w:p>
        </w:tc>
        <w:tc>
          <w:tcPr>
            <w:tcW w:w="1134" w:type="dxa"/>
            <w:vAlign w:val="center"/>
          </w:tcPr>
          <w:p>
            <w:pPr>
              <w:pStyle w:val="12"/>
            </w:pPr>
            <w:r>
              <w:t>2.65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114.17</w:t>
            </w:r>
          </w:p>
        </w:tc>
        <w:tc>
          <w:tcPr>
            <w:tcW w:w="1361" w:type="dxa"/>
            <w:vAlign w:val="center"/>
          </w:tcPr>
          <w:p>
            <w:pPr>
              <w:pStyle w:val="16"/>
            </w:pPr>
            <w:r>
              <w:t>114.17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95.58</w:t>
            </w:r>
          </w:p>
        </w:tc>
        <w:tc>
          <w:tcPr>
            <w:tcW w:w="1361" w:type="dxa"/>
            <w:vAlign w:val="center"/>
          </w:tcPr>
          <w:p>
            <w:pPr>
              <w:pStyle w:val="12"/>
            </w:pPr>
            <w:r>
              <w:t>95.58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95.58</w:t>
            </w:r>
          </w:p>
        </w:tc>
        <w:tc>
          <w:tcPr>
            <w:tcW w:w="1361" w:type="dxa"/>
            <w:vAlign w:val="center"/>
          </w:tcPr>
          <w:p>
            <w:pPr>
              <w:pStyle w:val="12"/>
            </w:pPr>
            <w:r>
              <w:t>95.58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95.58</w:t>
            </w:r>
          </w:p>
        </w:tc>
        <w:tc>
          <w:tcPr>
            <w:tcW w:w="1361" w:type="dxa"/>
            <w:vAlign w:val="center"/>
          </w:tcPr>
          <w:p>
            <w:pPr>
              <w:pStyle w:val="12"/>
            </w:pPr>
            <w:r>
              <w:t>95.58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18.58</w:t>
            </w:r>
          </w:p>
        </w:tc>
        <w:tc>
          <w:tcPr>
            <w:tcW w:w="1361" w:type="dxa"/>
            <w:vAlign w:val="center"/>
          </w:tcPr>
          <w:p>
            <w:pPr>
              <w:pStyle w:val="12"/>
            </w:pPr>
            <w:r>
              <w:t>18.58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18.58</w:t>
            </w:r>
          </w:p>
        </w:tc>
        <w:tc>
          <w:tcPr>
            <w:tcW w:w="1361" w:type="dxa"/>
            <w:vAlign w:val="center"/>
          </w:tcPr>
          <w:p>
            <w:pPr>
              <w:pStyle w:val="12"/>
            </w:pPr>
            <w:r>
              <w:t>18.58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15.93</w:t>
            </w:r>
          </w:p>
        </w:tc>
        <w:tc>
          <w:tcPr>
            <w:tcW w:w="1361" w:type="dxa"/>
            <w:vAlign w:val="center"/>
          </w:tcPr>
          <w:p>
            <w:pPr>
              <w:pStyle w:val="12"/>
            </w:pPr>
            <w:r>
              <w:t>15.93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2.65</w:t>
            </w:r>
          </w:p>
        </w:tc>
        <w:tc>
          <w:tcPr>
            <w:tcW w:w="1361" w:type="dxa"/>
            <w:vAlign w:val="center"/>
          </w:tcPr>
          <w:p>
            <w:pPr>
              <w:pStyle w:val="12"/>
            </w:pPr>
            <w:r>
              <w:t>2.65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114.17</w:t>
            </w:r>
          </w:p>
        </w:tc>
        <w:tc>
          <w:tcPr>
            <w:tcW w:w="3402" w:type="dxa"/>
            <w:vAlign w:val="center"/>
          </w:tcPr>
          <w:p>
            <w:pPr>
              <w:pStyle w:val="13"/>
            </w:pPr>
            <w:r>
              <w:t>一、一般公共服务支出</w:t>
            </w:r>
          </w:p>
        </w:tc>
        <w:tc>
          <w:tcPr>
            <w:tcW w:w="1474" w:type="dxa"/>
            <w:vAlign w:val="center"/>
          </w:tcPr>
          <w:p>
            <w:pPr>
              <w:pStyle w:val="12"/>
            </w:pPr>
            <w:r>
              <w:t>95.58</w:t>
            </w:r>
          </w:p>
        </w:tc>
        <w:tc>
          <w:tcPr>
            <w:tcW w:w="1474" w:type="dxa"/>
            <w:vAlign w:val="center"/>
          </w:tcPr>
          <w:p>
            <w:pPr>
              <w:pStyle w:val="12"/>
            </w:pPr>
            <w:r>
              <w:t>95.58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18.58</w:t>
            </w:r>
          </w:p>
        </w:tc>
        <w:tc>
          <w:tcPr>
            <w:tcW w:w="1474" w:type="dxa"/>
            <w:vAlign w:val="center"/>
          </w:tcPr>
          <w:p>
            <w:pPr>
              <w:pStyle w:val="12"/>
            </w:pPr>
            <w:r>
              <w:t>18.58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114.17</w:t>
            </w:r>
          </w:p>
        </w:tc>
        <w:tc>
          <w:tcPr>
            <w:tcW w:w="3402" w:type="dxa"/>
            <w:vAlign w:val="center"/>
          </w:tcPr>
          <w:p>
            <w:pPr>
              <w:pStyle w:val="15"/>
            </w:pPr>
            <w:r>
              <w:t>本年支出合计</w:t>
            </w:r>
          </w:p>
        </w:tc>
        <w:tc>
          <w:tcPr>
            <w:tcW w:w="1474" w:type="dxa"/>
            <w:vAlign w:val="center"/>
          </w:tcPr>
          <w:p>
            <w:pPr>
              <w:pStyle w:val="16"/>
            </w:pPr>
            <w:r>
              <w:t>114.17</w:t>
            </w:r>
          </w:p>
        </w:tc>
        <w:tc>
          <w:tcPr>
            <w:tcW w:w="1474" w:type="dxa"/>
            <w:vAlign w:val="center"/>
          </w:tcPr>
          <w:p>
            <w:pPr>
              <w:pStyle w:val="16"/>
            </w:pPr>
            <w:r>
              <w:t>114.17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114.17</w:t>
            </w:r>
          </w:p>
        </w:tc>
        <w:tc>
          <w:tcPr>
            <w:tcW w:w="3402" w:type="dxa"/>
            <w:vAlign w:val="center"/>
          </w:tcPr>
          <w:p>
            <w:pPr>
              <w:pStyle w:val="15"/>
            </w:pPr>
            <w:r>
              <w:t>支出总计</w:t>
            </w:r>
          </w:p>
        </w:tc>
        <w:tc>
          <w:tcPr>
            <w:tcW w:w="1474" w:type="dxa"/>
            <w:vAlign w:val="center"/>
          </w:tcPr>
          <w:p>
            <w:pPr>
              <w:pStyle w:val="16"/>
            </w:pPr>
            <w:r>
              <w:t>114.17</w:t>
            </w:r>
          </w:p>
        </w:tc>
        <w:tc>
          <w:tcPr>
            <w:tcW w:w="1474" w:type="dxa"/>
            <w:vAlign w:val="center"/>
          </w:tcPr>
          <w:p>
            <w:pPr>
              <w:pStyle w:val="16"/>
            </w:pPr>
            <w:r>
              <w:t>114.17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114.17</w:t>
            </w:r>
          </w:p>
        </w:tc>
        <w:tc>
          <w:tcPr>
            <w:tcW w:w="2551" w:type="dxa"/>
            <w:vAlign w:val="center"/>
          </w:tcPr>
          <w:p>
            <w:pPr>
              <w:pStyle w:val="16"/>
            </w:pPr>
            <w:r>
              <w:t>114.17</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95.58</w:t>
            </w:r>
          </w:p>
        </w:tc>
        <w:tc>
          <w:tcPr>
            <w:tcW w:w="2551" w:type="dxa"/>
            <w:vAlign w:val="center"/>
          </w:tcPr>
          <w:p>
            <w:pPr>
              <w:pStyle w:val="12"/>
            </w:pPr>
            <w:r>
              <w:t>95.58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95.58</w:t>
            </w:r>
          </w:p>
        </w:tc>
        <w:tc>
          <w:tcPr>
            <w:tcW w:w="2551" w:type="dxa"/>
            <w:vAlign w:val="center"/>
          </w:tcPr>
          <w:p>
            <w:pPr>
              <w:pStyle w:val="12"/>
            </w:pPr>
            <w:r>
              <w:t>95.58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95.58</w:t>
            </w:r>
          </w:p>
        </w:tc>
        <w:tc>
          <w:tcPr>
            <w:tcW w:w="2551" w:type="dxa"/>
            <w:vAlign w:val="center"/>
          </w:tcPr>
          <w:p>
            <w:pPr>
              <w:pStyle w:val="12"/>
            </w:pPr>
            <w:r>
              <w:t>95.58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18.58</w:t>
            </w:r>
          </w:p>
        </w:tc>
        <w:tc>
          <w:tcPr>
            <w:tcW w:w="2551" w:type="dxa"/>
            <w:vAlign w:val="center"/>
          </w:tcPr>
          <w:p>
            <w:pPr>
              <w:pStyle w:val="12"/>
            </w:pPr>
            <w:r>
              <w:t>18.58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18.58</w:t>
            </w:r>
          </w:p>
        </w:tc>
        <w:tc>
          <w:tcPr>
            <w:tcW w:w="2551" w:type="dxa"/>
            <w:vAlign w:val="center"/>
          </w:tcPr>
          <w:p>
            <w:pPr>
              <w:pStyle w:val="12"/>
            </w:pPr>
            <w:r>
              <w:t>18.58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15.93</w:t>
            </w:r>
          </w:p>
        </w:tc>
        <w:tc>
          <w:tcPr>
            <w:tcW w:w="2551" w:type="dxa"/>
            <w:vAlign w:val="center"/>
          </w:tcPr>
          <w:p>
            <w:pPr>
              <w:pStyle w:val="12"/>
            </w:pPr>
            <w:r>
              <w:t>15.93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2.65</w:t>
            </w:r>
          </w:p>
        </w:tc>
        <w:tc>
          <w:tcPr>
            <w:tcW w:w="2551" w:type="dxa"/>
            <w:vAlign w:val="center"/>
          </w:tcPr>
          <w:p>
            <w:pPr>
              <w:pStyle w:val="12"/>
            </w:pPr>
            <w:r>
              <w:t>2.65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114.17</w:t>
            </w:r>
          </w:p>
        </w:tc>
        <w:tc>
          <w:tcPr>
            <w:tcW w:w="2551" w:type="dxa"/>
            <w:vAlign w:val="center"/>
          </w:tcPr>
          <w:p>
            <w:pPr>
              <w:pStyle w:val="16"/>
            </w:pPr>
            <w:r>
              <w:t>106.67</w:t>
            </w:r>
          </w:p>
        </w:tc>
        <w:tc>
          <w:tcPr>
            <w:tcW w:w="2551"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106.67</w:t>
            </w:r>
          </w:p>
        </w:tc>
        <w:tc>
          <w:tcPr>
            <w:tcW w:w="2551" w:type="dxa"/>
            <w:vAlign w:val="center"/>
          </w:tcPr>
          <w:p>
            <w:pPr>
              <w:pStyle w:val="12"/>
            </w:pPr>
            <w:r>
              <w:t>106.67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37.33</w:t>
            </w:r>
          </w:p>
        </w:tc>
        <w:tc>
          <w:tcPr>
            <w:tcW w:w="2551" w:type="dxa"/>
            <w:vAlign w:val="center"/>
          </w:tcPr>
          <w:p>
            <w:pPr>
              <w:pStyle w:val="12"/>
            </w:pPr>
            <w:r>
              <w:t>37.33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7.20</w:t>
            </w:r>
          </w:p>
        </w:tc>
        <w:tc>
          <w:tcPr>
            <w:tcW w:w="2551" w:type="dxa"/>
            <w:vAlign w:val="center"/>
          </w:tcPr>
          <w:p>
            <w:pPr>
              <w:pStyle w:val="12"/>
            </w:pPr>
            <w:r>
              <w:t>7.20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5.60</w:t>
            </w:r>
          </w:p>
        </w:tc>
        <w:tc>
          <w:tcPr>
            <w:tcW w:w="2551" w:type="dxa"/>
            <w:vAlign w:val="center"/>
          </w:tcPr>
          <w:p>
            <w:pPr>
              <w:pStyle w:val="12"/>
            </w:pPr>
            <w:r>
              <w:t>5.60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29.11</w:t>
            </w:r>
          </w:p>
        </w:tc>
        <w:tc>
          <w:tcPr>
            <w:tcW w:w="2551" w:type="dxa"/>
            <w:vAlign w:val="center"/>
          </w:tcPr>
          <w:p>
            <w:pPr>
              <w:pStyle w:val="12"/>
            </w:pPr>
            <w:r>
              <w:t>29.11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15.93</w:t>
            </w:r>
          </w:p>
        </w:tc>
        <w:tc>
          <w:tcPr>
            <w:tcW w:w="2551" w:type="dxa"/>
            <w:vAlign w:val="center"/>
          </w:tcPr>
          <w:p>
            <w:pPr>
              <w:pStyle w:val="12"/>
            </w:pPr>
            <w:r>
              <w:t>15.93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2.65</w:t>
            </w:r>
          </w:p>
        </w:tc>
        <w:tc>
          <w:tcPr>
            <w:tcW w:w="2551" w:type="dxa"/>
            <w:vAlign w:val="center"/>
          </w:tcPr>
          <w:p>
            <w:pPr>
              <w:pStyle w:val="12"/>
            </w:pPr>
            <w:r>
              <w:t>2.65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7.68</w:t>
            </w:r>
          </w:p>
        </w:tc>
        <w:tc>
          <w:tcPr>
            <w:tcW w:w="2551" w:type="dxa"/>
            <w:vAlign w:val="center"/>
          </w:tcPr>
          <w:p>
            <w:pPr>
              <w:pStyle w:val="12"/>
            </w:pPr>
            <w:r>
              <w:t>7.68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1.15</w:t>
            </w:r>
          </w:p>
        </w:tc>
        <w:tc>
          <w:tcPr>
            <w:tcW w:w="2551" w:type="dxa"/>
            <w:vAlign w:val="center"/>
          </w:tcPr>
          <w:p>
            <w:pPr>
              <w:pStyle w:val="12"/>
            </w:pPr>
            <w:r>
              <w:t>1.15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3.00</w:t>
            </w:r>
          </w:p>
        </w:tc>
        <w:tc>
          <w:tcPr>
            <w:tcW w:w="1643" w:type="dxa"/>
            <w:vAlign w:val="center"/>
          </w:tcPr>
          <w:p>
            <w:pPr>
              <w:pStyle w:val="16"/>
            </w:pPr>
            <w:r>
              <w:t>3.00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无极县政府投资项目代建中心2024年部门预算信息公开情况说明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无极县政府投资项目代建中心2024年部门预算信息公开情况说明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按照《中华人民共和国预算法》、《地方预决算公开操作规程》和《关于进一步推进预算公开工作的实施意见》规定，现将无极县政府投资项目代建中心2024年部门预算公开如下：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rPr>
          <w:rFonts w:hint="eastAsia" w:ascii="Times New Roman" w:hAnsi="Times New Roman" w:eastAsia="方正仿宋_GBK" w:cs="Times New Roman"/>
          <w:color w:val="000000"/>
          <w:sz w:val="28"/>
          <w:szCs w:val="24"/>
          <w:lang w:val="en-US" w:eastAsia="uk-UA" w:bidi="ar-SA"/>
        </w:rPr>
        <w:t>组织施工图设计及审查、预算编制；组织开展工程勘察、设计、监理、施工招标工作；负责项目资金拨付工作；负责项目实施过程管理；项目竣工后按规定报审计进行结算和决算审计；项目完成后与委建单位进行移交工作:县委、县政府交办的其他代建事项。</w:t>
      </w:r>
      <w:r>
        <w:rPr>
          <w:rFonts w:hint="eastAsia" w:ascii="宋体" w:hAnsi="宋体" w:eastAsia="宋体" w:cs="宋体"/>
          <w:b w:val="0"/>
          <w:bCs w:val="0"/>
          <w:i w:val="0"/>
          <w:iCs w:val="0"/>
          <w:caps w:val="0"/>
          <w:color w:val="000000"/>
          <w:spacing w:val="0"/>
          <w:sz w:val="32"/>
          <w:szCs w:val="32"/>
        </w:rPr>
        <w:t> </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无极县政府投资项目代建中心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rPr>
          <w:rFonts w:hint="eastAsia"/>
        </w:rPr>
        <w:t xml:space="preserve"> 按照预算管理有关规定，目前部门预算的编制实行综合预算管理，即全部收入和支出都反映在预算中。 无极县政府投资项目代建中心机关及所属事业单位的收支包含在部门预算中</w:t>
      </w:r>
      <w:r>
        <w:t>。</w:t>
      </w:r>
    </w:p>
    <w:p>
      <w:pPr>
        <w:pStyle w:val="19"/>
      </w:pPr>
      <w:r>
        <w:t>1.收入说明</w:t>
      </w:r>
    </w:p>
    <w:p>
      <w:pPr>
        <w:pStyle w:val="19"/>
        <w:rPr>
          <w:rFonts w:hint="eastAsia" w:eastAsia="方正仿宋_GBK"/>
          <w:lang w:eastAsia="zh-CN"/>
        </w:rPr>
      </w:pPr>
      <w:r>
        <w:rPr>
          <w:rFonts w:hint="eastAsia"/>
        </w:rPr>
        <w:t>反映本部门当年全部收入。2024年预算收入114.17万元，其中：一般公共预算收入114.17万元，基金预算收入0.00万元， 国有资本经营预算收入0.00万元，财政专户核拨收入0.00万元，单位资金收入0.00万元，上年结转结余0.00万元</w:t>
      </w:r>
      <w:r>
        <w:rPr>
          <w:rFonts w:hint="eastAsia"/>
          <w:lang w:eastAsia="zh-CN"/>
        </w:rPr>
        <w:t>。</w:t>
      </w:r>
    </w:p>
    <w:p>
      <w:pPr>
        <w:pStyle w:val="19"/>
      </w:pPr>
      <w:r>
        <w:t>2.支出说明</w:t>
      </w:r>
    </w:p>
    <w:p>
      <w:pPr>
        <w:pStyle w:val="26"/>
        <w:rPr>
          <w:rFonts w:hint="eastAsia" w:eastAsia="方正仿宋_GBK"/>
          <w:lang w:eastAsia="zh-CN"/>
        </w:rPr>
      </w:pPr>
      <w:r>
        <w:rPr>
          <w:rFonts w:hint="eastAsia"/>
        </w:rPr>
        <w:t xml:space="preserve"> 收支预算总表支出栏、基本支出表、项目支出表按经济分类和支出功能分类科目编制，反映无极县政府投资项目代建中心年度部门预算中支出预算的总体情况。 2024年支出预算114.17万元，其中基本支出114.17万元，包括人员经费106.67万元和日常公用经费7.50万元；项目支出0.00万元</w:t>
      </w:r>
      <w:r>
        <w:rPr>
          <w:rFonts w:hint="eastAsia"/>
          <w:lang w:eastAsia="zh-CN"/>
        </w:rPr>
        <w:t>。</w:t>
      </w:r>
    </w:p>
    <w:p>
      <w:pPr>
        <w:pStyle w:val="26"/>
      </w:pPr>
      <w:r>
        <w:t>3、比上年增减情况</w:t>
      </w:r>
    </w:p>
    <w:p>
      <w:pPr>
        <w:pStyle w:val="26"/>
        <w:rPr>
          <w:rFonts w:hint="eastAsia" w:eastAsia="方正仿宋_GBK"/>
          <w:highlight w:val="yellow"/>
          <w:lang w:eastAsia="zh-CN"/>
        </w:rPr>
      </w:pPr>
      <w:r>
        <w:t>2024年预算收支安排114.17万元，</w:t>
      </w:r>
      <w:r>
        <w:rPr>
          <w:rFonts w:hint="eastAsia"/>
        </w:rPr>
        <w:t>较2023年预算减少88.39万元， 其中：基本支出减少88.39万</w:t>
      </w:r>
      <w:r>
        <w:rPr>
          <w:rFonts w:hint="eastAsia"/>
          <w:highlight w:val="none"/>
        </w:rPr>
        <w:t>元，</w:t>
      </w:r>
      <w:r>
        <w:rPr>
          <w:highlight w:val="none"/>
        </w:rPr>
        <w:t>主要为</w:t>
      </w:r>
      <w:r>
        <w:rPr>
          <w:rFonts w:hint="eastAsia"/>
          <w:highlight w:val="none"/>
          <w:lang w:eastAsia="zh-CN"/>
        </w:rPr>
        <w:t>本部门为新成立部门，故上年预算预计新增人员较多，预算收支较高，本年预算依照现有人数统计，收支安排预算有所减少。</w:t>
      </w:r>
    </w:p>
    <w:p>
      <w:pPr>
        <w:pStyle w:val="19"/>
        <w:ind w:left="0" w:leftChars="0" w:firstLine="0" w:firstLineChars="0"/>
        <w:rPr>
          <w:rFonts w:hint="default"/>
          <w:highlight w:val="yellow"/>
          <w:lang w:val="en-US" w:eastAsia="zh-CN"/>
        </w:rPr>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w:t>
      </w:r>
      <w:r>
        <w:rPr>
          <w:rFonts w:hint="eastAsia"/>
          <w:lang w:eastAsia="zh-CN"/>
        </w:rPr>
        <w:t>，我部门</w:t>
      </w:r>
      <w:r>
        <w:t>机关运行经费共计安排7.5万元，主要用于日常办公，办公区水电费、日常维修等日常运行支出。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2024年，我部门财政拨款“三公”经费预算安排3万元，其中：因公出国（境）费0万元；公务用车购置及运行维护费3万元（其中：公务用车购置费0万元，公务用车运行维护费3万元）</w:t>
      </w:r>
      <w:r>
        <w:rPr>
          <w:rFonts w:hint="eastAsia"/>
          <w:lang w:eastAsia="zh-CN"/>
        </w:rPr>
        <w:t>；</w:t>
      </w:r>
      <w:r>
        <w:t>其中公务接待费0万元</w:t>
      </w:r>
      <w:r>
        <w:rPr>
          <w:rFonts w:hint="eastAsia"/>
          <w:lang w:eastAsia="zh-CN"/>
        </w:rPr>
        <w:t>。与2023年相比增加3.00万元，主要原因是严格按照公务用车相关制度执行，厉行节约，未安排</w:t>
      </w:r>
      <w:r>
        <w:t>因公出国（境）费</w:t>
      </w:r>
      <w:r>
        <w:rPr>
          <w:rFonts w:hint="eastAsia"/>
          <w:lang w:eastAsia="zh-CN"/>
        </w:rPr>
        <w:t>和</w:t>
      </w:r>
      <w:r>
        <w:t>公务接待费</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代建中心成立以来，在县委、县政府的正确领导下，围绕全县发展大局，立足自身职能，解放思想，担当实干，牢牢抓住“项目建设”中心任务，全力以赴保安全、保质量、保进度、保廉洁、控资金，较为圆满的完成了各项目标任务。一是强化培训，提升业务能力。采取邀请专家专题讲座、业务骨干讲课等形式，定期组织干部职工学习政府采购、工程造价、施工管理等方面知识，提高人员业务水平，尽快成为分管工作的行家里手。二是完善制度，加强监督管理。聚焦资金拨付、招标采购、造价控制、施工管理等关键环节，健全完善代建管理制度，构建科学规范高效的代建管理机制，实现代建项目管理制度化、科学化、规范化。三是主动作为，提速项目建设。推行“现场工作法”，紧盯任务目标，倒排工期，挂图作战，周调度、月汇总，现场解决难题，在保证安全和质量的前提下，通过合理合规穿插建设程序，优化施工方案、协调交叉作业等，缩短建设工期，提高建设效率，确保把项目建设成为“安全保得住、质量靠得住、进度把得住、廉政守得住、投资控得住”的标杆工程。</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是牢固树立安全生产理念。坚持“安全第一、预防为主、管控结合”的原则，狠抓工程施工现场安全管理，定期组织召开安全生产会议，不定期开展安全生产隐患排查整治活动，对检查出的安全隐患问题要求立即整改，对不能立即整改的，明确整改措施和时限，确保施工安全。二是严把工程质量关。牢固树立“精品”意识，层层落实工程质量管理责任制，通过加强日常巡查，要求施工单位严格按图施工，切实保障工程质量全面达标。三是千方百计加快项目进度。2023年代建中心承担8个工程建设项目，总投资4.13亿元，其中，已完工项目3个，在建项目2个，未开工项目2个，前期准备项目1个。2024年继续牢固树立“项目为王”理念，依靠科学管理，缩短建设工期，提高建设效率，确保工程按时间节点推进。</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2024年我</w:t>
      </w:r>
      <w:r>
        <w:rPr>
          <w:rFonts w:hint="eastAsia"/>
          <w:lang w:eastAsia="zh-CN"/>
        </w:rPr>
        <w:t>部门</w:t>
      </w:r>
      <w:r>
        <w:t>将坚持</w:t>
      </w:r>
      <w:r>
        <w:rPr>
          <w:rFonts w:hint="eastAsia"/>
          <w:lang w:eastAsia="zh-CN"/>
        </w:rPr>
        <w:t>以党的二十大精神</w:t>
      </w:r>
      <w:r>
        <w:t>为指导，认真学习贯彻上级重要指示精神，按照县委、县政府的工作部署，稳中求进，改革创新，强化工作举措，努力完成各项工作目标任务。工作保障措施如下：</w:t>
      </w:r>
    </w:p>
    <w:p>
      <w:pPr>
        <w:pStyle w:val="24"/>
      </w:pPr>
      <w:r>
        <w:t>1、完善制度。</w:t>
      </w:r>
    </w:p>
    <w:p>
      <w:pPr>
        <w:pStyle w:val="24"/>
      </w:pPr>
      <w:r>
        <w:t>完善我</w:t>
      </w:r>
      <w:r>
        <w:rPr>
          <w:rFonts w:hint="eastAsia"/>
          <w:lang w:eastAsia="zh-CN"/>
        </w:rPr>
        <w:t>部门</w:t>
      </w:r>
      <w:r>
        <w:t>的财务管理制度，将预算绩效管理纳入我</w:t>
      </w:r>
      <w:r>
        <w:rPr>
          <w:rFonts w:hint="eastAsia"/>
          <w:lang w:eastAsia="zh-CN"/>
        </w:rPr>
        <w:t>部门</w:t>
      </w:r>
      <w:r>
        <w:t>的财务管理制度，对于未达到预算绩效目标的不得进行资金支付。健全项目管理制度，明确保障措施、实现途径和工作程序，对项目执行各个阶段进行有效管理和目标控制，为实现项目绩效目标提供保障。</w:t>
      </w:r>
    </w:p>
    <w:p>
      <w:pPr>
        <w:pStyle w:val="24"/>
      </w:pPr>
      <w:r>
        <w:t>2、加强支出管理</w:t>
      </w:r>
    </w:p>
    <w:p>
      <w:pPr>
        <w:pStyle w:val="24"/>
      </w:pPr>
      <w:r>
        <w:t>优化支出结构、编细编实预算、及时完成资金支付确保支出进度达标。</w:t>
      </w:r>
    </w:p>
    <w:p>
      <w:pPr>
        <w:pStyle w:val="24"/>
      </w:pPr>
      <w:r>
        <w:t xml:space="preserve">3、加强绩效运行监控。  </w:t>
      </w:r>
    </w:p>
    <w:p>
      <w:pPr>
        <w:pStyle w:val="24"/>
      </w:pPr>
      <w:r>
        <w:t>对项目支出的相关内容和目标完成情况进行监控，及时纠正绩效运行偏差，促进项目绩效目标实现的管理活动。汇总分析和对照检查项目绩效信息，及时采取措施纠正预算执行环节中出现的问题，促进预算绩效目标实现。项目管理部门协同完善项目绩效管理机制，将预算编制、预算调整、进度管理、资金支付、资产管理等环节的管理要求与项目绩效管理有机结合，以项目绩效管理为纽带，对资金运行的全过程实施监管。</w:t>
      </w:r>
    </w:p>
    <w:p>
      <w:pPr>
        <w:pStyle w:val="24"/>
      </w:pPr>
      <w:r>
        <w:t>4、做好绩效自评。</w:t>
      </w:r>
    </w:p>
    <w:p>
      <w:pPr>
        <w:pStyle w:val="24"/>
      </w:pPr>
      <w:r>
        <w:t>各项具体指标的牵头科室、所要注重年度发展规划目标管理工作的过程监控，要按照工作计划，时间节点安排，有计划有顺序稳步推进实施，杜绝工作突击。</w:t>
      </w:r>
    </w:p>
    <w:p>
      <w:pPr>
        <w:pStyle w:val="24"/>
      </w:pPr>
      <w:r>
        <w:t>5、规范财务资产管理。</w:t>
      </w:r>
    </w:p>
    <w:p>
      <w:pPr>
        <w:pStyle w:val="24"/>
      </w:pPr>
      <w:r>
        <w:t>完善财务管理制度，严格审批程序，加强资金使用、完善项目管理状况。加强固定资产登记、使用和报废处置管理，做到支出合理，物尽其用。</w:t>
      </w:r>
    </w:p>
    <w:p>
      <w:pPr>
        <w:pStyle w:val="24"/>
      </w:pPr>
      <w:r>
        <w:t>6、加强内部监督。</w:t>
      </w:r>
    </w:p>
    <w:p>
      <w:pPr>
        <w:pStyle w:val="24"/>
      </w:pPr>
      <w:r>
        <w:t>加强内部监督制度建设，对绩效运行情况、重大支出决策及对外投资、资产处置及其他重要经济业务事项的决策和执行进行督导，对会计资料进行内部审计，并配合做好审计、财政监督等外部监督工作，确保财政资金安全有效。加强预算绩效信息公开，以提高资金使用的透明度。</w:t>
      </w:r>
    </w:p>
    <w:p>
      <w:pPr>
        <w:pStyle w:val="24"/>
      </w:pPr>
      <w:r>
        <w:t>7、加强宣传培训调研等。</w:t>
      </w:r>
    </w:p>
    <w:p>
      <w:pPr>
        <w:pStyle w:val="24"/>
      </w:pPr>
      <w:r>
        <w:t>加强人员培训，增强预算绩效管理人员及项目管理人员的业务素质；加强调研，及时总结好的经验，提出优化财政资金配置、提高资金使用效益的意见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无极县政府投资项目代建中心（含所属单位）上年末固定资产金额为24.35万元（详见下表）。本年度拟购置固定资产总额为1.00万元，已按要求列入政府采购预算，详见政府采购预算表。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119</w:t>
            </w:r>
          </w:p>
        </w:tc>
        <w:tc>
          <w:tcPr>
            <w:tcW w:w="2835" w:type="dxa"/>
            <w:vAlign w:val="center"/>
          </w:tcPr>
          <w:p>
            <w:pPr>
              <w:pStyle w:val="12"/>
            </w:pPr>
            <w:r>
              <w:t>14.99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7B3DC1"/>
    <w:multiLevelType w:val="singleLevel"/>
    <w:tmpl w:val="317B3DC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Q0OTAyZmI3MmIyMmRiMmY0ODljYzI2NDFmNzU5YjMifQ=="/>
  </w:docVars>
  <w:rsids>
    <w:rsidRoot w:val="00000000"/>
    <w:rsid w:val="047C599F"/>
    <w:rsid w:val="0BCB02ED"/>
    <w:rsid w:val="0C830F61"/>
    <w:rsid w:val="0EB827B5"/>
    <w:rsid w:val="116E2B13"/>
    <w:rsid w:val="129E1E00"/>
    <w:rsid w:val="144D0B5D"/>
    <w:rsid w:val="1DE46678"/>
    <w:rsid w:val="1F105749"/>
    <w:rsid w:val="27F30B19"/>
    <w:rsid w:val="2B683AD2"/>
    <w:rsid w:val="32C56DD8"/>
    <w:rsid w:val="3B7D6FA7"/>
    <w:rsid w:val="40F1732B"/>
    <w:rsid w:val="417134FB"/>
    <w:rsid w:val="42297D13"/>
    <w:rsid w:val="483E7E42"/>
    <w:rsid w:val="55750F41"/>
    <w:rsid w:val="5E6F6E29"/>
    <w:rsid w:val="60D62EED"/>
    <w:rsid w:val="64B06192"/>
    <w:rsid w:val="6B5F2596"/>
    <w:rsid w:val="6FE3639E"/>
    <w:rsid w:val="730664E4"/>
    <w:rsid w:val="74860944"/>
    <w:rsid w:val="79D1396A"/>
    <w:rsid w:val="79F93312"/>
    <w:rsid w:val="7B49295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2024-01-30T10:17:01Z</dcterms:created>
  <dcterms:modified xsi:type="dcterms:W3CDTF">2024-01-30T02:17:00Z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2024-01-30T10:17:00Z</dcterms:created>
  <dcterms:modified xsi:type="dcterms:W3CDTF">2024-01-30T02:17:00Z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2024-01-30T10:17:00Z</dcterms:created>
  <dcterms:modified xsi:type="dcterms:W3CDTF">2024-01-30T02:17:00Z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2024-01-30T10:17:00Z</dcterms:created>
  <dcterms:modified xsi:type="dcterms:W3CDTF">2024-01-30T02:17:00Z</dcterms:modified>
</cp:coreProperties>
</file>

<file path=customXml/itemProps1.xml><?xml version="1.0" encoding="utf-8"?>
<ds:datastoreItem xmlns:ds="http://schemas.openxmlformats.org/officeDocument/2006/customXml" ds:itemID="{7f52f20d-f627-4060-a610-48cf24bc9eac}">
  <ds:schemaRefs/>
</ds:datastoreItem>
</file>

<file path=customXml/itemProps2.xml><?xml version="1.0" encoding="utf-8"?>
<ds:datastoreItem xmlns:ds="http://schemas.openxmlformats.org/officeDocument/2006/customXml" ds:itemID="{240637bd-8ce4-4ad9-8ef6-b8ace0bf8064}">
  <ds:schemaRefs/>
</ds:datastoreItem>
</file>

<file path=customXml/itemProps3.xml><?xml version="1.0" encoding="utf-8"?>
<ds:datastoreItem xmlns:ds="http://schemas.openxmlformats.org/officeDocument/2006/customXml" ds:itemID="{06b11260-2c31-4db3-8764-de81d8c529e1}">
  <ds:schemaRefs/>
</ds:datastoreItem>
</file>

<file path=customXml/itemProps4.xml><?xml version="1.0" encoding="utf-8"?>
<ds:datastoreItem xmlns:ds="http://schemas.openxmlformats.org/officeDocument/2006/customXml" ds:itemID="{f4d2c467-5b03-4335-bacb-ca5637519f50}">
  <ds:schemaRefs/>
</ds:datastoreItem>
</file>

<file path=customXml/itemProps5.xml><?xml version="1.0" encoding="utf-8"?>
<ds:datastoreItem xmlns:ds="http://schemas.openxmlformats.org/officeDocument/2006/customXml" ds:itemID="{ccda62ef-e43d-45b3-9cde-3509bd5b02b8}">
  <ds:schemaRefs/>
</ds:datastoreItem>
</file>

<file path=customXml/itemProps6.xml><?xml version="1.0" encoding="utf-8"?>
<ds:datastoreItem xmlns:ds="http://schemas.openxmlformats.org/officeDocument/2006/customXml" ds:itemID="{945361ca-d95d-46a8-869c-12a1b0ddf813}">
  <ds:schemaRefs/>
</ds:datastoreItem>
</file>

<file path=customXml/itemProps7.xml><?xml version="1.0" encoding="utf-8"?>
<ds:datastoreItem xmlns:ds="http://schemas.openxmlformats.org/officeDocument/2006/customXml" ds:itemID="{6838f39c-68c1-4387-b9d4-d7fd3cf8a3f6}">
  <ds:schemaRefs/>
</ds:datastoreItem>
</file>

<file path=customXml/itemProps8.xml><?xml version="1.0" encoding="utf-8"?>
<ds:datastoreItem xmlns:ds="http://schemas.openxmlformats.org/officeDocument/2006/customXml" ds:itemID="{93804cba-4a49-4ae6-be5e-11253b5470dd}">
  <ds:schemaRefs/>
</ds:datastoreItem>
</file>

<file path=docProps/app.xml><?xml version="1.0" encoding="utf-8"?>
<Properties xmlns="http://schemas.openxmlformats.org/officeDocument/2006/extended-properties" xmlns:vt="http://schemas.openxmlformats.org/officeDocument/2006/docPropsVTypes">
  <Pages>35</Pages>
  <Words>6268</Words>
  <Characters>7044</Characters>
  <TotalTime>12</TotalTime>
  <ScaleCrop>false</ScaleCrop>
  <LinksUpToDate>false</LinksUpToDate>
  <CharactersWithSpaces>7171</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2024-01-30T10:17:00Z</dcterms:created>
  <dc:creator>lenovo</dc:creator>
  <cp:lastModifiedBy>Administrator</cp:lastModifiedBy>
  <dcterms:modified xsi:type="dcterms:W3CDTF">2024-02-26T08:26:53Z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B6DA4475532C42168433B0928050C038</vt:lpwstr>
  </property>
</Properties>
</file>