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无极县妇女联合会</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widowControl/>
        <w:spacing w:after="0" w:line="600" w:lineRule="exact"/>
        <w:ind w:firstLine="640" w:firstLineChars="200"/>
        <w:jc w:val="left"/>
        <w:rPr>
          <w:rFonts w:ascii="楷体_GB2312" w:hAnsi="楷体" w:eastAsia="楷体_GB2312" w:cs="楷体"/>
          <w:sz w:val="32"/>
          <w:szCs w:val="32"/>
          <w:highlight w:val="yellow"/>
        </w:rPr>
      </w:pPr>
    </w:p>
    <w:p>
      <w:pPr>
        <w:spacing w:before="624"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numPr>
          <w:ilvl w:val="0"/>
          <w:numId w:val="1"/>
        </w:numPr>
        <w:spacing w:line="580" w:lineRule="exact"/>
        <w:ind w:firstLine="1273" w:firstLineChars="398"/>
        <w:rPr>
          <w:rFonts w:eastAsia="仿宋_GB2312"/>
          <w:sz w:val="32"/>
          <w:szCs w:val="32"/>
        </w:rPr>
      </w:pPr>
      <w:r>
        <w:rPr>
          <w:rFonts w:eastAsia="仿宋_GB2312"/>
          <w:sz w:val="32"/>
          <w:szCs w:val="32"/>
        </w:rPr>
        <w:t>部门</w:t>
      </w:r>
      <w:r>
        <w:rPr>
          <w:rFonts w:hint="eastAsia" w:eastAsia="仿宋_GB2312"/>
          <w:sz w:val="32"/>
          <w:szCs w:val="32"/>
        </w:rPr>
        <w:t>职责</w:t>
      </w:r>
    </w:p>
    <w:p>
      <w:pPr>
        <w:widowControl/>
        <w:spacing w:line="580" w:lineRule="exact"/>
        <w:ind w:firstLine="1280" w:firstLineChars="400"/>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妇联</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无极县妇女联合会是党领导下的全县各界妇女的群众团体组织，是党和政府联系群众的桥梁和纽带，国家政权的重要社会制度之一。其主要职责是维护妇女和儿童合法权益，带领全县妇女为建设富裕、文明、生态、和谐的新无极再新功。</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1、向妇女群众宣传贯彻党的路线方针和政策，教育妇女要自尊、自立、自信、自强。</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2、向社会宣传有关维护妇女儿童的法律政策，参加社会治安综合治理。</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3、积极推进妇女儿童发展规划的实施。</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4、实施困境妇女儿童帮扶行动。    </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5、鼓励全县妇女积极参加巾帼现代农业科技示范基地建设。</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6、带领全县妇女开展“美丽庭院”及“妇女之家”创建，加强基层妇联组织建设。</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7、向全县妇女宣传“两癌”预防知识。</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无极县妇女联合会</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81.83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81.83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81.83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81.83</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81.83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81.83</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color w:val="000000"/>
                <w:szCs w:val="21"/>
              </w:rPr>
              <w:t>81.83</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color w:val="000000"/>
                <w:szCs w:val="21"/>
              </w:rPr>
              <w:t>81.83</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81.83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81.83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群众团体事务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81.83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81.83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80.83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80.83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color w:val="000000"/>
                <w:szCs w:val="21"/>
              </w:rPr>
              <w:t>81.83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75.23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6.60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75.23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群众团体事务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75.23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74.23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81.83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81.83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75.23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群众团体事务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tbl>
            <w:tblPr>
              <w:tblStyle w:val="12"/>
              <w:tblW w:w="1920" w:type="dxa"/>
              <w:tblInd w:w="0" w:type="dxa"/>
              <w:tblLayout w:type="fixed"/>
              <w:tblCellMar>
                <w:top w:w="0" w:type="dxa"/>
                <w:left w:w="0" w:type="dxa"/>
                <w:bottom w:w="0" w:type="dxa"/>
                <w:right w:w="0" w:type="dxa"/>
              </w:tblCellMar>
            </w:tblPr>
            <w:tblGrid>
              <w:gridCol w:w="1920"/>
            </w:tblGrid>
            <w:tr>
              <w:tblPrEx>
                <w:tblCellMar>
                  <w:top w:w="0" w:type="dxa"/>
                  <w:left w:w="0" w:type="dxa"/>
                  <w:bottom w:w="0" w:type="dxa"/>
                  <w:right w:w="0" w:type="dxa"/>
                </w:tblCellMar>
              </w:tblPrEx>
              <w:trPr>
                <w:trHeight w:val="368" w:hRule="atLeast"/>
              </w:trPr>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6.60</w:t>
                  </w:r>
                </w:p>
              </w:tc>
            </w:tr>
          </w:tbl>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tbl>
            <w:tblPr>
              <w:tblStyle w:val="12"/>
              <w:tblW w:w="1920" w:type="dxa"/>
              <w:tblInd w:w="0" w:type="dxa"/>
              <w:tblLayout w:type="fixed"/>
              <w:tblCellMar>
                <w:top w:w="0" w:type="dxa"/>
                <w:left w:w="0" w:type="dxa"/>
                <w:bottom w:w="0" w:type="dxa"/>
                <w:right w:w="0" w:type="dxa"/>
              </w:tblCellMar>
            </w:tblPr>
            <w:tblGrid>
              <w:gridCol w:w="1920"/>
            </w:tblGrid>
            <w:tr>
              <w:tblPrEx>
                <w:tblCellMar>
                  <w:top w:w="0" w:type="dxa"/>
                  <w:left w:w="0" w:type="dxa"/>
                  <w:bottom w:w="0" w:type="dxa"/>
                  <w:right w:w="0" w:type="dxa"/>
                </w:tblCellMar>
              </w:tblPrEx>
              <w:trPr>
                <w:trHeight w:val="368" w:hRule="atLeast"/>
              </w:trPr>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6.60</w:t>
                  </w:r>
                </w:p>
              </w:tc>
            </w:tr>
          </w:tbl>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2012902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tbl>
            <w:tblPr>
              <w:tblStyle w:val="12"/>
              <w:tblW w:w="1920" w:type="dxa"/>
              <w:tblInd w:w="0" w:type="dxa"/>
              <w:tblLayout w:type="fixed"/>
              <w:tblCellMar>
                <w:top w:w="0" w:type="dxa"/>
                <w:left w:w="0" w:type="dxa"/>
                <w:bottom w:w="0" w:type="dxa"/>
                <w:right w:w="0" w:type="dxa"/>
              </w:tblCellMar>
            </w:tblPr>
            <w:tblGrid>
              <w:gridCol w:w="1920"/>
            </w:tblGrid>
            <w:tr>
              <w:tblPrEx>
                <w:tblCellMar>
                  <w:top w:w="0" w:type="dxa"/>
                  <w:left w:w="0" w:type="dxa"/>
                  <w:bottom w:w="0" w:type="dxa"/>
                  <w:right w:w="0" w:type="dxa"/>
                </w:tblCellMar>
              </w:tblPrEx>
              <w:trPr>
                <w:trHeight w:val="368" w:hRule="atLeast"/>
              </w:trPr>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6.60</w:t>
                  </w:r>
                </w:p>
              </w:tc>
            </w:tr>
          </w:tbl>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37.64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22.17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21.21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8.64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10.86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9.46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5.57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15.42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12.93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0.84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53.06</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22.17</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r>
              <w:rPr>
                <w:rFonts w:hint="eastAsia" w:ascii="宋体" w:hAnsi="宋体" w:cs="宋体"/>
                <w:color w:val="000000"/>
                <w:kern w:val="0"/>
                <w:sz w:val="22"/>
                <w:szCs w:val="2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r>
              <w:rPr>
                <w:rFonts w:hint="eastAsia" w:ascii="宋体" w:hAnsi="宋体" w:cs="宋体"/>
                <w:color w:val="000000"/>
                <w:kern w:val="0"/>
                <w:sz w:val="22"/>
                <w:szCs w:val="2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r>
              <w:rPr>
                <w:rFonts w:hint="eastAsia" w:ascii="宋体" w:hAnsi="宋体" w:cs="宋体"/>
                <w:color w:val="000000"/>
                <w:kern w:val="0"/>
                <w:sz w:val="22"/>
                <w:szCs w:val="2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本部门2018年度收支总计（含结转和结余）81.83万元。与2017年度决算相比，收入减少8.36万元，下降27%，主要原因是上级拨款减少；支出减少8.43万元，下降34%，主要原因是上级拨款减少。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本部门2018年度本年收入合计81.83万元，其中：财政拨款收入81.83万元，占100%；事业收入0万元，占0%；经营收入0万元，占0%；其他收入0万元，占0%。如图所示：</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3" w:firstLineChars="200"/>
        <w:rPr>
          <w:rFonts w:ascii="黑体" w:eastAsia="黑体"/>
          <w:b w:val="0"/>
          <w:bCs w:val="0"/>
        </w:rPr>
      </w:pPr>
      <w:r>
        <w:drawing>
          <wp:anchor distT="0" distB="0" distL="114300" distR="114300" simplePos="0" relativeHeight="251670528" behindDoc="0" locked="0" layoutInCell="1" allowOverlap="1">
            <wp:simplePos x="0" y="0"/>
            <wp:positionH relativeFrom="column">
              <wp:posOffset>454025</wp:posOffset>
            </wp:positionH>
            <wp:positionV relativeFrom="paragraph">
              <wp:posOffset>-2539365</wp:posOffset>
            </wp:positionV>
            <wp:extent cx="4391025" cy="2724150"/>
            <wp:effectExtent l="47625" t="4445" r="57150" b="109855"/>
            <wp:wrapSquare wrapText="bothSides"/>
            <wp:docPr id="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本部门2018年度本年支出合计81.83万元，其中：基本支出75.23万元，占1.3%；项目支出6.6万元，占8.07%；经营支出0万元，占0%。如图所示：</w: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3" w:firstLineChars="200"/>
        <w:rPr>
          <w:rFonts w:ascii="黑体" w:eastAsia="黑体"/>
          <w:b w:val="0"/>
          <w:bCs w:val="0"/>
        </w:rPr>
      </w:pPr>
      <w:r>
        <w:drawing>
          <wp:anchor distT="0" distB="0" distL="114300" distR="114300" simplePos="0" relativeHeight="251671552" behindDoc="0" locked="0" layoutInCell="1" allowOverlap="1">
            <wp:simplePos x="0" y="0"/>
            <wp:positionH relativeFrom="column">
              <wp:posOffset>454025</wp:posOffset>
            </wp:positionH>
            <wp:positionV relativeFrom="paragraph">
              <wp:posOffset>-2501265</wp:posOffset>
            </wp:positionV>
            <wp:extent cx="4219575" cy="2686050"/>
            <wp:effectExtent l="57150" t="0" r="47625" b="76200"/>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 xml:space="preserve"> 年度</w:t>
      </w:r>
      <w:r>
        <w:rPr>
          <w:rFonts w:hint="eastAsia" w:cs="DengXian-Bold" w:asciiTheme="majorEastAsia" w:hAnsiTheme="majorEastAsia" w:eastAsiaTheme="majorEastAsia"/>
          <w:b/>
          <w:bCs/>
          <w:sz w:val="28"/>
          <w:szCs w:val="28"/>
        </w:rPr>
        <w:t>决算</w:t>
      </w:r>
      <w:r>
        <w:rPr>
          <w:rFonts w:hint="eastAsia" w:ascii="楷体_GB2312" w:eastAsia="楷体_GB2312" w:cs="DengXian-Bold"/>
          <w:b/>
          <w:bCs/>
          <w:sz w:val="32"/>
          <w:szCs w:val="32"/>
        </w:rPr>
        <w:t>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81.83万元,比2017年度减少8.36万元，降低27%，主要是上级拨款减少；本年支出81.83万元，减少8.43万元，降低34%，主要是上级拨款减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本部门2018年度财政拨款本年收入81.83万元,比2017年度减少8.36万元，降低27%，主要是上级拨款减少；本年支出81.83万元，减少8.43万元，降低34%，主要是上级拨款减少。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81.83万元，比上年减少8.83万元；主要是上级拨款减少；本年支出81.83万元，比上年减少8.43万元，降低34%，主要是上级拨款减少。政府性基金预算财政拨款本年收入0万元，比上年持平无增减变化；本年支出0万元，比上年持平无增减变化。</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72576" behindDoc="0" locked="0" layoutInCell="1" allowOverlap="1">
            <wp:simplePos x="0" y="0"/>
            <wp:positionH relativeFrom="column">
              <wp:posOffset>619125</wp:posOffset>
            </wp:positionH>
            <wp:positionV relativeFrom="paragraph">
              <wp:posOffset>168910</wp:posOffset>
            </wp:positionV>
            <wp:extent cx="4572000" cy="3067050"/>
            <wp:effectExtent l="47625" t="4445" r="47625" b="109855"/>
            <wp:wrapSquare wrapText="bothSides"/>
            <wp:docPr id="9"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w:t>
      </w:r>
      <w:r>
        <w:rPr>
          <w:rFonts w:hint="eastAsia" w:ascii="仿宋" w:hAnsi="仿宋" w:eastAsia="仿宋" w:cs="DengXian-Bold"/>
          <w:b/>
          <w:bCs/>
          <w:sz w:val="28"/>
          <w:szCs w:val="28"/>
        </w:rPr>
        <w:t>算数</w:t>
      </w:r>
      <w:r>
        <w:rPr>
          <w:rFonts w:hint="eastAsia" w:ascii="楷体_GB2312" w:eastAsia="楷体_GB2312" w:cs="DengXian-Bold"/>
          <w:b/>
          <w:bCs/>
          <w:sz w:val="32"/>
          <w:szCs w:val="32"/>
        </w:rPr>
        <w:t>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81.83万元，完成年初预算的140.82%,比年初预算增加23.72万元，决算数大于预算数主要原因是人员增加；本年支出81.83万元，完成年初预算的140.82%,比年初预算增加23.72万元，决算数大于预算数主要原因是主要是人员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81.83万元，完成年初预算140.82%，比年初预算增加23.72万元，主要是人员增加；支出81.83万元，完成年初预算140.82%，比年初预算增加23.72万元，主要是人员增加。政府性基金预算财政拨款本年收入0万元，完成年初预算100%，</w:t>
      </w:r>
      <w:r>
        <w:rPr>
          <w:rFonts w:hint="eastAsia" w:ascii="仿宋" w:hAnsi="仿宋" w:eastAsia="仿宋" w:cs="DengXian-Regular"/>
          <w:sz w:val="32"/>
          <w:szCs w:val="32"/>
        </w:rPr>
        <w:t>比年初预算持平无增减变化；</w:t>
      </w:r>
      <w:r>
        <w:rPr>
          <w:rFonts w:hint="eastAsia" w:ascii="仿宋_GB2312" w:eastAsia="仿宋_GB2312" w:cs="DengXian-Regular"/>
          <w:sz w:val="32"/>
          <w:szCs w:val="32"/>
        </w:rPr>
        <w:t>支出0万元，完成年初预算100%，比年初预算持平无增减变化。</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420" w:firstLineChars="200"/>
        <w:rPr>
          <w:rFonts w:ascii="仿宋_GB2312" w:eastAsia="仿宋_GB2312" w:cs="DengXian-Regular"/>
          <w:sz w:val="32"/>
          <w:szCs w:val="32"/>
          <w:highlight w:val="yellow"/>
        </w:rPr>
      </w:pPr>
      <w:r>
        <w:drawing>
          <wp:anchor distT="0" distB="0" distL="114300" distR="114300" simplePos="0" relativeHeight="251673600" behindDoc="0" locked="0" layoutInCell="1" allowOverlap="1">
            <wp:simplePos x="0" y="0"/>
            <wp:positionH relativeFrom="column">
              <wp:posOffset>504825</wp:posOffset>
            </wp:positionH>
            <wp:positionV relativeFrom="paragraph">
              <wp:posOffset>13335</wp:posOffset>
            </wp:positionV>
            <wp:extent cx="4572000" cy="3486150"/>
            <wp:effectExtent l="47625" t="4445" r="47625" b="109855"/>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年度财政拨款支出81.83万元，主要用于以下方面主要用于以下方面一般公共服务（类）支出81.83万元，占100%。</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74624" behindDoc="0" locked="0" layoutInCell="1" allowOverlap="1">
            <wp:simplePos x="0" y="0"/>
            <wp:positionH relativeFrom="column">
              <wp:posOffset>504825</wp:posOffset>
            </wp:positionH>
            <wp:positionV relativeFrom="paragraph">
              <wp:posOffset>127635</wp:posOffset>
            </wp:positionV>
            <wp:extent cx="4572000" cy="3400425"/>
            <wp:effectExtent l="57150" t="0" r="57150" b="66675"/>
            <wp:wrapSquare wrapText="bothSides"/>
            <wp:docPr id="1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年度一般公共预算财政拨款基本支出75.23万元，其中：人员经费 53.06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22.17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
          <w:bCs/>
          <w:sz w:val="32"/>
          <w:szCs w:val="32"/>
        </w:rPr>
        <w:t>较年初预算持平无增减变化，主要原因是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本部门2018年度因公出国（境）团组0个、共0人。因公出国（境）费支出较年初预算持平无增减变化。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本部门2018年度公务用车购置及运行维护费较年初预算持平无增减变化。</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本部门2018年度公务用车购置量0辆，未发生“公务用车购置”经费支出。公务用车购置费支出较年初预算持平无增减变化。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本部门2018年度公务接待共0批次、0人次。公务接待费支出较年初预算无增减变化。</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根据预算绩效管理要求，本单位组织对2017年度一般公共预算项目支出全面开展绩效自评，涉及提前下达2017年妇女工作市级专项资金6.6万。从评价情况看，评价结果为良好。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提前下达2017年妇女工作市级专项资金项目绩效自评：根据年初设定的绩效目标，提前下达2017年妇女工作市级专项资金项目绩效自评结果为良好。项目全年预算数为6.6万元，执行数为6.6万元，完成预算的100%。主要产出和效果是良好。</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本部门2018年度机关运行经费支出22.17万元，比年初预算数增加16.31万元，增长278.33%。主要原因是追加办公经费和人员公车补增加。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比上年持平无增减变化。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w:t>
      </w:r>
      <w:r>
        <w:rPr>
          <w:rFonts w:hint="eastAsia" w:ascii="仿宋" w:hAnsi="仿宋" w:eastAsia="仿宋" w:cs="DengXian-Regular"/>
          <w:sz w:val="32"/>
          <w:szCs w:val="32"/>
        </w:rPr>
        <w:t xml:space="preserve">比上年持平无增减变化 </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w:t>
      </w:r>
      <w:r>
        <w:rPr>
          <w:rFonts w:hint="eastAsia" w:ascii="仿宋" w:hAnsi="仿宋" w:eastAsia="仿宋" w:cs="DengXian-Regular"/>
          <w:sz w:val="32"/>
          <w:szCs w:val="32"/>
        </w:rPr>
        <w:t>比上年增加持平无增减变化</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spacing w:line="580" w:lineRule="exact"/>
        <w:ind w:firstLine="660"/>
        <w:rPr>
          <w:rFonts w:ascii="仿宋_GB2312" w:eastAsia="仿宋_GB2312" w:cs="DengXian-Regular"/>
          <w:sz w:val="32"/>
          <w:szCs w:val="32"/>
        </w:rPr>
      </w:pPr>
      <w:r>
        <w:rPr>
          <w:rFonts w:hint="eastAsia" w:ascii="仿宋_GB2312" w:eastAsia="仿宋_GB2312" w:cs="DengXian-Regular"/>
          <w:sz w:val="32"/>
          <w:szCs w:val="32"/>
        </w:rPr>
        <w:t>1、本部门2018年度政府性基金、国有资本经营、三公经费、政府采购无收支及结转结余情况，故政府性基金预算财政拨款收入支出决算表为空、国有资本经营预算财政拨款收入支出决算表为空、三公经费及相关信息统计表为空、政府采购情况表为空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688FCE4-C48F-4FE6-A71C-A50DE1F12F0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14E15098-B088-4428-80E8-71FE3C8D7CE5}"/>
  </w:font>
  <w:font w:name="Cambria">
    <w:panose1 w:val="02040503050406030204"/>
    <w:charset w:val="00"/>
    <w:family w:val="roman"/>
    <w:pitch w:val="default"/>
    <w:sig w:usb0="E00006FF" w:usb1="420024FF" w:usb2="02000000" w:usb3="00000000" w:csb0="2000019F" w:csb1="00000000"/>
    <w:embedRegular r:id="rId3" w:fontKey="{CD8DCBA4-0FE7-432B-B7EE-90D761E8AE52}"/>
  </w:font>
  <w:font w:name="楷体">
    <w:panose1 w:val="02010609060101010101"/>
    <w:charset w:val="86"/>
    <w:family w:val="modern"/>
    <w:pitch w:val="default"/>
    <w:sig w:usb0="800002BF" w:usb1="38CF7CFA" w:usb2="00000016" w:usb3="00000000" w:csb0="00040001" w:csb1="00000000"/>
    <w:embedRegular r:id="rId4" w:fontKey="{4DC6DF45-7057-48D9-93D0-350426C4B733}"/>
  </w:font>
  <w:font w:name="楷体_GB2312">
    <w:panose1 w:val="02010609030101010101"/>
    <w:charset w:val="86"/>
    <w:family w:val="auto"/>
    <w:pitch w:val="default"/>
    <w:sig w:usb0="00000001" w:usb1="080E0000" w:usb2="00000000" w:usb3="00000000" w:csb0="00040000" w:csb1="00000000"/>
    <w:embedRegular r:id="rId5" w:fontKey="{3A787285-8BD5-4FB8-B872-9AF858AE83F5}"/>
  </w:font>
  <w:font w:name="仿宋_GB2312">
    <w:panose1 w:val="02010609030101010101"/>
    <w:charset w:val="86"/>
    <w:family w:val="auto"/>
    <w:pitch w:val="default"/>
    <w:sig w:usb0="00000001" w:usb1="080E0000" w:usb2="00000000" w:usb3="00000000" w:csb0="00040000" w:csb1="00000000"/>
    <w:embedRegular r:id="rId6" w:fontKey="{3C2CE0DD-BA2D-45B9-82FB-3A2DDA4E7D61}"/>
  </w:font>
  <w:font w:name="ArialUnicodeMS">
    <w:altName w:val="Malgun Gothic"/>
    <w:panose1 w:val="00000000000000000000"/>
    <w:charset w:val="81"/>
    <w:family w:val="auto"/>
    <w:pitch w:val="default"/>
    <w:sig w:usb0="00000000" w:usb1="00000000" w:usb2="00000010" w:usb3="00000000" w:csb0="00080001" w:csb1="00000000"/>
    <w:embedRegular r:id="rId7" w:fontKey="{721A37FB-02B0-4403-AF06-F073056C2BDE}"/>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8" w:fontKey="{8F570881-F61A-4366-85A0-7D6C45098B10}"/>
  </w:font>
  <w:font w:name="Arial">
    <w:panose1 w:val="020B0604020202020204"/>
    <w:charset w:val="00"/>
    <w:family w:val="swiss"/>
    <w:pitch w:val="default"/>
    <w:sig w:usb0="E0002EFF" w:usb1="C000785B" w:usb2="00000009" w:usb3="00000000" w:csb0="400001FF" w:csb1="FFFF0000"/>
    <w:embedRegular r:id="rId9" w:fontKey="{3EC36C83-C14E-4078-9504-AA9871C2C998}"/>
  </w:font>
  <w:font w:name="DengXian-Regular">
    <w:altName w:val="宋体"/>
    <w:panose1 w:val="00000000000000000000"/>
    <w:charset w:val="86"/>
    <w:family w:val="auto"/>
    <w:pitch w:val="default"/>
    <w:sig w:usb0="00000000" w:usb1="00000000" w:usb2="00000010" w:usb3="00000000" w:csb0="00040001" w:csb1="00000000"/>
    <w:embedRegular r:id="rId10" w:fontKey="{7FCA58EC-9FD9-46F2-AE4A-AD2561A70DB5}"/>
  </w:font>
  <w:font w:name="DengXian-Bold">
    <w:altName w:val="宋体"/>
    <w:panose1 w:val="00000000000000000000"/>
    <w:charset w:val="86"/>
    <w:family w:val="auto"/>
    <w:pitch w:val="default"/>
    <w:sig w:usb0="00000000" w:usb1="00000000" w:usb2="00000010" w:usb3="00000000" w:csb0="00040001" w:csb1="00000000"/>
    <w:embedRegular r:id="rId11" w:fontKey="{8BAB86CA-755F-4A0C-BFFD-56CC1DCB943C}"/>
  </w:font>
  <w:font w:name="仿宋">
    <w:panose1 w:val="02010609060101010101"/>
    <w:charset w:val="86"/>
    <w:family w:val="modern"/>
    <w:pitch w:val="default"/>
    <w:sig w:usb0="800002BF" w:usb1="38CF7CFA" w:usb2="00000016" w:usb3="00000000" w:csb0="00040001" w:csb1="00000000"/>
    <w:embedRegular r:id="rId12" w:fontKey="{39EB953D-D554-4BFE-A735-775A91CD326C}"/>
  </w:font>
  <w:font w:name="TimesNewRomanPSMT">
    <w:altName w:val="Arial"/>
    <w:panose1 w:val="00000000000000000000"/>
    <w:charset w:val="00"/>
    <w:family w:val="auto"/>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75F66C"/>
    <w:multiLevelType w:val="singleLevel"/>
    <w:tmpl w:val="5D75F66C"/>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05B60"/>
    <w:rsid w:val="00024E7F"/>
    <w:rsid w:val="000475A0"/>
    <w:rsid w:val="000838C3"/>
    <w:rsid w:val="000B2446"/>
    <w:rsid w:val="000B5DA7"/>
    <w:rsid w:val="000D032E"/>
    <w:rsid w:val="000D7C65"/>
    <w:rsid w:val="000E2F81"/>
    <w:rsid w:val="000E348A"/>
    <w:rsid w:val="00117946"/>
    <w:rsid w:val="00117E2C"/>
    <w:rsid w:val="00146C47"/>
    <w:rsid w:val="00152FB8"/>
    <w:rsid w:val="00176658"/>
    <w:rsid w:val="0018239E"/>
    <w:rsid w:val="001B3410"/>
    <w:rsid w:val="001C030D"/>
    <w:rsid w:val="001C4A84"/>
    <w:rsid w:val="001E5902"/>
    <w:rsid w:val="00221B5E"/>
    <w:rsid w:val="00224E91"/>
    <w:rsid w:val="00233705"/>
    <w:rsid w:val="00275CA2"/>
    <w:rsid w:val="002A65A5"/>
    <w:rsid w:val="002C04C4"/>
    <w:rsid w:val="002D08B0"/>
    <w:rsid w:val="002D1AE3"/>
    <w:rsid w:val="002F2ECE"/>
    <w:rsid w:val="003166C8"/>
    <w:rsid w:val="00341C8F"/>
    <w:rsid w:val="0035463A"/>
    <w:rsid w:val="003745A3"/>
    <w:rsid w:val="00391D9D"/>
    <w:rsid w:val="00391E1D"/>
    <w:rsid w:val="003B6C51"/>
    <w:rsid w:val="003C1413"/>
    <w:rsid w:val="003C549F"/>
    <w:rsid w:val="003D5A16"/>
    <w:rsid w:val="003E7DB3"/>
    <w:rsid w:val="003F7EC9"/>
    <w:rsid w:val="0041502F"/>
    <w:rsid w:val="00431175"/>
    <w:rsid w:val="00453F5A"/>
    <w:rsid w:val="004B6E37"/>
    <w:rsid w:val="004C32BA"/>
    <w:rsid w:val="004F0A00"/>
    <w:rsid w:val="00502871"/>
    <w:rsid w:val="00575922"/>
    <w:rsid w:val="005A6C90"/>
    <w:rsid w:val="005C2DC7"/>
    <w:rsid w:val="005E3FB0"/>
    <w:rsid w:val="005F4B66"/>
    <w:rsid w:val="005F5208"/>
    <w:rsid w:val="00641318"/>
    <w:rsid w:val="0064405D"/>
    <w:rsid w:val="00685302"/>
    <w:rsid w:val="00692B4D"/>
    <w:rsid w:val="00695557"/>
    <w:rsid w:val="006B165C"/>
    <w:rsid w:val="006D4EA7"/>
    <w:rsid w:val="0070012A"/>
    <w:rsid w:val="0070664B"/>
    <w:rsid w:val="007071B8"/>
    <w:rsid w:val="007414DE"/>
    <w:rsid w:val="0074209C"/>
    <w:rsid w:val="007905A9"/>
    <w:rsid w:val="007E5500"/>
    <w:rsid w:val="007F055B"/>
    <w:rsid w:val="008043F7"/>
    <w:rsid w:val="0080644C"/>
    <w:rsid w:val="0081154A"/>
    <w:rsid w:val="00811C2F"/>
    <w:rsid w:val="00833D46"/>
    <w:rsid w:val="00840A97"/>
    <w:rsid w:val="008B0DA4"/>
    <w:rsid w:val="008C0149"/>
    <w:rsid w:val="008C689C"/>
    <w:rsid w:val="008D5DED"/>
    <w:rsid w:val="008E25CA"/>
    <w:rsid w:val="008F34FC"/>
    <w:rsid w:val="00935058"/>
    <w:rsid w:val="00944CD7"/>
    <w:rsid w:val="009831B2"/>
    <w:rsid w:val="009A1ABE"/>
    <w:rsid w:val="009A32AA"/>
    <w:rsid w:val="009E21A4"/>
    <w:rsid w:val="009F22C6"/>
    <w:rsid w:val="00A07E50"/>
    <w:rsid w:val="00A15397"/>
    <w:rsid w:val="00A35CE0"/>
    <w:rsid w:val="00A4462E"/>
    <w:rsid w:val="00A44AA4"/>
    <w:rsid w:val="00A61623"/>
    <w:rsid w:val="00A84687"/>
    <w:rsid w:val="00AB0A0E"/>
    <w:rsid w:val="00AD3B6E"/>
    <w:rsid w:val="00AE330B"/>
    <w:rsid w:val="00B1751F"/>
    <w:rsid w:val="00B5475F"/>
    <w:rsid w:val="00B56722"/>
    <w:rsid w:val="00B74D39"/>
    <w:rsid w:val="00B91DA4"/>
    <w:rsid w:val="00C12630"/>
    <w:rsid w:val="00C34562"/>
    <w:rsid w:val="00C3774E"/>
    <w:rsid w:val="00C41CE9"/>
    <w:rsid w:val="00C57456"/>
    <w:rsid w:val="00C65387"/>
    <w:rsid w:val="00C87FAB"/>
    <w:rsid w:val="00C91FF7"/>
    <w:rsid w:val="00C94E53"/>
    <w:rsid w:val="00D0048E"/>
    <w:rsid w:val="00D2257E"/>
    <w:rsid w:val="00D23E7A"/>
    <w:rsid w:val="00D61063"/>
    <w:rsid w:val="00D65F61"/>
    <w:rsid w:val="00D74A39"/>
    <w:rsid w:val="00DB35AF"/>
    <w:rsid w:val="00DD72D7"/>
    <w:rsid w:val="00DF5B88"/>
    <w:rsid w:val="00E03358"/>
    <w:rsid w:val="00E0589E"/>
    <w:rsid w:val="00E241FA"/>
    <w:rsid w:val="00E2595E"/>
    <w:rsid w:val="00E35374"/>
    <w:rsid w:val="00E50C19"/>
    <w:rsid w:val="00E64655"/>
    <w:rsid w:val="00E73081"/>
    <w:rsid w:val="00E856C9"/>
    <w:rsid w:val="00E8744D"/>
    <w:rsid w:val="00EB6A8B"/>
    <w:rsid w:val="00EF38C6"/>
    <w:rsid w:val="00F05685"/>
    <w:rsid w:val="00F335A2"/>
    <w:rsid w:val="00F679C7"/>
    <w:rsid w:val="00F7711A"/>
    <w:rsid w:val="00FA0D58"/>
    <w:rsid w:val="00FA56F4"/>
    <w:rsid w:val="00FB4EDA"/>
    <w:rsid w:val="00FD3BD5"/>
    <w:rsid w:val="00FE3DC8"/>
    <w:rsid w:val="021B52ED"/>
    <w:rsid w:val="03633EE1"/>
    <w:rsid w:val="04073F84"/>
    <w:rsid w:val="0B60750A"/>
    <w:rsid w:val="10686488"/>
    <w:rsid w:val="10DF728A"/>
    <w:rsid w:val="11F33BC2"/>
    <w:rsid w:val="1264200E"/>
    <w:rsid w:val="12911440"/>
    <w:rsid w:val="141C5B77"/>
    <w:rsid w:val="18D8339D"/>
    <w:rsid w:val="1A21388F"/>
    <w:rsid w:val="1A570D2F"/>
    <w:rsid w:val="1DD769C5"/>
    <w:rsid w:val="20931BE1"/>
    <w:rsid w:val="22D61FC0"/>
    <w:rsid w:val="24376592"/>
    <w:rsid w:val="243F1F83"/>
    <w:rsid w:val="26B61F9B"/>
    <w:rsid w:val="28FB0B8D"/>
    <w:rsid w:val="2A9870FC"/>
    <w:rsid w:val="2AB93ADE"/>
    <w:rsid w:val="2B5330E2"/>
    <w:rsid w:val="2BBE54E1"/>
    <w:rsid w:val="2D2B7942"/>
    <w:rsid w:val="2D46481D"/>
    <w:rsid w:val="2D7E5C23"/>
    <w:rsid w:val="2E733B28"/>
    <w:rsid w:val="2FBA0CC4"/>
    <w:rsid w:val="31852B5A"/>
    <w:rsid w:val="32C75012"/>
    <w:rsid w:val="32D01238"/>
    <w:rsid w:val="393945AA"/>
    <w:rsid w:val="39EF684A"/>
    <w:rsid w:val="39F4518B"/>
    <w:rsid w:val="3C810819"/>
    <w:rsid w:val="3DFC59A8"/>
    <w:rsid w:val="3ECF245E"/>
    <w:rsid w:val="3F25477E"/>
    <w:rsid w:val="3FB96314"/>
    <w:rsid w:val="44522B65"/>
    <w:rsid w:val="461B6A13"/>
    <w:rsid w:val="4674478F"/>
    <w:rsid w:val="46DD4116"/>
    <w:rsid w:val="49AF5606"/>
    <w:rsid w:val="4B09321D"/>
    <w:rsid w:val="4C907C63"/>
    <w:rsid w:val="4D17116C"/>
    <w:rsid w:val="4EDB6E84"/>
    <w:rsid w:val="50273E4A"/>
    <w:rsid w:val="53A44FAF"/>
    <w:rsid w:val="54631373"/>
    <w:rsid w:val="55BE7264"/>
    <w:rsid w:val="594329EC"/>
    <w:rsid w:val="5BEE1540"/>
    <w:rsid w:val="5D511CFF"/>
    <w:rsid w:val="5D7007F0"/>
    <w:rsid w:val="5DE61A5D"/>
    <w:rsid w:val="5E66406A"/>
    <w:rsid w:val="61E740F0"/>
    <w:rsid w:val="61FA68E1"/>
    <w:rsid w:val="63C04243"/>
    <w:rsid w:val="649C01C7"/>
    <w:rsid w:val="65693458"/>
    <w:rsid w:val="65C0443B"/>
    <w:rsid w:val="660B1F57"/>
    <w:rsid w:val="662A747D"/>
    <w:rsid w:val="67B07A23"/>
    <w:rsid w:val="68787532"/>
    <w:rsid w:val="699A3F60"/>
    <w:rsid w:val="6CFB2EDE"/>
    <w:rsid w:val="703B47BE"/>
    <w:rsid w:val="70927855"/>
    <w:rsid w:val="72902E62"/>
    <w:rsid w:val="73C61104"/>
    <w:rsid w:val="776452EA"/>
    <w:rsid w:val="787D3F72"/>
    <w:rsid w:val="79301B34"/>
    <w:rsid w:val="7A8F4583"/>
    <w:rsid w:val="7D697D89"/>
    <w:rsid w:val="7DC663B9"/>
    <w:rsid w:val="7F251868"/>
    <w:rsid w:val="7FB56478"/>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charset="-122"/>
                <a:ea typeface="仿宋_GB2312" panose="02010609030101010101" charset="-122"/>
              </a:rPr>
              <a:t>图</a:t>
            </a:r>
            <a:r>
              <a:rPr lang="en-US" altLang="zh-CN" sz="1200" b="0">
                <a:latin typeface="仿宋_GB2312" panose="02010609030101010101" charset="-122"/>
                <a:ea typeface="仿宋_GB2312" panose="02010609030101010101" charset="-122"/>
              </a:rPr>
              <a:t>1</a:t>
            </a:r>
            <a:r>
              <a:rPr lang="zh-CN" altLang="zh-CN" sz="1200" b="0">
                <a:latin typeface="仿宋_GB2312" panose="02010609030101010101" charset="-122"/>
                <a:ea typeface="仿宋_GB2312" panose="02010609030101010101" charset="-122"/>
              </a:rPr>
              <a:t>：收入构成情况</a:t>
            </a:r>
            <a:endParaRPr lang="zh-CN" altLang="zh-CN" sz="1200" b="1">
              <a:latin typeface="仿宋_GB2312" panose="02010609030101010101" charset="-122"/>
              <a:ea typeface="仿宋_GB2312" panose="02010609030101010101"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81.83</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charset="-122"/>
                <a:ea typeface="仿宋_GB2312" panose="02010609030101010101" charset="-122"/>
              </a:rPr>
              <a:t>图</a:t>
            </a:r>
            <a:r>
              <a:rPr lang="en-US" altLang="zh-CN" sz="1200" b="0">
                <a:latin typeface="仿宋_GB2312" panose="02010609030101010101" charset="-122"/>
                <a:ea typeface="仿宋_GB2312" panose="02010609030101010101" charset="-122"/>
              </a:rPr>
              <a:t>2</a:t>
            </a:r>
            <a:r>
              <a:rPr lang="zh-CN" altLang="zh-CN" sz="1200" b="0">
                <a:latin typeface="仿宋_GB2312" panose="02010609030101010101" charset="-122"/>
                <a:ea typeface="仿宋_GB2312" panose="02010609030101010101" charset="-122"/>
              </a:rPr>
              <a:t>：支出构成情况</a:t>
            </a:r>
            <a:endParaRPr lang="zh-CN" altLang="zh-CN" sz="1200" b="1">
              <a:latin typeface="仿宋_GB2312" panose="02010609030101010101" charset="-122"/>
              <a:ea typeface="仿宋_GB2312" panose="02010609030101010101"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75.23</c:v>
                </c:pt>
                <c:pt idx="1">
                  <c:v>6.6</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charset="-122"/>
                <a:ea typeface="仿宋_GB2312" panose="02010609030101010101" charset="-122"/>
              </a:rPr>
              <a:t>图</a:t>
            </a:r>
            <a:r>
              <a:rPr lang="en-US" altLang="zh-CN" sz="1200" b="0">
                <a:latin typeface="仿宋_GB2312" panose="02010609030101010101" charset="-122"/>
                <a:ea typeface="仿宋_GB2312" panose="02010609030101010101" charset="-122"/>
              </a:rPr>
              <a:t>3</a:t>
            </a:r>
            <a:r>
              <a:rPr lang="zh-CN" altLang="zh-CN" sz="1200" b="0">
                <a:latin typeface="仿宋_GB2312" panose="02010609030101010101" charset="-122"/>
                <a:ea typeface="仿宋_GB2312" panose="02010609030101010101" charset="-122"/>
              </a:rPr>
              <a:t>：</a:t>
            </a:r>
            <a:r>
              <a:rPr lang="en-US" altLang="zh-CN" sz="1200" b="0">
                <a:latin typeface="仿宋_GB2312" panose="02010609030101010101" charset="-122"/>
                <a:ea typeface="仿宋_GB2312" panose="02010609030101010101" charset="-122"/>
              </a:rPr>
              <a:t>2017-2018</a:t>
            </a:r>
            <a:r>
              <a:rPr lang="zh-CN" altLang="zh-CN" sz="1200" b="0">
                <a:latin typeface="仿宋_GB2312" panose="02010609030101010101" charset="-122"/>
                <a:ea typeface="仿宋_GB2312" panose="02010609030101010101" charset="-122"/>
              </a:rPr>
              <a:t>年财政拨款收支对比情况</a:t>
            </a:r>
            <a:endParaRPr lang="zh-CN" altLang="zh-CN" sz="1200" b="0">
              <a:latin typeface="仿宋_GB2312" panose="02010609030101010101" charset="-122"/>
              <a:ea typeface="仿宋_GB2312" panose="02010609030101010101"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81.83</c:v>
                </c:pt>
                <c:pt idx="1">
                  <c:v>81.83</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#,##0.00</c:formatCode>
                <c:ptCount val="2"/>
                <c:pt idx="0">
                  <c:v>90.19</c:v>
                </c:pt>
                <c:pt idx="1">
                  <c:v>90.26</c:v>
                </c:pt>
              </c:numCache>
            </c:numRef>
          </c:val>
        </c:ser>
        <c:dLbls>
          <c:showLegendKey val="0"/>
          <c:showVal val="1"/>
          <c:showCatName val="0"/>
          <c:showSerName val="0"/>
          <c:showPercent val="0"/>
          <c:showBubbleSize val="0"/>
        </c:dLbls>
        <c:gapWidth val="75"/>
        <c:axId val="152068480"/>
        <c:axId val="152070016"/>
      </c:barChart>
      <c:catAx>
        <c:axId val="15206848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52070016"/>
        <c:crosses val="autoZero"/>
        <c:auto val="1"/>
        <c:lblAlgn val="ctr"/>
        <c:lblOffset val="100"/>
        <c:noMultiLvlLbl val="0"/>
      </c:catAx>
      <c:valAx>
        <c:axId val="15207001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52068480"/>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charset="-122"/>
                <a:ea typeface="仿宋_GB2312" panose="02010609030101010101" charset="-122"/>
              </a:rPr>
              <a:t>图</a:t>
            </a:r>
            <a:r>
              <a:rPr lang="en-US" altLang="zh-CN" sz="1200" b="0" i="0" u="none" strike="noStrike" baseline="0">
                <a:latin typeface="仿宋_GB2312" panose="02010609030101010101" charset="-122"/>
                <a:ea typeface="仿宋_GB2312" panose="02010609030101010101" charset="-122"/>
              </a:rPr>
              <a:t>4</a:t>
            </a:r>
            <a:r>
              <a:rPr lang="zh-CN" altLang="zh-CN" sz="1200" b="0" i="0" u="none" strike="noStrike" baseline="0">
                <a:latin typeface="仿宋_GB2312" panose="02010609030101010101" charset="-122"/>
                <a:ea typeface="仿宋_GB2312" panose="02010609030101010101" charset="-122"/>
              </a:rPr>
              <a:t>：财政拨款收支预决算对比情况</a:t>
            </a:r>
            <a:endParaRPr lang="zh-CN" altLang="zh-CN" sz="1200" b="0">
              <a:latin typeface="仿宋_GB2312" panose="02010609030101010101" charset="-122"/>
              <a:ea typeface="仿宋_GB2312" panose="02010609030101010101" charset="-122"/>
            </a:endParaRPr>
          </a:p>
        </c:rich>
      </c:tx>
      <c:layout>
        <c:manualLayout>
          <c:xMode val="edge"/>
          <c:yMode val="edge"/>
          <c:x val="0.234027777777779"/>
          <c:y val="0.912750455373406"/>
        </c:manualLayout>
      </c:layout>
      <c:overlay val="0"/>
    </c:title>
    <c:autoTitleDeleted val="0"/>
    <c:plotArea>
      <c:layout>
        <c:manualLayout>
          <c:layoutTarget val="inner"/>
          <c:xMode val="edge"/>
          <c:yMode val="edge"/>
          <c:x val="0.100155074365704"/>
          <c:y val="0.0231156048675734"/>
          <c:w val="0.869289370078741"/>
          <c:h val="0.768818002863279"/>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58.11</c:v>
                </c:pt>
                <c:pt idx="1">
                  <c:v>58.11</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81.83</c:v>
                </c:pt>
                <c:pt idx="1">
                  <c:v>81.83</c:v>
                </c:pt>
              </c:numCache>
            </c:numRef>
          </c:val>
        </c:ser>
        <c:dLbls>
          <c:showLegendKey val="0"/>
          <c:showVal val="1"/>
          <c:showCatName val="0"/>
          <c:showSerName val="0"/>
          <c:showPercent val="0"/>
          <c:showBubbleSize val="0"/>
        </c:dLbls>
        <c:gapWidth val="75"/>
        <c:axId val="152079744"/>
        <c:axId val="152081536"/>
      </c:barChart>
      <c:catAx>
        <c:axId val="15207974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52081536"/>
        <c:crosses val="autoZero"/>
        <c:auto val="1"/>
        <c:lblAlgn val="ctr"/>
        <c:lblOffset val="100"/>
        <c:noMultiLvlLbl val="0"/>
      </c:catAx>
      <c:valAx>
        <c:axId val="15208153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52079744"/>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charset="-122"/>
                <a:ea typeface="仿宋_GB2312" panose="02010609030101010101" charset="-122"/>
              </a:rPr>
              <a:t>图</a:t>
            </a:r>
            <a:r>
              <a:rPr lang="en-US" altLang="zh-CN" sz="1200" b="0" i="0" u="none" strike="noStrike" baseline="0">
                <a:latin typeface="仿宋_GB2312" panose="02010609030101010101" charset="-122"/>
                <a:ea typeface="仿宋_GB2312" panose="02010609030101010101" charset="-122"/>
              </a:rPr>
              <a:t>5</a:t>
            </a:r>
            <a:r>
              <a:rPr lang="zh-CN" altLang="zh-CN" sz="1200" b="0" i="0" u="none" strike="noStrike" baseline="0">
                <a:latin typeface="仿宋_GB2312" panose="02010609030101010101" charset="-122"/>
                <a:ea typeface="仿宋_GB2312" panose="02010609030101010101" charset="-122"/>
              </a:rPr>
              <a:t>：财政拨款支出决算结构（按功能分类）</a:t>
            </a:r>
            <a:endParaRPr lang="zh-CN" altLang="en-US" sz="1200" b="0">
              <a:latin typeface="仿宋_GB2312" panose="02010609030101010101" charset="-122"/>
              <a:ea typeface="仿宋_GB2312" panose="02010609030101010101"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81.83</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16993A1-2930-40EE-BDDA-5F4965A2146A}">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32</Pages>
  <Words>1541</Words>
  <Characters>8788</Characters>
  <Lines>73</Lines>
  <Paragraphs>20</Paragraphs>
  <TotalTime>9</TotalTime>
  <ScaleCrop>false</ScaleCrop>
  <LinksUpToDate>false</LinksUpToDate>
  <CharactersWithSpaces>10309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古德纽斯</cp:lastModifiedBy>
  <cp:lastPrinted>2019-08-02T01:01:00Z</cp:lastPrinted>
  <dcterms:modified xsi:type="dcterms:W3CDTF">2024-02-23T02:35:19Z</dcterms:modified>
  <dc:subject>石家庄市xxx部门</dc:subject>
  <dc:title>2017年度部门决算</dc:title>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0D6573460C6A4B3EA5FE44D25DBD7C12</vt:lpwstr>
  </property>
</Properties>
</file>