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bookmarkStart w:id="0" w:name="_GoBack"/>
      <w:bookmarkEnd w:id="0"/>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无极县妇女联合会</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月十日</w:t>
      </w:r>
    </w:p>
    <w:p>
      <w:pPr>
        <w:widowControl/>
        <w:spacing w:after="0" w:line="600" w:lineRule="exact"/>
        <w:ind w:firstLine="640" w:firstLineChars="200"/>
        <w:jc w:val="left"/>
        <w:rPr>
          <w:rFonts w:ascii="楷体_GB2312" w:hAnsi="楷体" w:eastAsia="楷体_GB2312" w:cs="楷体"/>
          <w:sz w:val="32"/>
          <w:szCs w:val="32"/>
          <w:highlight w:val="yellow"/>
        </w:rPr>
      </w:pPr>
    </w:p>
    <w:p>
      <w:pPr>
        <w:spacing w:before="624"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p>
    <w:p>
      <w:pPr>
        <w:widowControl/>
        <w:numPr>
          <w:ilvl w:val="0"/>
          <w:numId w:val="1"/>
        </w:numPr>
        <w:spacing w:line="580" w:lineRule="exact"/>
        <w:ind w:firstLine="1273" w:firstLineChars="398"/>
        <w:rPr>
          <w:rFonts w:eastAsia="仿宋_GB2312"/>
          <w:sz w:val="32"/>
          <w:szCs w:val="32"/>
        </w:rPr>
      </w:pPr>
      <w:r>
        <w:rPr>
          <w:rFonts w:eastAsia="仿宋_GB2312"/>
          <w:sz w:val="32"/>
          <w:szCs w:val="32"/>
        </w:rPr>
        <w:t>部门</w:t>
      </w:r>
      <w:r>
        <w:rPr>
          <w:rFonts w:hint="eastAsia" w:eastAsia="仿宋_GB2312"/>
          <w:sz w:val="32"/>
          <w:szCs w:val="32"/>
        </w:rPr>
        <w:t>职责</w:t>
      </w:r>
    </w:p>
    <w:p>
      <w:pPr>
        <w:widowControl/>
        <w:spacing w:line="580" w:lineRule="exact"/>
        <w:ind w:firstLine="1280" w:firstLineChars="400"/>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妇联</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w:pict>
          <v:shape id="_x0000_s1030" o:spid="_x0000_s1030" o:spt="202" type="#_x0000_t202" style="position:absolute;left:0pt;margin-left:-97.3pt;margin-top:259.1pt;height:81.7pt;width:613.65pt;z-index:251669504;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无极县妇女联合会是党领导下的全县各界妇女的群众团体组织，是党和政府联系群众的桥梁和纽带，国家政权的重要社会制度之一。其主要职责是维护妇女和儿童合法权益，带领全县妇女为建设富裕、文明、生态、和谐的新无极再新功。</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1、向妇女群众宣传贯彻党的路线方针和政策，教育妇女要自尊、自立、自信、自强。</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2、向社会宣传有关维护妇女儿童的法律政策，参加社会治安综合治理。</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3、积极推进妇女儿童发展规划的实施。</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4、实施困境妇女儿童帮扶行动。    </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5、鼓励全县妇女积极参加巾帼现代农业科技示范基地建设。</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6、带领全县妇女开展“美丽庭院”及“妇女之家”创建，加强基层妇联组织建设。</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7、向全县妇女宣传“两癌”预防知识。</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无极县妇女联合会</w:t>
            </w:r>
          </w:p>
        </w:tc>
        <w:tc>
          <w:tcPr>
            <w:tcW w:w="244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p>
        </w:tc>
        <w:tc>
          <w:tcPr>
            <w:tcW w:w="3485" w:type="dxa"/>
          </w:tcPr>
          <w:p>
            <w:pPr>
              <w:spacing w:after="0" w:line="560" w:lineRule="exact"/>
              <w:rPr>
                <w:rFonts w:ascii="仿宋_GB2312" w:eastAsia="仿宋_GB2312" w:cs="ArialUnicodeMS" w:hAnsiTheme="minorHAnsi"/>
                <w:kern w:val="0"/>
                <w:sz w:val="28"/>
                <w:szCs w:val="28"/>
              </w:rPr>
            </w:pPr>
          </w:p>
        </w:tc>
        <w:tc>
          <w:tcPr>
            <w:tcW w:w="2445" w:type="dxa"/>
          </w:tcPr>
          <w:p>
            <w:pPr>
              <w:spacing w:after="0" w:line="560" w:lineRule="exact"/>
              <w:jc w:val="center"/>
              <w:rPr>
                <w:rFonts w:ascii="仿宋_GB2312" w:eastAsia="仿宋_GB2312" w:cs="ArialUnicodeMS" w:hAnsiTheme="minorHAnsi"/>
                <w:kern w:val="0"/>
                <w:sz w:val="28"/>
                <w:szCs w:val="28"/>
              </w:rPr>
            </w:pPr>
          </w:p>
        </w:tc>
        <w:tc>
          <w:tcPr>
            <w:tcW w:w="2665"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3485" w:type="dxa"/>
            <w:tcBorders>
              <w:bottom w:val="single" w:color="auto" w:sz="4" w:space="0"/>
            </w:tcBorders>
          </w:tcPr>
          <w:p>
            <w:pPr>
              <w:spacing w:after="0" w:line="560" w:lineRule="exact"/>
              <w:rPr>
                <w:rFonts w:ascii="仿宋_GB2312" w:eastAsia="仿宋_GB2312" w:cs="ArialUnicodeMS" w:hAnsiTheme="minorHAnsi"/>
                <w:kern w:val="0"/>
                <w:sz w:val="28"/>
                <w:szCs w:val="28"/>
              </w:rPr>
            </w:pPr>
          </w:p>
        </w:tc>
        <w:tc>
          <w:tcPr>
            <w:tcW w:w="244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c>
          <w:tcPr>
            <w:tcW w:w="266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029" o:spid="_x0000_s1029" o:spt="202" type="#_x0000_t202" style="position:absolute;left:0pt;margin-left:-74.2pt;margin-top:120.3pt;height:159.1pt;width:596.2pt;z-index:25166233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81.83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81.83</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81.83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81.83</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81.83</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81.83</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color w:val="000000"/>
                <w:szCs w:val="21"/>
              </w:rPr>
              <w:t>81.83</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color w:val="000000"/>
                <w:szCs w:val="21"/>
              </w:rPr>
              <w:t>81.83</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群众团体事务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2012901</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80.83</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80.83</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2012902</w:t>
            </w: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31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92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color w:val="000000"/>
                <w:szCs w:val="21"/>
              </w:rPr>
              <w:t>81.83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75.23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群众团体事务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2012901</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74.23</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2012902</w:t>
            </w: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1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81.83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75.23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群众团体事务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81.83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75.23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tbl>
            <w:tblPr>
              <w:tblStyle w:val="12"/>
              <w:tblW w:w="1920" w:type="dxa"/>
              <w:tblInd w:w="0" w:type="dxa"/>
              <w:tblLayout w:type="fixed"/>
              <w:tblCellMar>
                <w:top w:w="0" w:type="dxa"/>
                <w:left w:w="0" w:type="dxa"/>
                <w:bottom w:w="0" w:type="dxa"/>
                <w:right w:w="0" w:type="dxa"/>
              </w:tblCellMar>
            </w:tblPr>
            <w:tblGrid>
              <w:gridCol w:w="1920"/>
            </w:tblGrid>
            <w:tr>
              <w:tblPrEx>
                <w:tblCellMar>
                  <w:top w:w="0" w:type="dxa"/>
                  <w:left w:w="0" w:type="dxa"/>
                  <w:bottom w:w="0" w:type="dxa"/>
                  <w:right w:w="0" w:type="dxa"/>
                </w:tblCellMar>
              </w:tblPrEx>
              <w:trPr>
                <w:trHeight w:val="368" w:hRule="atLeast"/>
              </w:trPr>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r>
          </w:tbl>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80.83</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74.23</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tbl>
            <w:tblPr>
              <w:tblStyle w:val="12"/>
              <w:tblW w:w="1920" w:type="dxa"/>
              <w:tblInd w:w="0" w:type="dxa"/>
              <w:tblLayout w:type="fixed"/>
              <w:tblCellMar>
                <w:top w:w="0" w:type="dxa"/>
                <w:left w:w="0" w:type="dxa"/>
                <w:bottom w:w="0" w:type="dxa"/>
                <w:right w:w="0" w:type="dxa"/>
              </w:tblCellMar>
            </w:tblPr>
            <w:tblGrid>
              <w:gridCol w:w="1920"/>
            </w:tblGrid>
            <w:tr>
              <w:tblPrEx>
                <w:tblCellMar>
                  <w:top w:w="0" w:type="dxa"/>
                  <w:left w:w="0" w:type="dxa"/>
                  <w:bottom w:w="0" w:type="dxa"/>
                  <w:right w:w="0" w:type="dxa"/>
                </w:tblCellMar>
              </w:tblPrEx>
              <w:trPr>
                <w:trHeight w:val="368" w:hRule="atLeast"/>
              </w:trPr>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r>
          </w:tbl>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2012902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一般行政管理事务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tbl>
            <w:tblPr>
              <w:tblStyle w:val="12"/>
              <w:tblW w:w="1920" w:type="dxa"/>
              <w:tblInd w:w="0" w:type="dxa"/>
              <w:tblLayout w:type="fixed"/>
              <w:tblCellMar>
                <w:top w:w="0" w:type="dxa"/>
                <w:left w:w="0" w:type="dxa"/>
                <w:bottom w:w="0" w:type="dxa"/>
                <w:right w:w="0" w:type="dxa"/>
              </w:tblCellMar>
            </w:tblPr>
            <w:tblGrid>
              <w:gridCol w:w="1920"/>
            </w:tblGrid>
            <w:tr>
              <w:tblPrEx>
                <w:tblCellMar>
                  <w:top w:w="0" w:type="dxa"/>
                  <w:left w:w="0" w:type="dxa"/>
                  <w:bottom w:w="0" w:type="dxa"/>
                  <w:right w:w="0" w:type="dxa"/>
                </w:tblCellMar>
              </w:tblPrEx>
              <w:trPr>
                <w:trHeight w:val="368" w:hRule="atLeast"/>
              </w:trPr>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6.60</w:t>
                  </w:r>
                </w:p>
              </w:tc>
            </w:tr>
          </w:tbl>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37.64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22.17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21.21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8.64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10.86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9.46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5.57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0.47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15.42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0.84</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53.06</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22.17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540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8" o:spid="_x0000_s1028" o:spt="202" type="#_x0000_t202" style="position:absolute;left:0pt;margin-left:-78.7pt;margin-top:232.8pt;height:159.1pt;width:596.2pt;z-index:25166438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本部门2018年度收支总计（含结转和结余）81.83万元。与2017年度决算相比，收入减少8.36万元，下降27%，主要原因是上级拨款减少；支出减少8.43万元，下降34%，主要原因是上级拨款减少。</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本部门2018年度本年收入合计81.83万元，其中：财政拨款收入81.83万元，占100%；事业收入0万元，占0%；经营收入0万元，占0%；其他收入0万元，占0%。如图所示：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3" w:firstLineChars="200"/>
        <w:rPr>
          <w:rFonts w:ascii="黑体" w:eastAsia="黑体"/>
          <w:b w:val="0"/>
          <w:bCs w:val="0"/>
        </w:rPr>
      </w:pPr>
      <w:r>
        <w:drawing>
          <wp:anchor distT="0" distB="0" distL="114300" distR="114300" simplePos="0" relativeHeight="251670528" behindDoc="0" locked="0" layoutInCell="1" allowOverlap="1">
            <wp:simplePos x="0" y="0"/>
            <wp:positionH relativeFrom="column">
              <wp:posOffset>454025</wp:posOffset>
            </wp:positionH>
            <wp:positionV relativeFrom="paragraph">
              <wp:posOffset>-2539365</wp:posOffset>
            </wp:positionV>
            <wp:extent cx="4391025" cy="2724150"/>
            <wp:effectExtent l="47625" t="4445" r="57150" b="109855"/>
            <wp:wrapSquare wrapText="bothSides"/>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本部门2018年度本年支出合计81.83万元，其中：基本支出75.23万元，占1.3%；项目支出6.6万元，占8.07%；经营支出0万元，占0%。如图所示：</w: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p>
    <w:p>
      <w:pPr>
        <w:pStyle w:val="3"/>
        <w:spacing w:before="0" w:after="0" w:line="580" w:lineRule="exact"/>
        <w:ind w:firstLine="643" w:firstLineChars="200"/>
        <w:rPr>
          <w:rFonts w:ascii="黑体" w:eastAsia="黑体"/>
          <w:b w:val="0"/>
          <w:bCs w:val="0"/>
        </w:rPr>
      </w:pPr>
      <w:r>
        <w:drawing>
          <wp:anchor distT="0" distB="0" distL="114300" distR="114300" simplePos="0" relativeHeight="251671552" behindDoc="0" locked="0" layoutInCell="1" allowOverlap="1">
            <wp:simplePos x="0" y="0"/>
            <wp:positionH relativeFrom="column">
              <wp:posOffset>454025</wp:posOffset>
            </wp:positionH>
            <wp:positionV relativeFrom="paragraph">
              <wp:posOffset>-2501265</wp:posOffset>
            </wp:positionV>
            <wp:extent cx="4219575" cy="2686050"/>
            <wp:effectExtent l="57150" t="0" r="47625" b="76200"/>
            <wp:wrapSquare wrapText="bothSides"/>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hint="eastAsia" w:ascii="宋体" w:hAnsi="宋体" w:cs="宋体"/>
          <w:b/>
          <w:bCs/>
          <w:sz w:val="32"/>
          <w:szCs w:val="32"/>
        </w:rPr>
        <w:t>2017</w:t>
      </w:r>
      <w:r>
        <w:rPr>
          <w:rFonts w:hint="eastAsia" w:ascii="楷体_GB2312" w:eastAsia="楷体_GB2312" w:cs="DengXian-Bold"/>
          <w:b/>
          <w:bCs/>
          <w:sz w:val="32"/>
          <w:szCs w:val="32"/>
        </w:rPr>
        <w:t xml:space="preserve"> 年度</w:t>
      </w:r>
      <w:r>
        <w:rPr>
          <w:rFonts w:hint="eastAsia" w:cs="DengXian-Bold" w:asciiTheme="majorEastAsia" w:hAnsiTheme="majorEastAsia" w:eastAsiaTheme="majorEastAsia"/>
          <w:b/>
          <w:bCs/>
          <w:sz w:val="28"/>
          <w:szCs w:val="28"/>
        </w:rPr>
        <w:t>决算</w:t>
      </w:r>
      <w:r>
        <w:rPr>
          <w:rFonts w:hint="eastAsia" w:ascii="楷体_GB2312" w:eastAsia="楷体_GB2312" w:cs="DengXian-Bold"/>
          <w:b/>
          <w:bCs/>
          <w:sz w:val="32"/>
          <w:szCs w:val="32"/>
        </w:rPr>
        <w:t>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81.83万元,比2017年度减少8.36万元，降低27%，主要是上级拨款减少；本年支出81.83万元，减少8.43万元，降低34%，主要是上级拨款减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本部门2018年度财政拨款本年收入81.83万元,比2017年度减少8.36万元，降低27%，主要是上级拨款减少；本年支出81.83万元，减少8.43万元，降低34%，主要是上级拨款减少。</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81.83万元，比上年减少8.83万元；主要是上级拨款减少；本年支出81.83万元，比上年减少8.43万元，降低34%，主要是上级拨款减少。政府性基金预算财政拨款本年收入0万元，比上年持平无增减变化；本年支出0万元，比上年持平无增减变化。</w: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72576" behindDoc="0" locked="0" layoutInCell="1" allowOverlap="1">
            <wp:simplePos x="0" y="0"/>
            <wp:positionH relativeFrom="column">
              <wp:posOffset>619125</wp:posOffset>
            </wp:positionH>
            <wp:positionV relativeFrom="paragraph">
              <wp:posOffset>168910</wp:posOffset>
            </wp:positionV>
            <wp:extent cx="4572000" cy="3067050"/>
            <wp:effectExtent l="47625" t="4445" r="47625" b="109855"/>
            <wp:wrapSquare wrapText="bothSides"/>
            <wp:docPr id="9"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w:t>
      </w:r>
      <w:r>
        <w:rPr>
          <w:rFonts w:hint="eastAsia" w:ascii="仿宋" w:hAnsi="仿宋" w:eastAsia="仿宋" w:cs="DengXian-Bold"/>
          <w:b/>
          <w:bCs/>
          <w:sz w:val="28"/>
          <w:szCs w:val="28"/>
        </w:rPr>
        <w:t>算数</w:t>
      </w:r>
      <w:r>
        <w:rPr>
          <w:rFonts w:hint="eastAsia" w:ascii="楷体_GB2312" w:eastAsia="楷体_GB2312" w:cs="DengXian-Bold"/>
          <w:b/>
          <w:bCs/>
          <w:sz w:val="32"/>
          <w:szCs w:val="32"/>
        </w:rPr>
        <w:t>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81.83万元，完成年初预算的140.82%,比年初预算增加23.72万元，决算数大于预算数主要原因是人员增加；本年支出81.83万元，完成年初预算的140.82%,比年初预算增加23.72万元，决算数大于预算数主要原因是主要是人员增加。</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81.83万元，完成年初预算140.82%，比年初预算增加23.72万元，主要是人员增加；支出81.83万元，完成年初预算140.82%，比年初预算增加23.72万元，主要是人员增加。政府性基金预算财政拨款本年收入0万元，完成年初预算100%，</w:t>
      </w:r>
      <w:r>
        <w:rPr>
          <w:rFonts w:hint="eastAsia" w:ascii="仿宋" w:hAnsi="仿宋" w:eastAsia="仿宋" w:cs="DengXian-Regular"/>
          <w:sz w:val="32"/>
          <w:szCs w:val="32"/>
        </w:rPr>
        <w:t>比年初预算持平无增减变化；</w:t>
      </w:r>
      <w:r>
        <w:rPr>
          <w:rFonts w:hint="eastAsia" w:ascii="仿宋_GB2312" w:eastAsia="仿宋_GB2312" w:cs="DengXian-Regular"/>
          <w:sz w:val="32"/>
          <w:szCs w:val="32"/>
        </w:rPr>
        <w:t>支出0万元，完成年初预算100%，比年初预算持平无增减变化。</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420" w:firstLineChars="200"/>
        <w:rPr>
          <w:rFonts w:ascii="仿宋_GB2312" w:eastAsia="仿宋_GB2312" w:cs="DengXian-Regular"/>
          <w:sz w:val="32"/>
          <w:szCs w:val="32"/>
          <w:highlight w:val="yellow"/>
        </w:rPr>
      </w:pPr>
      <w:r>
        <w:drawing>
          <wp:anchor distT="0" distB="0" distL="114300" distR="114300" simplePos="0" relativeHeight="251673600" behindDoc="0" locked="0" layoutInCell="1" allowOverlap="1">
            <wp:simplePos x="0" y="0"/>
            <wp:positionH relativeFrom="column">
              <wp:posOffset>504825</wp:posOffset>
            </wp:positionH>
            <wp:positionV relativeFrom="paragraph">
              <wp:posOffset>13335</wp:posOffset>
            </wp:positionV>
            <wp:extent cx="4572000" cy="3486150"/>
            <wp:effectExtent l="47625" t="4445" r="47625" b="109855"/>
            <wp:wrapSquare wrapText="bothSides"/>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（三）财政拨款支出决算结构情况。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年度财政拨款支出81.83万元，主要用于以下方面主要用于以下方面一般公共服务（类）支出81.83万元，占100%。</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674624" behindDoc="0" locked="0" layoutInCell="1" allowOverlap="1">
            <wp:simplePos x="0" y="0"/>
            <wp:positionH relativeFrom="column">
              <wp:posOffset>504825</wp:posOffset>
            </wp:positionH>
            <wp:positionV relativeFrom="paragraph">
              <wp:posOffset>127635</wp:posOffset>
            </wp:positionV>
            <wp:extent cx="4572000" cy="3400425"/>
            <wp:effectExtent l="57150" t="0" r="57150" b="66675"/>
            <wp:wrapSquare wrapText="bothSides"/>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年度一般公共预算财政拨款基本支出75.23万元，其中：人员经费 53.06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22.17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“三公”经费支出共计0万元，</w:t>
      </w:r>
      <w:r>
        <w:rPr>
          <w:rFonts w:hint="eastAsia" w:ascii="仿宋_GB2312" w:eastAsia="仿宋_GB2312" w:cs="DengXian-Regular"/>
          <w:b/>
          <w:bCs/>
          <w:sz w:val="32"/>
          <w:szCs w:val="32"/>
        </w:rPr>
        <w:t>较年初预算持平无增减变化，主要原因是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本部门2018年度因公出国（境）团组0个、共0人。因公出国（境）费支出较年初预算持平无增减变化。</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（二）公务用车购置及运行维护费支出0万元。</w:t>
      </w:r>
      <w:r>
        <w:rPr>
          <w:rFonts w:hint="eastAsia" w:ascii="仿宋_GB2312" w:eastAsia="仿宋_GB2312" w:cs="DengXian-Regular"/>
          <w:sz w:val="32"/>
          <w:szCs w:val="32"/>
        </w:rPr>
        <w:t>本部门2018年度公务用车购置及运行维护费较年初预算持平无增减变化。</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eastAsia="仿宋_GB2312" w:cs="DengXian-Regular"/>
          <w:sz w:val="32"/>
          <w:szCs w:val="32"/>
        </w:rPr>
        <w:t>本部门2018年度公务用车购置量0辆，未发生“公务用车购置”经费支出。公务用车购置费支出较年初预算持平无增减变化。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本部门2018年度单位公务用车保有量0辆。公车运行维护费支出较年初预算持平无增减变化。</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本部门2018年度公务接待共0批次、0人次。公务接待费支出较年初预算无增减变化。</w:t>
      </w:r>
    </w:p>
    <w:p>
      <w:pPr>
        <w:pStyle w:val="3"/>
        <w:spacing w:before="0" w:after="0" w:line="58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w:t>
      </w:r>
    </w:p>
    <w:p>
      <w:pPr>
        <w:adjustRightInd w:val="0"/>
        <w:snapToGrid w:val="0"/>
        <w:spacing w:after="0" w:line="58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无财[2019]13号），本单位认真开展了预算绩效管理改革开展情况自查，对部门全面规范绩效预算编制、严格预算执行管理、推进绩效评价工作、推进预决算信息公开等方面进行了自评，考核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根据预算绩效管理要求，本单位组织对2017年度一般公共预算项目支出全面开展绩效自评，涉及提前下达2017年妇女工作市级专项资金6.6万。从评价情况看，评价结果为良好。</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提前下达2017年妇女工作市级专项资金项目绩效自评：根据年初设定的绩效目标，提前下达2017年妇女工作市级专项资金项目绩效自评结果为良好。项目全年预算数为6.6万元，执行数为6.6万元，完成预算的100%。主要产出和效果是良好。</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本部门2018年度机关运行经费支出22.17万元，比年初预算数增加16.31万元，增长278.33%。主要原因是追加办公经费和人员公车补增加。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0辆，比上年持平无增减变化。其中，副部（省）级及以上领导用车0辆，主要领导干部用车0辆，机要通信用车0辆，应急保障用车0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w:t>
      </w:r>
      <w:r>
        <w:rPr>
          <w:rFonts w:hint="eastAsia" w:ascii="仿宋" w:hAnsi="仿宋" w:eastAsia="仿宋" w:cs="DengXian-Regular"/>
          <w:sz w:val="32"/>
          <w:szCs w:val="32"/>
        </w:rPr>
        <w:t xml:space="preserve">比上年持平无增减变化 </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r>
        <w:rPr>
          <w:rFonts w:hint="eastAsia" w:ascii="仿宋" w:hAnsi="仿宋" w:eastAsia="仿宋" w:cs="DengXian-Regular"/>
          <w:sz w:val="32"/>
          <w:szCs w:val="32"/>
        </w:rPr>
        <w:t>比上年增加持平无增减变化</w:t>
      </w:r>
      <w:r>
        <w:rPr>
          <w:rFonts w:hint="eastAsia" w:ascii="仿宋_GB2312" w:eastAsia="仿宋_GB2312" w:cs="DengXian-Regular"/>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spacing w:line="580" w:lineRule="exact"/>
        <w:ind w:firstLine="660"/>
        <w:rPr>
          <w:rFonts w:ascii="仿宋_GB2312" w:eastAsia="仿宋_GB2312" w:cs="DengXian-Regular"/>
          <w:sz w:val="32"/>
          <w:szCs w:val="32"/>
        </w:rPr>
      </w:pPr>
      <w:r>
        <w:rPr>
          <w:rFonts w:hint="eastAsia" w:ascii="仿宋_GB2312" w:eastAsia="仿宋_GB2312" w:cs="DengXian-Regular"/>
          <w:sz w:val="32"/>
          <w:szCs w:val="32"/>
        </w:rPr>
        <w:t>1、本部门2018年度政府性基金、国有资本经营、三公经费、政府采购无收支及结转结余情况，故政府性基金预算财政拨款收入支出决算表为空、国有资本经营预算财政拨款收入支出决算表为空、三公经费及相关信息统计表为空、政府采购情况表为空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745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w:pict>
          <v:shape id="_x0000_s1027" o:spid="_x0000_s1027" o:spt="202" type="#_x0000_t202" style="position:absolute;left:0pt;margin-left:-78.7pt;margin-top:232.8pt;height:159.1pt;width:596.2pt;z-index:25166643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8480"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688FCE4-C48F-4FE6-A71C-A50DE1F12F0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14E15098-B088-4428-80E8-71FE3C8D7CE5}"/>
  </w:font>
  <w:font w:name="Cambria">
    <w:panose1 w:val="02040503050406030204"/>
    <w:charset w:val="00"/>
    <w:family w:val="roman"/>
    <w:pitch w:val="default"/>
    <w:sig w:usb0="E00006FF" w:usb1="420024FF" w:usb2="02000000" w:usb3="00000000" w:csb0="2000019F" w:csb1="00000000"/>
    <w:embedRegular r:id="rId3" w:fontKey="{CD8DCBA4-0FE7-432B-B7EE-90D761E8AE52}"/>
  </w:font>
  <w:font w:name="楷体">
    <w:panose1 w:val="02010609060101010101"/>
    <w:charset w:val="86"/>
    <w:family w:val="modern"/>
    <w:pitch w:val="default"/>
    <w:sig w:usb0="800002BF" w:usb1="38CF7CFA" w:usb2="00000016" w:usb3="00000000" w:csb0="00040001" w:csb1="00000000"/>
    <w:embedRegular r:id="rId4" w:fontKey="{4DC6DF45-7057-48D9-93D0-350426C4B733}"/>
  </w:font>
  <w:font w:name="楷体_GB2312">
    <w:panose1 w:val="02010609030101010101"/>
    <w:charset w:val="86"/>
    <w:family w:val="auto"/>
    <w:pitch w:val="default"/>
    <w:sig w:usb0="00000001" w:usb1="080E0000" w:usb2="00000000" w:usb3="00000000" w:csb0="00040000" w:csb1="00000000"/>
    <w:embedRegular r:id="rId5" w:fontKey="{3A787285-8BD5-4FB8-B872-9AF858AE83F5}"/>
  </w:font>
  <w:font w:name="仿宋_GB2312">
    <w:panose1 w:val="02010609030101010101"/>
    <w:charset w:val="86"/>
    <w:family w:val="auto"/>
    <w:pitch w:val="default"/>
    <w:sig w:usb0="00000001" w:usb1="080E0000" w:usb2="00000000" w:usb3="00000000" w:csb0="00040000" w:csb1="00000000"/>
    <w:embedRegular r:id="rId6" w:fontKey="{3C2CE0DD-BA2D-45B9-82FB-3A2DDA4E7D61}"/>
  </w:font>
  <w:font w:name="ArialUnicodeMS">
    <w:altName w:val="Malgun Gothic"/>
    <w:panose1 w:val="00000000000000000000"/>
    <w:charset w:val="81"/>
    <w:family w:val="auto"/>
    <w:pitch w:val="default"/>
    <w:sig w:usb0="00000000" w:usb1="00000000" w:usb2="00000010" w:usb3="00000000" w:csb0="00080001" w:csb1="00000000"/>
    <w:embedRegular r:id="rId7" w:fontKey="{721A37FB-02B0-4403-AF06-F073056C2BDE}"/>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8" w:fontKey="{8F570881-F61A-4366-85A0-7D6C45098B10}"/>
  </w:font>
  <w:font w:name="Arial">
    <w:panose1 w:val="020B0604020202020204"/>
    <w:charset w:val="00"/>
    <w:family w:val="swiss"/>
    <w:pitch w:val="default"/>
    <w:sig w:usb0="E0002EFF" w:usb1="C000785B" w:usb2="00000009" w:usb3="00000000" w:csb0="400001FF" w:csb1="FFFF0000"/>
    <w:embedRegular r:id="rId9" w:fontKey="{3EC36C83-C14E-4078-9504-AA9871C2C998}"/>
  </w:font>
  <w:font w:name="DengXian-Regular">
    <w:altName w:val="宋体"/>
    <w:panose1 w:val="00000000000000000000"/>
    <w:charset w:val="86"/>
    <w:family w:val="auto"/>
    <w:pitch w:val="default"/>
    <w:sig w:usb0="00000000" w:usb1="00000000" w:usb2="00000010" w:usb3="00000000" w:csb0="00040001" w:csb1="00000000"/>
    <w:embedRegular r:id="rId10" w:fontKey="{7FCA58EC-9FD9-46F2-AE4A-AD2561A70DB5}"/>
  </w:font>
  <w:font w:name="DengXian-Bold">
    <w:altName w:val="宋体"/>
    <w:panose1 w:val="00000000000000000000"/>
    <w:charset w:val="86"/>
    <w:family w:val="auto"/>
    <w:pitch w:val="default"/>
    <w:sig w:usb0="00000000" w:usb1="00000000" w:usb2="00000010" w:usb3="00000000" w:csb0="00040001" w:csb1="00000000"/>
    <w:embedRegular r:id="rId11" w:fontKey="{8BAB86CA-755F-4A0C-BFFD-56CC1DCB943C}"/>
  </w:font>
  <w:font w:name="仿宋">
    <w:panose1 w:val="02010609060101010101"/>
    <w:charset w:val="86"/>
    <w:family w:val="modern"/>
    <w:pitch w:val="default"/>
    <w:sig w:usb0="800002BF" w:usb1="38CF7CFA" w:usb2="00000016" w:usb3="00000000" w:csb0="00040001" w:csb1="00000000"/>
    <w:embedRegular r:id="rId12" w:fontKey="{39EB953D-D554-4BFE-A735-775A91CD326C}"/>
  </w:font>
  <w:font w:name="TimesNewRomanPSMT">
    <w:altName w:val="Arial"/>
    <w:panose1 w:val="00000000000000000000"/>
    <w:charset w:val="00"/>
    <w:family w:val="auto"/>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75F66C"/>
    <w:multiLevelType w:val="singleLevel"/>
    <w:tmpl w:val="5D75F66C"/>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05B60"/>
    <w:rsid w:val="00024E7F"/>
    <w:rsid w:val="000475A0"/>
    <w:rsid w:val="000838C3"/>
    <w:rsid w:val="000B2446"/>
    <w:rsid w:val="000B5DA7"/>
    <w:rsid w:val="000D032E"/>
    <w:rsid w:val="000D7C65"/>
    <w:rsid w:val="000E2F81"/>
    <w:rsid w:val="000E348A"/>
    <w:rsid w:val="00117946"/>
    <w:rsid w:val="00117E2C"/>
    <w:rsid w:val="00146C47"/>
    <w:rsid w:val="00152FB8"/>
    <w:rsid w:val="00176658"/>
    <w:rsid w:val="0018239E"/>
    <w:rsid w:val="001B3410"/>
    <w:rsid w:val="001C030D"/>
    <w:rsid w:val="001C4A84"/>
    <w:rsid w:val="001E5902"/>
    <w:rsid w:val="00221B5E"/>
    <w:rsid w:val="00224E91"/>
    <w:rsid w:val="00233705"/>
    <w:rsid w:val="00275CA2"/>
    <w:rsid w:val="002A65A5"/>
    <w:rsid w:val="002C04C4"/>
    <w:rsid w:val="002D08B0"/>
    <w:rsid w:val="002D1AE3"/>
    <w:rsid w:val="002F2ECE"/>
    <w:rsid w:val="003166C8"/>
    <w:rsid w:val="00341C8F"/>
    <w:rsid w:val="0035463A"/>
    <w:rsid w:val="003745A3"/>
    <w:rsid w:val="00391D9D"/>
    <w:rsid w:val="00391E1D"/>
    <w:rsid w:val="003B6C51"/>
    <w:rsid w:val="003C1413"/>
    <w:rsid w:val="003C549F"/>
    <w:rsid w:val="003D5A16"/>
    <w:rsid w:val="003E7DB3"/>
    <w:rsid w:val="003F7EC9"/>
    <w:rsid w:val="0041502F"/>
    <w:rsid w:val="00431175"/>
    <w:rsid w:val="00453F5A"/>
    <w:rsid w:val="004B6E37"/>
    <w:rsid w:val="004C32BA"/>
    <w:rsid w:val="004F0A00"/>
    <w:rsid w:val="00502871"/>
    <w:rsid w:val="00575922"/>
    <w:rsid w:val="005A6C90"/>
    <w:rsid w:val="005C2DC7"/>
    <w:rsid w:val="005E3FB0"/>
    <w:rsid w:val="005F4B66"/>
    <w:rsid w:val="005F5208"/>
    <w:rsid w:val="00641318"/>
    <w:rsid w:val="0064405D"/>
    <w:rsid w:val="00685302"/>
    <w:rsid w:val="00692B4D"/>
    <w:rsid w:val="00695557"/>
    <w:rsid w:val="006B165C"/>
    <w:rsid w:val="006D4EA7"/>
    <w:rsid w:val="0070012A"/>
    <w:rsid w:val="0070664B"/>
    <w:rsid w:val="007071B8"/>
    <w:rsid w:val="007414DE"/>
    <w:rsid w:val="0074209C"/>
    <w:rsid w:val="007905A9"/>
    <w:rsid w:val="007E5500"/>
    <w:rsid w:val="007F055B"/>
    <w:rsid w:val="008043F7"/>
    <w:rsid w:val="0080644C"/>
    <w:rsid w:val="0081154A"/>
    <w:rsid w:val="00811C2F"/>
    <w:rsid w:val="00833D46"/>
    <w:rsid w:val="00840A97"/>
    <w:rsid w:val="008B0DA4"/>
    <w:rsid w:val="008C0149"/>
    <w:rsid w:val="008C689C"/>
    <w:rsid w:val="008D5DED"/>
    <w:rsid w:val="008E25CA"/>
    <w:rsid w:val="008F34FC"/>
    <w:rsid w:val="00935058"/>
    <w:rsid w:val="00944CD7"/>
    <w:rsid w:val="009831B2"/>
    <w:rsid w:val="009A1ABE"/>
    <w:rsid w:val="009A32AA"/>
    <w:rsid w:val="009E21A4"/>
    <w:rsid w:val="009F22C6"/>
    <w:rsid w:val="00A07E50"/>
    <w:rsid w:val="00A15397"/>
    <w:rsid w:val="00A35CE0"/>
    <w:rsid w:val="00A4462E"/>
    <w:rsid w:val="00A44AA4"/>
    <w:rsid w:val="00A61623"/>
    <w:rsid w:val="00A84687"/>
    <w:rsid w:val="00AB0A0E"/>
    <w:rsid w:val="00AD3B6E"/>
    <w:rsid w:val="00AE330B"/>
    <w:rsid w:val="00B1751F"/>
    <w:rsid w:val="00B5475F"/>
    <w:rsid w:val="00B56722"/>
    <w:rsid w:val="00B74D39"/>
    <w:rsid w:val="00B91DA4"/>
    <w:rsid w:val="00C12630"/>
    <w:rsid w:val="00C34562"/>
    <w:rsid w:val="00C3774E"/>
    <w:rsid w:val="00C41CE9"/>
    <w:rsid w:val="00C57456"/>
    <w:rsid w:val="00C65387"/>
    <w:rsid w:val="00C87FAB"/>
    <w:rsid w:val="00C91FF7"/>
    <w:rsid w:val="00C94E53"/>
    <w:rsid w:val="00D0048E"/>
    <w:rsid w:val="00D2257E"/>
    <w:rsid w:val="00D23E7A"/>
    <w:rsid w:val="00D61063"/>
    <w:rsid w:val="00D65F61"/>
    <w:rsid w:val="00D74A39"/>
    <w:rsid w:val="00DB35AF"/>
    <w:rsid w:val="00DD72D7"/>
    <w:rsid w:val="00DF5B88"/>
    <w:rsid w:val="00E03358"/>
    <w:rsid w:val="00E0589E"/>
    <w:rsid w:val="00E241FA"/>
    <w:rsid w:val="00E2595E"/>
    <w:rsid w:val="00E35374"/>
    <w:rsid w:val="00E50C19"/>
    <w:rsid w:val="00E64655"/>
    <w:rsid w:val="00E73081"/>
    <w:rsid w:val="00E856C9"/>
    <w:rsid w:val="00E8744D"/>
    <w:rsid w:val="00EB6A8B"/>
    <w:rsid w:val="00EF38C6"/>
    <w:rsid w:val="00F05685"/>
    <w:rsid w:val="00F335A2"/>
    <w:rsid w:val="00F679C7"/>
    <w:rsid w:val="00F7711A"/>
    <w:rsid w:val="00FA0D58"/>
    <w:rsid w:val="00FA56F4"/>
    <w:rsid w:val="00FB4EDA"/>
    <w:rsid w:val="00FD3BD5"/>
    <w:rsid w:val="00FE3DC8"/>
    <w:rsid w:val="021B52ED"/>
    <w:rsid w:val="03633EE1"/>
    <w:rsid w:val="04073F84"/>
    <w:rsid w:val="0B60750A"/>
    <w:rsid w:val="10686488"/>
    <w:rsid w:val="10DF728A"/>
    <w:rsid w:val="11F33BC2"/>
    <w:rsid w:val="1264200E"/>
    <w:rsid w:val="12911440"/>
    <w:rsid w:val="141C5B77"/>
    <w:rsid w:val="18D8339D"/>
    <w:rsid w:val="1A21388F"/>
    <w:rsid w:val="1A570D2F"/>
    <w:rsid w:val="1DD769C5"/>
    <w:rsid w:val="20931BE1"/>
    <w:rsid w:val="22D61FC0"/>
    <w:rsid w:val="24376592"/>
    <w:rsid w:val="243F1F83"/>
    <w:rsid w:val="26B61F9B"/>
    <w:rsid w:val="28FB0B8D"/>
    <w:rsid w:val="2A9870FC"/>
    <w:rsid w:val="2AB93ADE"/>
    <w:rsid w:val="2B5330E2"/>
    <w:rsid w:val="2BBE54E1"/>
    <w:rsid w:val="2D2B7942"/>
    <w:rsid w:val="2D46481D"/>
    <w:rsid w:val="2D7E5C23"/>
    <w:rsid w:val="2E733B28"/>
    <w:rsid w:val="2FBA0CC4"/>
    <w:rsid w:val="31852B5A"/>
    <w:rsid w:val="32C75012"/>
    <w:rsid w:val="32D01238"/>
    <w:rsid w:val="393945AA"/>
    <w:rsid w:val="39EF684A"/>
    <w:rsid w:val="39F4518B"/>
    <w:rsid w:val="3C810819"/>
    <w:rsid w:val="3DFC59A8"/>
    <w:rsid w:val="3ECF245E"/>
    <w:rsid w:val="3F25477E"/>
    <w:rsid w:val="3FB96314"/>
    <w:rsid w:val="44522B65"/>
    <w:rsid w:val="461B6A13"/>
    <w:rsid w:val="4674478F"/>
    <w:rsid w:val="46DD4116"/>
    <w:rsid w:val="49AF5606"/>
    <w:rsid w:val="4B09321D"/>
    <w:rsid w:val="4C907C63"/>
    <w:rsid w:val="4D17116C"/>
    <w:rsid w:val="4EDB6E84"/>
    <w:rsid w:val="50273E4A"/>
    <w:rsid w:val="53A44FAF"/>
    <w:rsid w:val="54631373"/>
    <w:rsid w:val="55BE7264"/>
    <w:rsid w:val="594329EC"/>
    <w:rsid w:val="5BEE1540"/>
    <w:rsid w:val="5D511CFF"/>
    <w:rsid w:val="5D7007F0"/>
    <w:rsid w:val="5DE61A5D"/>
    <w:rsid w:val="5E66406A"/>
    <w:rsid w:val="61E740F0"/>
    <w:rsid w:val="61FA68E1"/>
    <w:rsid w:val="63C04243"/>
    <w:rsid w:val="649C01C7"/>
    <w:rsid w:val="65693458"/>
    <w:rsid w:val="65C0443B"/>
    <w:rsid w:val="660B1F57"/>
    <w:rsid w:val="662A747D"/>
    <w:rsid w:val="67B07A23"/>
    <w:rsid w:val="68787532"/>
    <w:rsid w:val="699A3F60"/>
    <w:rsid w:val="6CFB2EDE"/>
    <w:rsid w:val="703B47BE"/>
    <w:rsid w:val="70927855"/>
    <w:rsid w:val="72902E62"/>
    <w:rsid w:val="73C61104"/>
    <w:rsid w:val="776452EA"/>
    <w:rsid w:val="787D3F72"/>
    <w:rsid w:val="79301B34"/>
    <w:rsid w:val="7A8F4583"/>
    <w:rsid w:val="7D697D89"/>
    <w:rsid w:val="7DC663B9"/>
    <w:rsid w:val="7F251868"/>
    <w:rsid w:val="7FB56478"/>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37096;&#38376;&#20915;&#31639;&#20844;&#24320;&#21046;&#22270;&#27169;&#26495;&#65288;&#20462;&#25913;&#29256;&#6528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37096;&#38376;&#20915;&#31639;&#20844;&#24320;&#21046;&#22270;&#27169;&#26495;&#65288;&#20462;&#25913;&#29256;&#6528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37096;&#38376;&#20915;&#31639;&#20844;&#24320;&#21046;&#22270;&#27169;&#26495;&#65288;&#20462;&#25913;&#29256;&#6528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37096;&#38376;&#20915;&#31639;&#20844;&#24320;&#21046;&#22270;&#27169;&#26495;&#65288;&#20462;&#25913;&#29256;&#6528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37096;&#38376;&#20915;&#31639;&#20844;&#24320;&#21046;&#22270;&#27169;&#26495;&#65288;&#20462;&#25913;&#29256;&#6528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charset="-122"/>
                <a:ea typeface="仿宋_GB2312" panose="02010609030101010101" charset="-122"/>
              </a:rPr>
              <a:t>图</a:t>
            </a:r>
            <a:r>
              <a:rPr lang="en-US" altLang="zh-CN" sz="1200" b="0">
                <a:latin typeface="仿宋_GB2312" panose="02010609030101010101" charset="-122"/>
                <a:ea typeface="仿宋_GB2312" panose="02010609030101010101" charset="-122"/>
              </a:rPr>
              <a:t>1</a:t>
            </a:r>
            <a:r>
              <a:rPr lang="zh-CN" altLang="zh-CN" sz="1200" b="0">
                <a:latin typeface="仿宋_GB2312" panose="02010609030101010101" charset="-122"/>
                <a:ea typeface="仿宋_GB2312" panose="02010609030101010101" charset="-122"/>
              </a:rPr>
              <a:t>：收入构成情况</a:t>
            </a:r>
            <a:endParaRPr lang="zh-CN" altLang="zh-CN" sz="1200" b="1">
              <a:latin typeface="仿宋_GB2312" panose="02010609030101010101" charset="-122"/>
              <a:ea typeface="仿宋_GB2312" panose="02010609030101010101" charset="-122"/>
            </a:endParaRPr>
          </a:p>
        </c:rich>
      </c:tx>
      <c:layout>
        <c:manualLayout>
          <c:xMode val="edge"/>
          <c:yMode val="edge"/>
          <c:x val="0.366550862270199"/>
          <c:y val="0.850746268656717"/>
        </c:manualLayout>
      </c:layout>
      <c:overlay val="0"/>
    </c:title>
    <c:autoTitleDeleted val="0"/>
    <c:plotArea>
      <c:layout>
        <c:manualLayout>
          <c:layoutTarget val="inner"/>
          <c:xMode val="edge"/>
          <c:yMode val="edge"/>
          <c:x val="0.0943148809218805"/>
          <c:y val="0.0575245818153328"/>
          <c:w val="0.811370238156239"/>
          <c:h val="0.765547851294708"/>
        </c:manualLayout>
      </c:layout>
      <c:pieChart>
        <c:varyColors val="1"/>
        <c:ser>
          <c:idx val="0"/>
          <c:order val="0"/>
          <c:explosion val="0"/>
          <c:dPt>
            <c:idx val="0"/>
            <c:bubble3D val="0"/>
          </c:dPt>
          <c:dPt>
            <c:idx val="1"/>
            <c:bubble3D val="0"/>
          </c:dPt>
          <c:dPt>
            <c:idx val="2"/>
            <c:bubble3D val="0"/>
          </c:dPt>
          <c:dPt>
            <c:idx val="3"/>
            <c:bubble3D val="0"/>
          </c:dPt>
          <c:dLbls>
            <c:dLbl>
              <c:idx val="1"/>
              <c:delete val="1"/>
            </c:dLbl>
            <c:dLbl>
              <c:idx val="2"/>
              <c:delete val="1"/>
            </c:dLbl>
            <c:dLbl>
              <c:idx val="3"/>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'[部门决算公开制图模板（修改版）(1).xlsx]收入情况说明'!$C$9:$C$12</c:f>
              <c:strCache>
                <c:ptCount val="4"/>
                <c:pt idx="0">
                  <c:v>财政拨款收入</c:v>
                </c:pt>
                <c:pt idx="1">
                  <c:v>事业收入</c:v>
                </c:pt>
                <c:pt idx="2">
                  <c:v>经营收入</c:v>
                </c:pt>
                <c:pt idx="3">
                  <c:v>其他收入</c:v>
                </c:pt>
              </c:strCache>
            </c:strRef>
          </c:cat>
          <c:val>
            <c:numRef>
              <c:f>'[部门决算公开制图模板（修改版）(1).xlsx]收入情况说明'!$D$9:$D$12</c:f>
              <c:numCache>
                <c:formatCode>General</c:formatCode>
                <c:ptCount val="4"/>
                <c:pt idx="0">
                  <c:v>81.83</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charset="-122"/>
                <a:ea typeface="仿宋_GB2312" panose="02010609030101010101" charset="-122"/>
              </a:rPr>
              <a:t>图</a:t>
            </a:r>
            <a:r>
              <a:rPr lang="en-US" altLang="zh-CN" sz="1200" b="0">
                <a:latin typeface="仿宋_GB2312" panose="02010609030101010101" charset="-122"/>
                <a:ea typeface="仿宋_GB2312" panose="02010609030101010101" charset="-122"/>
              </a:rPr>
              <a:t>2</a:t>
            </a:r>
            <a:r>
              <a:rPr lang="zh-CN" altLang="zh-CN" sz="1200" b="0">
                <a:latin typeface="仿宋_GB2312" panose="02010609030101010101" charset="-122"/>
                <a:ea typeface="仿宋_GB2312" panose="02010609030101010101" charset="-122"/>
              </a:rPr>
              <a:t>：支出构成情况</a:t>
            </a:r>
            <a:endParaRPr lang="zh-CN" altLang="zh-CN" sz="1200" b="1">
              <a:latin typeface="仿宋_GB2312" panose="02010609030101010101" charset="-122"/>
              <a:ea typeface="仿宋_GB2312" panose="02010609030101010101" charset="-122"/>
            </a:endParaRPr>
          </a:p>
        </c:rich>
      </c:tx>
      <c:layout>
        <c:manualLayout>
          <c:xMode val="edge"/>
          <c:yMode val="edge"/>
          <c:x val="0.364138331467032"/>
          <c:y val="0.823232323232323"/>
        </c:manualLayout>
      </c:layout>
      <c:overlay val="0"/>
    </c:title>
    <c:autoTitleDeleted val="0"/>
    <c:plotArea>
      <c:layout>
        <c:manualLayout>
          <c:layoutTarget val="inner"/>
          <c:xMode val="edge"/>
          <c:yMode val="edge"/>
          <c:x val="0.101627059597234"/>
          <c:y val="0.103243458204088"/>
          <c:w val="0.808785007968812"/>
          <c:h val="0.65515469657202"/>
        </c:manualLayout>
      </c:layout>
      <c:pieChart>
        <c:varyColors val="1"/>
        <c:ser>
          <c:idx val="0"/>
          <c:order val="0"/>
          <c:explosion val="0"/>
          <c:dPt>
            <c:idx val="0"/>
            <c:bubble3D val="0"/>
          </c:dPt>
          <c:dPt>
            <c:idx val="1"/>
            <c:bubble3D val="0"/>
          </c:dPt>
          <c:dPt>
            <c:idx val="2"/>
            <c:bubble3D val="0"/>
          </c:dPt>
          <c:dLbls>
            <c:dLbl>
              <c:idx val="2"/>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'[部门决算公开制图模板（修改版）(1).xlsx]支出情况说明'!$A$5:$A$7</c:f>
              <c:strCache>
                <c:ptCount val="3"/>
                <c:pt idx="0">
                  <c:v>基本支出</c:v>
                </c:pt>
                <c:pt idx="1">
                  <c:v>项目支出</c:v>
                </c:pt>
                <c:pt idx="2">
                  <c:v>经营支出</c:v>
                </c:pt>
              </c:strCache>
            </c:strRef>
          </c:cat>
          <c:val>
            <c:numRef>
              <c:f>'[部门决算公开制图模板（修改版）(1).xlsx]支出情况说明'!$B$5:$B$7</c:f>
              <c:numCache>
                <c:formatCode>General</c:formatCode>
                <c:ptCount val="3"/>
                <c:pt idx="0">
                  <c:v>75.23</c:v>
                </c:pt>
                <c:pt idx="1">
                  <c:v>6.6</c:v>
                </c:pt>
              </c:numCache>
            </c:numRef>
          </c:val>
        </c:ser>
        <c:dLbls>
          <c:showLegendKey val="0"/>
          <c:showVal val="0"/>
          <c:showCatName val="1"/>
          <c:showSerName val="0"/>
          <c:showPercent val="1"/>
          <c:showBubbleSize val="0"/>
          <c:showLeaderLines val="1"/>
        </c:dLbls>
        <c:firstSliceAng val="15"/>
      </c:pieChart>
      <c:spPr>
        <a:noFill/>
        <a:ln>
          <a:noFill/>
        </a:ln>
        <a:effectLst/>
      </c:spPr>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a:latin typeface="仿宋_GB2312" panose="02010609030101010101" charset="-122"/>
                <a:ea typeface="仿宋_GB2312" panose="02010609030101010101" charset="-122"/>
              </a:rPr>
              <a:t>图</a:t>
            </a:r>
            <a:r>
              <a:rPr lang="en-US" altLang="zh-CN" sz="1200" b="0">
                <a:latin typeface="仿宋_GB2312" panose="02010609030101010101" charset="-122"/>
                <a:ea typeface="仿宋_GB2312" panose="02010609030101010101" charset="-122"/>
              </a:rPr>
              <a:t>3</a:t>
            </a:r>
            <a:r>
              <a:rPr lang="zh-CN" altLang="zh-CN" sz="1200" b="0">
                <a:latin typeface="仿宋_GB2312" panose="02010609030101010101" charset="-122"/>
                <a:ea typeface="仿宋_GB2312" panose="02010609030101010101" charset="-122"/>
              </a:rPr>
              <a:t>：</a:t>
            </a:r>
            <a:r>
              <a:rPr lang="en-US" altLang="zh-CN" sz="1200" b="0">
                <a:latin typeface="仿宋_GB2312" panose="02010609030101010101" charset="-122"/>
                <a:ea typeface="仿宋_GB2312" panose="02010609030101010101" charset="-122"/>
              </a:rPr>
              <a:t>2017-2018</a:t>
            </a:r>
            <a:r>
              <a:rPr lang="zh-CN" altLang="zh-CN" sz="1200" b="0">
                <a:latin typeface="仿宋_GB2312" panose="02010609030101010101" charset="-122"/>
                <a:ea typeface="仿宋_GB2312" panose="02010609030101010101" charset="-122"/>
              </a:rPr>
              <a:t>年财政拨款收支对比情况</a:t>
            </a:r>
            <a:endParaRPr lang="zh-CN" altLang="zh-CN" sz="1200" b="0">
              <a:latin typeface="仿宋_GB2312" panose="02010609030101010101" charset="-122"/>
              <a:ea typeface="仿宋_GB2312" panose="02010609030101010101" charset="-122"/>
            </a:endParaRPr>
          </a:p>
        </c:rich>
      </c:tx>
      <c:layout>
        <c:manualLayout>
          <c:xMode val="edge"/>
          <c:yMode val="edge"/>
          <c:x val="0.222222222222222"/>
          <c:y val="0.864749733759319"/>
        </c:manualLayout>
      </c:layout>
      <c:overlay val="0"/>
    </c:title>
    <c:autoTitleDeleted val="0"/>
    <c:plotArea>
      <c:layout>
        <c:manualLayout>
          <c:layoutTarget val="inner"/>
          <c:xMode val="edge"/>
          <c:yMode val="edge"/>
          <c:x val="0.100155074365704"/>
          <c:y val="0.0702982734186981"/>
          <c:w val="0.869289370078741"/>
          <c:h val="0.601993408970844"/>
        </c:manualLayout>
      </c:layout>
      <c:barChart>
        <c:barDir val="col"/>
        <c:grouping val="clustered"/>
        <c:varyColors val="0"/>
        <c:ser>
          <c:idx val="0"/>
          <c:order val="0"/>
          <c:tx>
            <c:strRef>
              <c:f>'[部门决算公开制图模板（修改版）(1).xlsx]收支与决算对比'!$A$5</c:f>
              <c:strCache>
                <c:ptCount val="1"/>
                <c:pt idx="0">
                  <c:v>2018</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'[部门决算公开制图模板（修改版）(1).xlsx]收支与决算对比'!$B$5:$C$5</c:f>
              <c:numCache>
                <c:formatCode>General</c:formatCode>
                <c:ptCount val="2"/>
                <c:pt idx="0">
                  <c:v>81.83</c:v>
                </c:pt>
                <c:pt idx="1">
                  <c:v>81.83</c:v>
                </c:pt>
              </c:numCache>
            </c:numRef>
          </c:val>
        </c:ser>
        <c:ser>
          <c:idx val="1"/>
          <c:order val="1"/>
          <c:tx>
            <c:strRef>
              <c:f>'[部门决算公开制图模板（修改版）(1).xlsx]收支与决算对比'!$A$6</c:f>
              <c:strCache>
                <c:ptCount val="1"/>
                <c:pt idx="0">
                  <c:v>2017</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'[部门决算公开制图模板（修改版）(1).xlsx]收支与决算对比'!$B$4:$C$4</c:f>
              <c:strCache>
                <c:ptCount val="2"/>
                <c:pt idx="0">
                  <c:v>财政拨款收入</c:v>
                </c:pt>
                <c:pt idx="1">
                  <c:v>财政拨款支出</c:v>
                </c:pt>
              </c:strCache>
            </c:strRef>
          </c:cat>
          <c:val>
            <c:numRef>
              <c:f>'[部门决算公开制图模板（修改版）(1).xlsx]收支与决算对比'!$B$6:$C$6</c:f>
              <c:numCache>
                <c:formatCode>#,##0.00</c:formatCode>
                <c:ptCount val="2"/>
                <c:pt idx="0">
                  <c:v>90.19</c:v>
                </c:pt>
                <c:pt idx="1">
                  <c:v>90.26</c:v>
                </c:pt>
              </c:numCache>
            </c:numRef>
          </c:val>
        </c:ser>
        <c:dLbls>
          <c:showLegendKey val="0"/>
          <c:showVal val="1"/>
          <c:showCatName val="0"/>
          <c:showSerName val="0"/>
          <c:showPercent val="0"/>
          <c:showBubbleSize val="0"/>
        </c:dLbls>
        <c:gapWidth val="75"/>
        <c:axId val="152068480"/>
        <c:axId val="152070016"/>
      </c:barChart>
      <c:catAx>
        <c:axId val="152068480"/>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070016"/>
        <c:crosses val="autoZero"/>
        <c:auto val="1"/>
        <c:lblAlgn val="ctr"/>
        <c:lblOffset val="100"/>
        <c:noMultiLvlLbl val="0"/>
      </c:catAx>
      <c:valAx>
        <c:axId val="15207001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068480"/>
        <c:crosses val="autoZero"/>
        <c:crossBetween val="between"/>
      </c:valAx>
    </c:plotArea>
    <c:legend>
      <c:legendPos val="b"/>
      <c:layout>
        <c:manualLayout>
          <c:xMode val="edge"/>
          <c:yMode val="edge"/>
          <c:x val="0.426340551181102"/>
          <c:y val="0.756835299740887"/>
          <c:w val="0.208429790026247"/>
          <c:h val="0.0770305149555987"/>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charset="-122"/>
                <a:ea typeface="仿宋_GB2312" panose="02010609030101010101" charset="-122"/>
              </a:rPr>
              <a:t>图</a:t>
            </a:r>
            <a:r>
              <a:rPr lang="en-US" altLang="zh-CN" sz="1200" b="0" i="0" u="none" strike="noStrike" baseline="0">
                <a:latin typeface="仿宋_GB2312" panose="02010609030101010101" charset="-122"/>
                <a:ea typeface="仿宋_GB2312" panose="02010609030101010101" charset="-122"/>
              </a:rPr>
              <a:t>4</a:t>
            </a:r>
            <a:r>
              <a:rPr lang="zh-CN" altLang="zh-CN" sz="1200" b="0" i="0" u="none" strike="noStrike" baseline="0">
                <a:latin typeface="仿宋_GB2312" panose="02010609030101010101" charset="-122"/>
                <a:ea typeface="仿宋_GB2312" panose="02010609030101010101" charset="-122"/>
              </a:rPr>
              <a:t>：财政拨款收支预决算对比情况</a:t>
            </a:r>
            <a:endParaRPr lang="zh-CN" altLang="zh-CN" sz="1200" b="0">
              <a:latin typeface="仿宋_GB2312" panose="02010609030101010101" charset="-122"/>
              <a:ea typeface="仿宋_GB2312" panose="02010609030101010101" charset="-122"/>
            </a:endParaRPr>
          </a:p>
        </c:rich>
      </c:tx>
      <c:layout>
        <c:manualLayout>
          <c:xMode val="edge"/>
          <c:yMode val="edge"/>
          <c:x val="0.234027777777779"/>
          <c:y val="0.912750455373406"/>
        </c:manualLayout>
      </c:layout>
      <c:overlay val="0"/>
    </c:title>
    <c:autoTitleDeleted val="0"/>
    <c:plotArea>
      <c:layout>
        <c:manualLayout>
          <c:layoutTarget val="inner"/>
          <c:xMode val="edge"/>
          <c:yMode val="edge"/>
          <c:x val="0.100155074365704"/>
          <c:y val="0.0231156048675734"/>
          <c:w val="0.869289370078741"/>
          <c:h val="0.768818002863279"/>
        </c:manualLayout>
      </c:layout>
      <c:barChart>
        <c:barDir val="col"/>
        <c:grouping val="clustered"/>
        <c:varyColors val="0"/>
        <c:ser>
          <c:idx val="0"/>
          <c:order val="0"/>
          <c:tx>
            <c:strRef>
              <c:f>'[部门决算公开制图模板（修改版）(1).xlsx]收支与预算对比'!$A$5</c:f>
              <c:strCache>
                <c:ptCount val="1"/>
                <c:pt idx="0">
                  <c:v>年初预算数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'[部门决算公开制图模板（修改版）(1).xlsx]收支与预算对比'!$B$5:$C$5</c:f>
              <c:numCache>
                <c:formatCode>General</c:formatCode>
                <c:ptCount val="2"/>
                <c:pt idx="0">
                  <c:v>58.11</c:v>
                </c:pt>
                <c:pt idx="1">
                  <c:v>58.11</c:v>
                </c:pt>
              </c:numCache>
            </c:numRef>
          </c:val>
        </c:ser>
        <c:ser>
          <c:idx val="1"/>
          <c:order val="1"/>
          <c:tx>
            <c:strRef>
              <c:f>'[部门决算公开制图模板（修改版）(1).xlsx]收支与预算对比'!$A$6</c:f>
              <c:strCache>
                <c:ptCount val="1"/>
                <c:pt idx="0">
                  <c:v>决算数</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'[部门决算公开制图模板（修改版）(1).xlsx]收支与预算对比'!$B$4:$C$4</c:f>
              <c:strCache>
                <c:ptCount val="2"/>
                <c:pt idx="0">
                  <c:v>财政拨款收入</c:v>
                </c:pt>
                <c:pt idx="1">
                  <c:v>财政拨款支出</c:v>
                </c:pt>
              </c:strCache>
            </c:strRef>
          </c:cat>
          <c:val>
            <c:numRef>
              <c:f>'[部门决算公开制图模板（修改版）(1).xlsx]收支与预算对比'!$B$6:$C$6</c:f>
              <c:numCache>
                <c:formatCode>General</c:formatCode>
                <c:ptCount val="2"/>
                <c:pt idx="0">
                  <c:v>81.83</c:v>
                </c:pt>
                <c:pt idx="1">
                  <c:v>81.83</c:v>
                </c:pt>
              </c:numCache>
            </c:numRef>
          </c:val>
        </c:ser>
        <c:dLbls>
          <c:showLegendKey val="0"/>
          <c:showVal val="1"/>
          <c:showCatName val="0"/>
          <c:showSerName val="0"/>
          <c:showPercent val="0"/>
          <c:showBubbleSize val="0"/>
        </c:dLbls>
        <c:gapWidth val="75"/>
        <c:axId val="152079744"/>
        <c:axId val="152081536"/>
      </c:barChart>
      <c:catAx>
        <c:axId val="152079744"/>
        <c:scaling>
          <c:orientation val="minMax"/>
        </c:scaling>
        <c:delete val="0"/>
        <c:axPos val="b"/>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081536"/>
        <c:crosses val="autoZero"/>
        <c:auto val="1"/>
        <c:lblAlgn val="ctr"/>
        <c:lblOffset val="100"/>
        <c:noMultiLvlLbl val="0"/>
      </c:catAx>
      <c:valAx>
        <c:axId val="152081536"/>
        <c:scaling>
          <c:orientation val="minMax"/>
        </c:scaling>
        <c:delete val="0"/>
        <c:axPos val="l"/>
        <c:numFmt formatCode="General" sourceLinked="1"/>
        <c:majorTickMark val="none"/>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52079744"/>
        <c:crosses val="autoZero"/>
        <c:crossBetween val="between"/>
      </c:valAx>
    </c:plotArea>
    <c:legend>
      <c:legendPos val="b"/>
      <c:layout>
        <c:manualLayout>
          <c:xMode val="edge"/>
          <c:yMode val="edge"/>
          <c:x val="0.346718285214349"/>
          <c:y val="0.848750340633651"/>
          <c:w val="0.339896544181977"/>
          <c:h val="0.0658758228991868"/>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b" anchorCtr="0"/>
          <a:lstStyle/>
          <a:p>
            <a:pPr>
              <a:defRPr lang="zh-CN" sz="1800" b="1" i="0" u="none" strike="noStrike" kern="1200" baseline="0">
                <a:solidFill>
                  <a:schemeClr val="tx1"/>
                </a:solidFill>
                <a:latin typeface="+mn-lt"/>
                <a:ea typeface="+mn-ea"/>
                <a:cs typeface="+mn-cs"/>
              </a:defRPr>
            </a:pPr>
            <a:r>
              <a:rPr lang="zh-CN" altLang="zh-CN" sz="1200" b="0" i="0" u="none" strike="noStrike" baseline="0">
                <a:latin typeface="仿宋_GB2312" panose="02010609030101010101" charset="-122"/>
                <a:ea typeface="仿宋_GB2312" panose="02010609030101010101" charset="-122"/>
              </a:rPr>
              <a:t>图</a:t>
            </a:r>
            <a:r>
              <a:rPr lang="en-US" altLang="zh-CN" sz="1200" b="0" i="0" u="none" strike="noStrike" baseline="0">
                <a:latin typeface="仿宋_GB2312" panose="02010609030101010101" charset="-122"/>
                <a:ea typeface="仿宋_GB2312" panose="02010609030101010101" charset="-122"/>
              </a:rPr>
              <a:t>5</a:t>
            </a:r>
            <a:r>
              <a:rPr lang="zh-CN" altLang="zh-CN" sz="1200" b="0" i="0" u="none" strike="noStrike" baseline="0">
                <a:latin typeface="仿宋_GB2312" panose="02010609030101010101" charset="-122"/>
                <a:ea typeface="仿宋_GB2312" panose="02010609030101010101" charset="-122"/>
              </a:rPr>
              <a:t>：财政拨款支出决算结构（按功能分类）</a:t>
            </a:r>
            <a:endParaRPr lang="zh-CN" altLang="en-US" sz="1200" b="0">
              <a:latin typeface="仿宋_GB2312" panose="02010609030101010101" charset="-122"/>
              <a:ea typeface="仿宋_GB2312" panose="02010609030101010101" charset="-122"/>
            </a:endParaRPr>
          </a:p>
        </c:rich>
      </c:tx>
      <c:layout>
        <c:manualLayout>
          <c:xMode val="edge"/>
          <c:yMode val="edge"/>
          <c:x val="0.126388888888889"/>
          <c:y val="0.837120962443044"/>
        </c:manualLayout>
      </c:layout>
      <c:overlay val="0"/>
    </c:title>
    <c:autoTitleDeleted val="0"/>
    <c:plotArea>
      <c:layout>
        <c:manualLayout>
          <c:layoutTarget val="inner"/>
          <c:xMode val="edge"/>
          <c:yMode val="edge"/>
          <c:x val="0.242777777777778"/>
          <c:y val="0.0719696755041531"/>
          <c:w val="0.514444663167104"/>
          <c:h val="0.70151524054067"/>
        </c:manualLayout>
      </c:layout>
      <c:pieChart>
        <c:varyColors val="1"/>
        <c:ser>
          <c:idx val="0"/>
          <c:order val="0"/>
          <c:explosion val="0"/>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delete val="1"/>
            </c:dLbl>
            <c:dLbl>
              <c:idx val="14"/>
              <c:delete val="1"/>
            </c:dLbl>
            <c:dLbl>
              <c:idx val="15"/>
              <c:delete val="1"/>
            </c:dLbl>
            <c:dLbl>
              <c:idx val="16"/>
              <c:delete val="1"/>
            </c:dLbl>
            <c:dLbl>
              <c:idx val="17"/>
              <c:delete val="1"/>
            </c:dLbl>
            <c:dLbl>
              <c:idx val="18"/>
              <c:delete val="1"/>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cat>
            <c:strRef>
              <c:f>'[部门决算公开制图模板（修改版）(1).xlsx]支出决算结构'!$A$5:$A$23</c:f>
              <c:strCache>
                <c:ptCount val="19"/>
                <c:pt idx="0">
                  <c:v>一般公共服务支出</c:v>
                </c:pt>
                <c:pt idx="1">
                  <c:v>公共安全支出</c:v>
                </c:pt>
                <c:pt idx="2">
                  <c:v>教育支出</c:v>
                </c:pt>
                <c:pt idx="3">
                  <c:v>科学技术支出</c:v>
                </c:pt>
                <c:pt idx="4">
                  <c:v>文化体育与传媒支出</c:v>
                </c:pt>
                <c:pt idx="5">
                  <c:v>社会保障和就业支出</c:v>
                </c:pt>
                <c:pt idx="6">
                  <c:v>医疗卫生与计划生育支出</c:v>
                </c:pt>
                <c:pt idx="7">
                  <c:v>节能环保支出</c:v>
                </c:pt>
                <c:pt idx="8">
                  <c:v>城乡社区支出</c:v>
                </c:pt>
                <c:pt idx="9">
                  <c:v>农林水支出</c:v>
                </c:pt>
                <c:pt idx="10">
                  <c:v>交通运输支出</c:v>
                </c:pt>
                <c:pt idx="11">
                  <c:v>资源勘探信息等支出</c:v>
                </c:pt>
                <c:pt idx="12">
                  <c:v>商业服务业等支出</c:v>
                </c:pt>
                <c:pt idx="13">
                  <c:v>国土海洋气象等支出</c:v>
                </c:pt>
                <c:pt idx="14">
                  <c:v>住房保障支出</c:v>
                </c:pt>
                <c:pt idx="15">
                  <c:v>粮油物资储备支出</c:v>
                </c:pt>
                <c:pt idx="16">
                  <c:v>其他支出</c:v>
                </c:pt>
                <c:pt idx="17">
                  <c:v>债务还本支出</c:v>
                </c:pt>
                <c:pt idx="18">
                  <c:v>债务付息支出</c:v>
                </c:pt>
              </c:strCache>
            </c:strRef>
          </c:cat>
          <c:val>
            <c:numRef>
              <c:f>'[部门决算公开制图模板（修改版）(1).xlsx]支出决算结构'!$B$5:$B$23</c:f>
              <c:numCache>
                <c:formatCode>General</c:formatCode>
                <c:ptCount val="19"/>
                <c:pt idx="0">
                  <c:v>81.83</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spPr>
    <a:ln w="9525" cap="flat" cmpd="sng" algn="ctr">
      <a:solidFill>
        <a:sysClr val="window" lastClr="FFFFFF">
          <a:alpha val="0"/>
        </a:sysClr>
      </a:solidFill>
      <a:prstDash val="solid"/>
      <a:round/>
    </a:ln>
    <a:effectLst>
      <a:outerShdw blurRad="50800" dist="50800" dir="5400000" algn="ctr" rotWithShape="0">
        <a:schemeClr val="bg1"/>
      </a:outerShdw>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6993A1-2930-40EE-BDDA-5F4965A2146A}">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1541</Words>
  <Characters>8788</Characters>
  <Lines>73</Lines>
  <Paragraphs>20</Paragraphs>
  <TotalTime>9</TotalTime>
  <ScaleCrop>false</ScaleCrop>
  <LinksUpToDate>false</LinksUpToDate>
  <CharactersWithSpaces>10309</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古德纽斯</cp:lastModifiedBy>
  <cp:lastPrinted>2019-08-02T01:01:00Z</cp:lastPrinted>
  <dcterms:modified xsi:type="dcterms:W3CDTF">2024-02-23T02:35:19Z</dcterms:modified>
  <dc:subject>石家庄市xxx部门</dc:subject>
  <dc:title>2017年度部门决算</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0D6573460C6A4B3EA5FE44D25DBD7C12</vt:lpwstr>
  </property>
</Properties>
</file>