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无极县科学技术局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bookmarkStart w:id="0" w:name="_GoBack"/>
      <w:bookmarkEnd w:id="0"/>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无极县科学技术局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8480;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645"/>
        <w:rPr>
          <w:rFonts w:ascii="仿宋" w:hAnsi="仿宋" w:eastAsia="仿宋" w:cs="仿宋"/>
          <w:color w:val="000000"/>
          <w:sz w:val="32"/>
          <w:szCs w:val="32"/>
        </w:rPr>
      </w:pPr>
      <w:r>
        <w:rPr>
          <w:rFonts w:ascii="仿宋" w:hAnsi="仿宋" w:eastAsia="仿宋" w:cs="仿宋"/>
          <w:color w:val="000000"/>
          <w:sz w:val="32"/>
          <w:szCs w:val="32"/>
        </w:rPr>
        <w:t>（一）全面宣传、贯彻党和国家的各项科技方针、政策、法律和法规，开展科技调研，组织拟定全县科学技术发展中长期规划，并组织实施。</w:t>
      </w:r>
    </w:p>
    <w:p>
      <w:pPr>
        <w:ind w:firstLine="645"/>
        <w:rPr>
          <w:rFonts w:ascii="仿宋" w:hAnsi="仿宋" w:eastAsia="仿宋" w:cs="仿宋"/>
          <w:color w:val="000000"/>
          <w:sz w:val="32"/>
          <w:szCs w:val="32"/>
        </w:rPr>
      </w:pPr>
      <w:r>
        <w:rPr>
          <w:rFonts w:ascii="仿宋" w:hAnsi="仿宋" w:eastAsia="仿宋" w:cs="仿宋"/>
          <w:color w:val="000000"/>
          <w:sz w:val="32"/>
          <w:szCs w:val="32"/>
        </w:rPr>
        <w:t>（二）组织实施科研项目和经济技术开发项目以及先进实用技术的推广和成果管理，开展科技创新。</w:t>
      </w:r>
    </w:p>
    <w:p>
      <w:pPr>
        <w:ind w:firstLine="645"/>
        <w:rPr>
          <w:rFonts w:ascii="仿宋" w:hAnsi="仿宋" w:eastAsia="仿宋" w:cs="仿宋"/>
          <w:color w:val="000000"/>
          <w:sz w:val="32"/>
          <w:szCs w:val="32"/>
        </w:rPr>
      </w:pPr>
      <w:r>
        <w:rPr>
          <w:rFonts w:ascii="仿宋" w:hAnsi="仿宋" w:eastAsia="仿宋" w:cs="仿宋"/>
          <w:color w:val="000000"/>
          <w:sz w:val="32"/>
          <w:szCs w:val="32"/>
        </w:rPr>
        <w:t xml:space="preserve">（三）规范技术市场管理，扶持民营科技企业的发展，开展专利服务和专利执法。 </w:t>
      </w:r>
    </w:p>
    <w:p>
      <w:pPr>
        <w:ind w:firstLine="645"/>
        <w:rPr>
          <w:rFonts w:ascii="仿宋" w:hAnsi="仿宋" w:eastAsia="仿宋" w:cs="仿宋"/>
          <w:color w:val="000000"/>
          <w:sz w:val="32"/>
          <w:szCs w:val="32"/>
        </w:rPr>
      </w:pPr>
      <w:r>
        <w:rPr>
          <w:rFonts w:ascii="仿宋" w:hAnsi="仿宋" w:eastAsia="仿宋" w:cs="仿宋"/>
          <w:color w:val="000000"/>
          <w:sz w:val="32"/>
          <w:szCs w:val="32"/>
        </w:rPr>
        <w:t>（四）开展科技普及培训和科技服务，引进和管理科技人才。</w:t>
      </w:r>
    </w:p>
    <w:p>
      <w:pPr>
        <w:ind w:firstLine="645"/>
        <w:rPr>
          <w:rFonts w:ascii="仿宋" w:hAnsi="仿宋" w:eastAsia="仿宋" w:cs="仿宋"/>
          <w:color w:val="000000"/>
          <w:sz w:val="32"/>
          <w:szCs w:val="32"/>
        </w:rPr>
      </w:pPr>
      <w:r>
        <w:rPr>
          <w:rFonts w:ascii="仿宋" w:hAnsi="仿宋" w:eastAsia="仿宋" w:cs="仿宋"/>
          <w:color w:val="000000"/>
          <w:sz w:val="32"/>
          <w:szCs w:val="32"/>
        </w:rPr>
        <w:t>（五）归口管理地震局，发展防震减灾事业。</w:t>
      </w:r>
    </w:p>
    <w:p>
      <w:pPr>
        <w:ind w:firstLine="645"/>
        <w:rPr>
          <w:rFonts w:ascii="仿宋" w:hAnsi="仿宋" w:eastAsia="仿宋" w:cs="仿宋"/>
          <w:color w:val="000000"/>
          <w:sz w:val="32"/>
          <w:szCs w:val="32"/>
        </w:rPr>
      </w:pPr>
      <w:r>
        <w:rPr>
          <w:rFonts w:ascii="仿宋" w:hAnsi="仿宋" w:eastAsia="仿宋" w:cs="仿宋"/>
          <w:color w:val="000000"/>
          <w:sz w:val="32"/>
          <w:szCs w:val="32"/>
        </w:rPr>
        <w:t>（六）承办县委、县政府交办的其他事项。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ascii="仿宋_GB2312" w:eastAsia="仿宋_GB2312" w:cs="ArialUnicodeMS" w:hAnsiTheme="minorHAnsi"/>
          <w:kern w:val="0"/>
          <w:sz w:val="32"/>
          <w:szCs w:val="32"/>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无极县科学技术</w:t>
            </w:r>
            <w:r>
              <w:rPr>
                <w:rFonts w:hint="eastAsia" w:ascii="微软雅黑" w:hAnsi="微软雅黑" w:eastAsia="微软雅黑" w:cs="微软雅黑"/>
                <w:kern w:val="0"/>
                <w:sz w:val="28"/>
                <w:szCs w:val="28"/>
              </w:rPr>
              <w:t>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w:t>
            </w:r>
            <w:r>
              <w:rPr>
                <w:rFonts w:ascii="宋体" w:hAnsi="宋体" w:cs="宋体"/>
                <w:color w:val="000000"/>
                <w:sz w:val="20"/>
                <w:szCs w:val="20"/>
              </w:rPr>
              <w:t>37.16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cs="Arial"/>
                <w:color w:val="000000"/>
                <w:kern w:val="0"/>
                <w:sz w:val="22"/>
                <w:szCs w:val="22"/>
              </w:rPr>
            </w:pPr>
            <w:r>
              <w:rPr>
                <w:rFonts w:hint="eastAsia" w:cs="Arial"/>
                <w:color w:val="000000"/>
                <w:sz w:val="22"/>
                <w:szCs w:val="22"/>
              </w:rPr>
              <w:t>328.59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5.28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w:t>
            </w:r>
            <w:r>
              <w:rPr>
                <w:rFonts w:ascii="宋体" w:hAnsi="宋体" w:cs="宋体"/>
                <w:color w:val="000000"/>
                <w:sz w:val="20"/>
                <w:szCs w:val="20"/>
              </w:rPr>
              <w:t>37.16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ascii="宋体" w:hAnsi="宋体" w:cs="宋体"/>
                <w:color w:val="000000"/>
                <w:sz w:val="20"/>
                <w:szCs w:val="20"/>
              </w:rPr>
              <w:t>343.87</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ascii="宋体" w:hAnsi="宋体" w:cs="宋体"/>
                <w:color w:val="000000"/>
                <w:sz w:val="18"/>
                <w:szCs w:val="18"/>
              </w:rPr>
              <w:t>7.23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0</w:t>
            </w:r>
            <w:r>
              <w:rPr>
                <w:rFonts w:ascii="宋体" w:hAnsi="宋体" w:cs="宋体"/>
                <w:color w:val="000000"/>
                <w:sz w:val="20"/>
                <w:szCs w:val="20"/>
              </w:rPr>
              <w:t>.52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ascii="宋体" w:hAnsi="宋体" w:cs="宋体"/>
                <w:color w:val="000000"/>
                <w:sz w:val="18"/>
                <w:szCs w:val="18"/>
              </w:rPr>
              <w:t>344.39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w:t>
            </w:r>
            <w:r>
              <w:rPr>
                <w:rFonts w:ascii="宋体" w:hAnsi="宋体" w:cs="宋体"/>
                <w:color w:val="000000"/>
                <w:sz w:val="20"/>
                <w:szCs w:val="20"/>
              </w:rPr>
              <w:t>44.39</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pPr w:leftFromText="180" w:rightFromText="180" w:horzAnchor="margin" w:tblpY="705"/>
        <w:tblW w:w="8800" w:type="dxa"/>
        <w:tblInd w:w="0" w:type="dxa"/>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ind w:right="210"/>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ind w:right="21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w:t>
            </w:r>
            <w:r>
              <w:rPr>
                <w:rFonts w:ascii="宋体" w:hAnsi="宋体" w:cs="宋体"/>
                <w:b/>
                <w:color w:val="000000"/>
                <w:sz w:val="18"/>
                <w:szCs w:val="18"/>
              </w:rPr>
              <w:t>37.16</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w:t>
            </w:r>
            <w:r>
              <w:rPr>
                <w:rFonts w:ascii="宋体" w:hAnsi="宋体" w:cs="宋体"/>
                <w:b/>
                <w:color w:val="000000"/>
                <w:sz w:val="18"/>
                <w:szCs w:val="18"/>
              </w:rPr>
              <w:t>37.16</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321.88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321.88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 w:val="16"/>
                <w:szCs w:val="16"/>
              </w:rPr>
              <w:t>科学技术管理事务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123.88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123.88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118.38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118.38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2060199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 xml:space="preserve"> 其他科学技术管理事务支出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5.5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技术研究与开发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193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193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2060402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应用技术研究与开发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143</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ascii="宋体" w:hAnsi="宋体" w:cs="宋体"/>
                <w:color w:val="000000"/>
                <w:szCs w:val="21"/>
              </w:rPr>
              <w:t>143</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2060404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科技成果转化与扩散</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科学技术普及</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ascii="宋体" w:hAnsi="宋体" w:cs="宋体"/>
                <w:color w:val="000000"/>
                <w:szCs w:val="21"/>
              </w:rPr>
              <w:t>2060702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科普活动</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95"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4" w:type="dxa"/>
        <w:tblInd w:w="0" w:type="dxa"/>
        <w:tblLayout w:type="fixed"/>
        <w:tblCellMar>
          <w:top w:w="0" w:type="dxa"/>
          <w:left w:w="0" w:type="dxa"/>
          <w:bottom w:w="0" w:type="dxa"/>
          <w:right w:w="0" w:type="dxa"/>
        </w:tblCellMar>
      </w:tblPr>
      <w:tblGrid>
        <w:gridCol w:w="289"/>
        <w:gridCol w:w="288"/>
        <w:gridCol w:w="570"/>
        <w:gridCol w:w="1996"/>
        <w:gridCol w:w="416"/>
        <w:gridCol w:w="50"/>
        <w:gridCol w:w="801"/>
        <w:gridCol w:w="319"/>
        <w:gridCol w:w="655"/>
        <w:gridCol w:w="18"/>
        <w:gridCol w:w="445"/>
        <w:gridCol w:w="547"/>
        <w:gridCol w:w="108"/>
        <w:gridCol w:w="465"/>
        <w:gridCol w:w="274"/>
        <w:gridCol w:w="671"/>
        <w:gridCol w:w="237"/>
        <w:gridCol w:w="226"/>
        <w:gridCol w:w="429"/>
      </w:tblGrid>
      <w:tr>
        <w:tblPrEx>
          <w:tblCellMar>
            <w:top w:w="0" w:type="dxa"/>
            <w:left w:w="0" w:type="dxa"/>
            <w:bottom w:w="0" w:type="dxa"/>
            <w:right w:w="0" w:type="dxa"/>
          </w:tblCellMar>
        </w:tblPrEx>
        <w:trPr>
          <w:gridAfter w:val="1"/>
          <w:wAfter w:w="429" w:type="dxa"/>
          <w:trHeight w:val="798" w:hRule="atLeast"/>
        </w:trPr>
        <w:tc>
          <w:tcPr>
            <w:tcW w:w="8375"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kern w:val="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gridAfter w:val="2"/>
          <w:wAfter w:w="655" w:type="dxa"/>
          <w:trHeight w:val="404" w:hRule="atLeast"/>
        </w:trPr>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7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1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82"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3"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267"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02"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55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92"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47"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71"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892"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47"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71"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92"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55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55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合计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kern w:val="0"/>
                <w:szCs w:val="21"/>
              </w:rPr>
            </w:pPr>
            <w:r>
              <w:rPr>
                <w:rFonts w:hint="eastAsia" w:ascii="宋体" w:hAnsi="宋体" w:cs="宋体"/>
                <w:color w:val="000000"/>
                <w:kern w:val="0"/>
                <w:szCs w:val="21"/>
              </w:rPr>
              <w:t>343.87</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kern w:val="0"/>
                <w:szCs w:val="21"/>
              </w:rPr>
            </w:pPr>
            <w:r>
              <w:rPr>
                <w:rFonts w:hint="eastAsia" w:ascii="宋体" w:hAnsi="宋体" w:cs="宋体"/>
                <w:color w:val="000000"/>
                <w:kern w:val="0"/>
                <w:szCs w:val="21"/>
              </w:rPr>
              <w:t>134.87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kern w:val="0"/>
                <w:szCs w:val="21"/>
              </w:rPr>
            </w:pPr>
            <w:r>
              <w:rPr>
                <w:rFonts w:hint="eastAsia" w:ascii="宋体" w:hAnsi="宋体" w:cs="宋体"/>
                <w:color w:val="000000"/>
                <w:kern w:val="0"/>
                <w:szCs w:val="21"/>
              </w:rPr>
              <w:t>209.00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kern w:val="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kern w:val="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kern w:val="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328.59</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119.59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209.00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20601</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科学技术管理事务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124.59</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119.59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2060101</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119.59</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119.59</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2060199</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其他科学技术管理事务支出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20604</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技术研究与开发</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193.00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193.00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2060402</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应用技术研究与开发</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143.00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143.00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2060404</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科技成果转化与扩散</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20607</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科学技术普及</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2060702</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科普活动</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5.00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20699</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其他科学技术支出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6.00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6.00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2069999</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科普活动</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6.00</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6.00</w:t>
            </w: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15.28</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15.28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15.28</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15.28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41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15.28</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15.28</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4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6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8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8804" w:type="dxa"/>
            <w:gridSpan w:val="1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37.16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28.59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28.59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5.28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5.28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37.16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43.87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43.87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.23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w:t>
            </w:r>
            <w:r>
              <w:rPr>
                <w:rFonts w:ascii="宋体" w:hAnsi="宋体" w:cs="宋体"/>
                <w:color w:val="00000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w:t>
            </w:r>
            <w:r>
              <w:rPr>
                <w:rFonts w:ascii="宋体" w:hAnsi="宋体" w:cs="宋体"/>
                <w:color w:val="000000"/>
                <w:sz w:val="18"/>
                <w:szCs w:val="18"/>
              </w:rPr>
              <w:t>.52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.23</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44.39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44.39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44.39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ascii="宋体" w:hAnsi="宋体" w:cs="宋体"/>
                <w:b/>
                <w:color w:val="000000"/>
                <w:szCs w:val="21"/>
              </w:rPr>
              <w:t>343.87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ascii="宋体" w:hAnsi="宋体" w:cs="宋体"/>
                <w:b/>
                <w:color w:val="000000"/>
                <w:szCs w:val="21"/>
              </w:rPr>
              <w:t>134.87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w:t>
            </w:r>
            <w:r>
              <w:rPr>
                <w:rFonts w:ascii="宋体" w:hAnsi="宋体" w:cs="宋体"/>
                <w:b/>
                <w:color w:val="000000"/>
                <w:szCs w:val="21"/>
              </w:rPr>
              <w:t>09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28.59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19.59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24.59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19.59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19.59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19.59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其他科学技术管理事务支出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技术研究与开发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93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93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应用技术研究与开发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43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43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060404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科技成果转化与扩散</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科学技术普及</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060702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科普活动</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其他科学技术支出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069999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其他科学技术支出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5.28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w:t>
            </w:r>
            <w:r>
              <w:rPr>
                <w:rFonts w:ascii="宋体" w:hAnsi="宋体" w:cs="宋体"/>
                <w:color w:val="000000"/>
                <w:sz w:val="16"/>
                <w:szCs w:val="16"/>
              </w:rPr>
              <w:t>3.28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8.15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r>
              <w:rPr>
                <w:rFonts w:ascii="宋体" w:hAnsi="宋体" w:cs="宋体"/>
                <w:color w:val="000000"/>
                <w:sz w:val="16"/>
                <w:szCs w:val="16"/>
              </w:rPr>
              <w:t>2.44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w:t>
            </w:r>
            <w:r>
              <w:rPr>
                <w:rFonts w:ascii="宋体" w:hAnsi="宋体" w:cs="宋体"/>
                <w:color w:val="000000"/>
                <w:sz w:val="16"/>
                <w:szCs w:val="16"/>
              </w:rPr>
              <w:t>.5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3.32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.55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7.52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0</w:t>
            </w:r>
            <w:r>
              <w:rPr>
                <w:rFonts w:ascii="宋体" w:hAnsi="宋体" w:cs="宋体"/>
                <w:color w:val="000000"/>
                <w:sz w:val="20"/>
                <w:szCs w:val="20"/>
              </w:rPr>
              <w:t>.77</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0</w:t>
            </w:r>
            <w:r>
              <w:rPr>
                <w:rFonts w:ascii="宋体" w:hAnsi="宋体" w:cs="宋体"/>
                <w:color w:val="000000"/>
                <w:sz w:val="20"/>
                <w:szCs w:val="20"/>
              </w:rPr>
              <w:t>.77</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.53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.09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2.67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w:t>
            </w:r>
            <w:r>
              <w:rPr>
                <w:rFonts w:ascii="宋体" w:hAnsi="宋体" w:cs="宋体"/>
                <w:color w:val="000000"/>
                <w:sz w:val="16"/>
                <w:szCs w:val="16"/>
              </w:rPr>
              <w:t>.39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.21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5.28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0.86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r>
              <w:rPr>
                <w:rFonts w:ascii="宋体" w:hAnsi="宋体" w:cs="宋体"/>
                <w:color w:val="000000"/>
                <w:sz w:val="16"/>
                <w:szCs w:val="16"/>
              </w:rPr>
              <w:t>.71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.71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15.96</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8.92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right="210"/>
              <w:jc w:val="right"/>
              <w:rPr>
                <w:rFonts w:ascii="宋体" w:hAnsi="宋体" w:cs="宋体"/>
                <w:color w:val="000000"/>
                <w:szCs w:val="21"/>
              </w:rPr>
            </w:pPr>
            <w:r>
              <w:rPr>
                <w:rFonts w:hint="eastAsia" w:ascii="宋体" w:hAnsi="宋体" w:cs="宋体"/>
                <w:color w:val="000000"/>
                <w:szCs w:val="21"/>
              </w:rPr>
              <w:t>0</w:t>
            </w:r>
            <w:r>
              <w:rPr>
                <w:rFonts w:ascii="宋体" w:hAnsi="宋体" w:cs="宋体"/>
                <w:color w:val="000000"/>
                <w:szCs w:val="21"/>
              </w:rPr>
              <w:t>.3</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.86</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.86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ascii="宋体" w:hAnsi="宋体" w:cs="宋体"/>
                <w:color w:val="000000"/>
                <w:szCs w:val="21"/>
              </w:rPr>
              <w:t>0.21</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注：本部门本年度无相关收支情况，按要求空表列示。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w:t>
            </w:r>
            <w:r>
              <w:rPr>
                <w:rFonts w:hint="eastAsia" w:ascii="宋体" w:hAnsi="宋体" w:cs="宋体"/>
                <w:color w:val="000000"/>
                <w:kern w:val="0"/>
                <w:szCs w:val="21"/>
              </w:rPr>
              <w:t>本部门本年度无相关收支情况，按要求空表列示</w:t>
            </w:r>
            <w:r>
              <w:rPr>
                <w:rFonts w:hint="eastAsia" w:ascii="宋体" w:hAnsi="宋体" w:cs="宋体"/>
                <w:color w:val="000000"/>
                <w:kern w:val="0"/>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注：本部门本年度无相关收支情况，按要求空表列示。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ascii="仿宋_GB2312" w:eastAsia="仿宋_GB2312" w:cs="DengXian-Regular"/>
          <w:sz w:val="32"/>
          <w:szCs w:val="32"/>
        </w:rPr>
        <w:t>344.3</w:t>
      </w:r>
      <w:r>
        <w:rPr>
          <w:rFonts w:ascii="Calibri" w:hAnsi="Calibri" w:eastAsia="仿宋_GB2312" w:cs="Calibri"/>
          <w:sz w:val="32"/>
          <w:szCs w:val="32"/>
        </w:rPr>
        <w:t>9</w:t>
      </w:r>
      <w:r>
        <w:rPr>
          <w:rFonts w:hint="eastAsia" w:ascii="仿宋_GB2312" w:eastAsia="仿宋_GB2312" w:cs="DengXian-Regular"/>
          <w:sz w:val="32"/>
          <w:szCs w:val="32"/>
        </w:rPr>
        <w:t>万元。与2017年度决算相比，收支各减少</w:t>
      </w:r>
      <w:r>
        <w:rPr>
          <w:rFonts w:ascii="仿宋_GB2312" w:eastAsia="仿宋_GB2312" w:cs="DengXian-Regular"/>
          <w:sz w:val="32"/>
          <w:szCs w:val="32"/>
        </w:rPr>
        <w:t>151.78</w:t>
      </w:r>
      <w:r>
        <w:rPr>
          <w:rFonts w:hint="eastAsia" w:ascii="仿宋_GB2312" w:eastAsia="仿宋_GB2312" w:cs="DengXian-Regular"/>
          <w:sz w:val="32"/>
          <w:szCs w:val="32"/>
        </w:rPr>
        <w:t>万元，下降</w:t>
      </w:r>
      <w:r>
        <w:rPr>
          <w:rFonts w:ascii="仿宋_GB2312" w:eastAsia="仿宋_GB2312" w:cs="DengXian-Regular"/>
          <w:sz w:val="32"/>
          <w:szCs w:val="32"/>
        </w:rPr>
        <w:t>30.6</w:t>
      </w:r>
      <w:r>
        <w:rPr>
          <w:rFonts w:hint="eastAsia" w:ascii="仿宋_GB2312" w:eastAsia="仿宋_GB2312" w:cs="DengXian-Regular"/>
          <w:sz w:val="32"/>
          <w:szCs w:val="32"/>
        </w:rPr>
        <w:t>%，主要原因是项目支出减少。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ascii="仿宋_GB2312" w:eastAsia="仿宋_GB2312" w:cs="DengXian-Regular"/>
          <w:sz w:val="32"/>
          <w:szCs w:val="32"/>
        </w:rPr>
        <w:t>337.16</w:t>
      </w:r>
      <w:r>
        <w:rPr>
          <w:rFonts w:hint="eastAsia" w:ascii="仿宋_GB2312" w:eastAsia="仿宋_GB2312" w:cs="DengXian-Regular"/>
          <w:sz w:val="32"/>
          <w:szCs w:val="32"/>
        </w:rPr>
        <w:t>万元，其中：财政拨款收入</w:t>
      </w:r>
      <w:r>
        <w:rPr>
          <w:rFonts w:ascii="仿宋_GB2312" w:eastAsia="仿宋_GB2312" w:cs="DengXian-Regular"/>
          <w:sz w:val="32"/>
          <w:szCs w:val="32"/>
        </w:rPr>
        <w:t>337.16</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pStyle w:val="3"/>
        <w:spacing w:before="0" w:after="0" w:line="240" w:lineRule="auto"/>
        <w:ind w:firstLine="643" w:firstLineChars="200"/>
        <w:rPr>
          <w:rFonts w:ascii="黑体" w:eastAsia="黑体"/>
        </w:rPr>
      </w:pPr>
      <w:r>
        <w:drawing>
          <wp:inline distT="0" distB="0" distL="0" distR="0">
            <wp:extent cx="4391025" cy="2552700"/>
            <wp:effectExtent l="57150" t="0" r="47625" b="1143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ascii="仿宋_GB2312" w:eastAsia="仿宋_GB2312" w:cs="DengXian-Regular"/>
          <w:sz w:val="32"/>
          <w:szCs w:val="32"/>
        </w:rPr>
        <w:t>343.87</w:t>
      </w:r>
      <w:r>
        <w:rPr>
          <w:rFonts w:hint="eastAsia" w:ascii="仿宋_GB2312" w:eastAsia="仿宋_GB2312" w:cs="DengXian-Regular"/>
          <w:sz w:val="32"/>
          <w:szCs w:val="32"/>
        </w:rPr>
        <w:t>万元，其中：基本支出</w:t>
      </w:r>
      <w:r>
        <w:rPr>
          <w:rFonts w:ascii="仿宋_GB2312" w:eastAsia="仿宋_GB2312" w:cs="DengXian-Regular"/>
          <w:sz w:val="32"/>
          <w:szCs w:val="32"/>
        </w:rPr>
        <w:t>134.87</w:t>
      </w:r>
      <w:r>
        <w:rPr>
          <w:rFonts w:hint="eastAsia" w:ascii="仿宋_GB2312" w:eastAsia="仿宋_GB2312" w:cs="DengXian-Regular"/>
          <w:sz w:val="32"/>
          <w:szCs w:val="32"/>
        </w:rPr>
        <w:t>万元，占</w:t>
      </w:r>
      <w:r>
        <w:rPr>
          <w:rFonts w:ascii="仿宋_GB2312" w:eastAsia="仿宋_GB2312" w:cs="DengXian-Regular"/>
          <w:sz w:val="32"/>
          <w:szCs w:val="32"/>
        </w:rPr>
        <w:t>3</w:t>
      </w:r>
      <w:r>
        <w:rPr>
          <w:rFonts w:ascii="Calibri" w:hAnsi="Calibri" w:eastAsia="仿宋_GB2312" w:cs="Calibri"/>
          <w:sz w:val="32"/>
          <w:szCs w:val="32"/>
        </w:rPr>
        <w:t>9.22</w:t>
      </w:r>
      <w:r>
        <w:rPr>
          <w:rFonts w:hint="eastAsia" w:ascii="仿宋_GB2312" w:eastAsia="仿宋_GB2312" w:cs="DengXian-Regular"/>
          <w:sz w:val="32"/>
          <w:szCs w:val="32"/>
        </w:rPr>
        <w:t>%；项目支出</w:t>
      </w:r>
      <w:r>
        <w:rPr>
          <w:rFonts w:ascii="仿宋_GB2312" w:eastAsia="仿宋_GB2312" w:cs="DengXian-Regular"/>
          <w:sz w:val="32"/>
          <w:szCs w:val="32"/>
        </w:rPr>
        <w:t>20</w:t>
      </w:r>
      <w:r>
        <w:rPr>
          <w:rFonts w:ascii="Calibri" w:hAnsi="Calibri" w:eastAsia="仿宋_GB2312" w:cs="Calibri"/>
          <w:sz w:val="32"/>
          <w:szCs w:val="32"/>
        </w:rPr>
        <w:t>9</w:t>
      </w:r>
      <w:r>
        <w:rPr>
          <w:rFonts w:hint="eastAsia" w:ascii="仿宋_GB2312" w:eastAsia="仿宋_GB2312" w:cs="DengXian-Regular"/>
          <w:sz w:val="32"/>
          <w:szCs w:val="32"/>
        </w:rPr>
        <w:t>万元，占</w:t>
      </w:r>
      <w:r>
        <w:rPr>
          <w:rFonts w:ascii="仿宋_GB2312" w:eastAsia="仿宋_GB2312" w:cs="DengXian-Regular"/>
          <w:sz w:val="32"/>
          <w:szCs w:val="32"/>
        </w:rPr>
        <w:t>60.78</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pStyle w:val="3"/>
        <w:spacing w:before="0" w:after="0" w:line="240" w:lineRule="auto"/>
        <w:ind w:firstLine="643" w:firstLineChars="200"/>
        <w:rPr>
          <w:rFonts w:ascii="黑体" w:eastAsia="黑体"/>
          <w:b w:val="0"/>
          <w:bCs w:val="0"/>
        </w:rPr>
      </w:pPr>
      <w:r>
        <w:drawing>
          <wp:inline distT="0" distB="0" distL="0" distR="0">
            <wp:extent cx="4219575" cy="2514600"/>
            <wp:effectExtent l="57150" t="0" r="47625" b="11430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ascii="仿宋_GB2312" w:eastAsia="仿宋_GB2312" w:cs="DengXian-Regular"/>
          <w:sz w:val="32"/>
          <w:szCs w:val="32"/>
        </w:rPr>
        <w:t>337.16</w:t>
      </w:r>
      <w:r>
        <w:rPr>
          <w:rFonts w:hint="eastAsia" w:ascii="仿宋_GB2312" w:eastAsia="仿宋_GB2312" w:cs="DengXian-Regular"/>
          <w:sz w:val="32"/>
          <w:szCs w:val="32"/>
        </w:rPr>
        <w:t>万元,比2017年度减少</w:t>
      </w:r>
      <w:r>
        <w:rPr>
          <w:rFonts w:ascii="仿宋_GB2312" w:eastAsia="仿宋_GB2312" w:cs="DengXian-Regular"/>
          <w:sz w:val="32"/>
          <w:szCs w:val="32"/>
        </w:rPr>
        <w:t>11</w:t>
      </w:r>
      <w:r>
        <w:rPr>
          <w:rFonts w:ascii="Calibri" w:hAnsi="Calibri" w:eastAsia="仿宋_GB2312" w:cs="Calibri"/>
          <w:sz w:val="32"/>
          <w:szCs w:val="32"/>
        </w:rPr>
        <w:t>9.96</w:t>
      </w:r>
      <w:r>
        <w:rPr>
          <w:rFonts w:hint="eastAsia" w:ascii="仿宋_GB2312" w:eastAsia="仿宋_GB2312" w:cs="DengXian-Regular"/>
          <w:sz w:val="32"/>
          <w:szCs w:val="32"/>
        </w:rPr>
        <w:t>万元，降低</w:t>
      </w:r>
      <w:r>
        <w:rPr>
          <w:rFonts w:ascii="仿宋_GB2312" w:eastAsia="仿宋_GB2312" w:cs="DengXian-Regular"/>
          <w:sz w:val="32"/>
          <w:szCs w:val="32"/>
        </w:rPr>
        <w:t>26.2</w:t>
      </w:r>
      <w:r>
        <w:rPr>
          <w:rFonts w:hint="eastAsia" w:ascii="仿宋_GB2312" w:eastAsia="仿宋_GB2312" w:cs="DengXian-Regular"/>
          <w:sz w:val="32"/>
          <w:szCs w:val="32"/>
        </w:rPr>
        <w:t>%，主要是项目支出减少；本年支出</w:t>
      </w:r>
      <w:r>
        <w:rPr>
          <w:rFonts w:ascii="仿宋_GB2312" w:eastAsia="仿宋_GB2312" w:cs="DengXian-Regular"/>
          <w:sz w:val="32"/>
          <w:szCs w:val="32"/>
        </w:rPr>
        <w:t>343.87</w:t>
      </w:r>
      <w:r>
        <w:rPr>
          <w:rFonts w:hint="eastAsia" w:ascii="仿宋_GB2312" w:eastAsia="仿宋_GB2312" w:cs="DengXian-Regular"/>
          <w:sz w:val="32"/>
          <w:szCs w:val="32"/>
        </w:rPr>
        <w:t>万元，减少</w:t>
      </w:r>
      <w:r>
        <w:rPr>
          <w:rFonts w:ascii="仿宋_GB2312" w:eastAsia="仿宋_GB2312" w:cs="DengXian-Regular"/>
          <w:sz w:val="32"/>
          <w:szCs w:val="32"/>
        </w:rPr>
        <w:t>141.07</w:t>
      </w:r>
      <w:r>
        <w:rPr>
          <w:rFonts w:hint="eastAsia" w:ascii="仿宋_GB2312" w:eastAsia="仿宋_GB2312" w:cs="DengXian-Regular"/>
          <w:sz w:val="32"/>
          <w:szCs w:val="32"/>
        </w:rPr>
        <w:t>万元，降低</w:t>
      </w:r>
      <w:r>
        <w:rPr>
          <w:rFonts w:ascii="仿宋_GB2312" w:eastAsia="仿宋_GB2312" w:cs="DengXian-Regular"/>
          <w:sz w:val="32"/>
          <w:szCs w:val="32"/>
        </w:rPr>
        <w:t>2</w:t>
      </w:r>
      <w:r>
        <w:rPr>
          <w:rFonts w:ascii="Calibri" w:hAnsi="Calibri" w:eastAsia="仿宋_GB2312" w:cs="Calibri"/>
          <w:sz w:val="32"/>
          <w:szCs w:val="32"/>
        </w:rPr>
        <w:t>9.1</w:t>
      </w:r>
      <w:r>
        <w:rPr>
          <w:rFonts w:hint="eastAsia" w:ascii="仿宋_GB2312" w:eastAsia="仿宋_GB2312" w:cs="DengXian-Regular"/>
          <w:sz w:val="32"/>
          <w:szCs w:val="32"/>
        </w:rPr>
        <w:t>%，主要是项目支出减少。</w: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0" distR="0">
            <wp:extent cx="4572000" cy="2981325"/>
            <wp:effectExtent l="57150" t="0" r="57150" b="10477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ascii="仿宋_GB2312" w:eastAsia="仿宋_GB2312" w:cs="DengXian-Regular"/>
          <w:sz w:val="32"/>
          <w:szCs w:val="32"/>
        </w:rPr>
        <w:t>337.16</w:t>
      </w:r>
      <w:r>
        <w:rPr>
          <w:rFonts w:hint="eastAsia" w:ascii="仿宋_GB2312" w:eastAsia="仿宋_GB2312" w:cs="DengXian-Regular"/>
          <w:sz w:val="32"/>
          <w:szCs w:val="32"/>
        </w:rPr>
        <w:t>万元，完成年初预算的</w:t>
      </w:r>
      <w:r>
        <w:rPr>
          <w:rFonts w:ascii="仿宋_GB2312" w:eastAsia="仿宋_GB2312" w:cs="DengXian-Regular"/>
          <w:sz w:val="32"/>
          <w:szCs w:val="32"/>
        </w:rPr>
        <w:t>130.3</w:t>
      </w:r>
      <w:r>
        <w:rPr>
          <w:rFonts w:hint="eastAsia" w:ascii="仿宋_GB2312" w:eastAsia="仿宋_GB2312" w:cs="DengXian-Regular"/>
          <w:sz w:val="32"/>
          <w:szCs w:val="32"/>
        </w:rPr>
        <w:t>%,比年初预算增加7</w:t>
      </w:r>
      <w:r>
        <w:rPr>
          <w:rFonts w:ascii="仿宋_GB2312" w:eastAsia="仿宋_GB2312" w:cs="DengXian-Regular"/>
          <w:sz w:val="32"/>
          <w:szCs w:val="32"/>
        </w:rPr>
        <w:t>8.34</w:t>
      </w:r>
      <w:r>
        <w:rPr>
          <w:rFonts w:hint="eastAsia" w:ascii="仿宋_GB2312" w:eastAsia="仿宋_GB2312" w:cs="DengXian-Regular"/>
          <w:sz w:val="32"/>
          <w:szCs w:val="32"/>
        </w:rPr>
        <w:t>万元，决算数大于预算数主要原因是项目增加；本年支出</w:t>
      </w:r>
      <w:r>
        <w:rPr>
          <w:rFonts w:ascii="仿宋_GB2312" w:eastAsia="仿宋_GB2312" w:cs="DengXian-Regular"/>
          <w:sz w:val="32"/>
          <w:szCs w:val="32"/>
        </w:rPr>
        <w:t>343.87</w:t>
      </w:r>
      <w:r>
        <w:rPr>
          <w:rFonts w:hint="eastAsia" w:ascii="仿宋_GB2312" w:eastAsia="仿宋_GB2312" w:cs="DengXian-Regular"/>
          <w:sz w:val="32"/>
          <w:szCs w:val="32"/>
        </w:rPr>
        <w:t>万元，完成年初预算的</w:t>
      </w:r>
      <w:r>
        <w:rPr>
          <w:rFonts w:ascii="仿宋_GB2312" w:eastAsia="仿宋_GB2312" w:cs="DengXian-Regular"/>
          <w:sz w:val="32"/>
          <w:szCs w:val="32"/>
        </w:rPr>
        <w:t>132.</w:t>
      </w:r>
      <w:r>
        <w:rPr>
          <w:rFonts w:ascii="Calibri" w:hAnsi="Calibri" w:eastAsia="仿宋_GB2312" w:cs="Calibri"/>
          <w:sz w:val="32"/>
          <w:szCs w:val="32"/>
        </w:rPr>
        <w:t>9</w:t>
      </w:r>
      <w:r>
        <w:rPr>
          <w:rFonts w:hint="eastAsia" w:ascii="仿宋_GB2312" w:eastAsia="仿宋_GB2312" w:cs="DengXian-Regular"/>
          <w:sz w:val="32"/>
          <w:szCs w:val="32"/>
        </w:rPr>
        <w:t>%,比年初预算增加</w:t>
      </w:r>
      <w:r>
        <w:rPr>
          <w:rFonts w:ascii="仿宋_GB2312" w:eastAsia="仿宋_GB2312" w:cs="DengXian-Regular"/>
          <w:sz w:val="32"/>
          <w:szCs w:val="32"/>
        </w:rPr>
        <w:t>85.05</w:t>
      </w:r>
      <w:r>
        <w:rPr>
          <w:rFonts w:hint="eastAsia" w:ascii="仿宋_GB2312" w:eastAsia="仿宋_GB2312" w:cs="DengXian-Regular"/>
          <w:sz w:val="32"/>
          <w:szCs w:val="32"/>
        </w:rPr>
        <w:t>万元，决算数大于预算数主要原因是项目支出增加。</w:t>
      </w:r>
    </w:p>
    <w:p>
      <w:pPr>
        <w:adjustRightInd w:val="0"/>
        <w:snapToGrid w:val="0"/>
        <w:spacing w:after="0" w:line="240" w:lineRule="auto"/>
        <w:ind w:firstLine="420" w:firstLineChars="200"/>
      </w:pPr>
      <w:r>
        <w:drawing>
          <wp:inline distT="0" distB="0" distL="0" distR="0">
            <wp:extent cx="4572000" cy="3486150"/>
            <wp:effectExtent l="57150" t="0" r="57150" b="11430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ascii="仿宋_GB2312" w:eastAsia="仿宋_GB2312" w:cs="DengXian-Regular"/>
          <w:sz w:val="32"/>
          <w:szCs w:val="32"/>
        </w:rPr>
        <w:t>343.87</w:t>
      </w:r>
      <w:r>
        <w:rPr>
          <w:rFonts w:hint="eastAsia" w:ascii="仿宋_GB2312" w:eastAsia="仿宋_GB2312" w:cs="DengXian-Regular"/>
          <w:sz w:val="32"/>
          <w:szCs w:val="32"/>
        </w:rPr>
        <w:t>万元，主要用于以下方面：科学技术（类）支出3</w:t>
      </w:r>
      <w:r>
        <w:rPr>
          <w:rFonts w:ascii="仿宋_GB2312" w:eastAsia="仿宋_GB2312" w:cs="DengXian-Regular"/>
          <w:sz w:val="32"/>
          <w:szCs w:val="32"/>
        </w:rPr>
        <w:t>28.5</w:t>
      </w:r>
      <w:r>
        <w:rPr>
          <w:rFonts w:ascii="Calibri" w:hAnsi="Calibri" w:eastAsia="仿宋_GB2312" w:cs="Calibri"/>
          <w:sz w:val="32"/>
          <w:szCs w:val="32"/>
        </w:rPr>
        <w:t>9</w:t>
      </w:r>
      <w:r>
        <w:rPr>
          <w:rFonts w:hint="eastAsia" w:ascii="仿宋_GB2312" w:eastAsia="仿宋_GB2312" w:cs="DengXian-Regular"/>
          <w:sz w:val="32"/>
          <w:szCs w:val="32"/>
        </w:rPr>
        <w:t>万元，占</w:t>
      </w:r>
      <w:r>
        <w:rPr>
          <w:rFonts w:ascii="Calibri" w:hAnsi="Calibri" w:eastAsia="仿宋_GB2312" w:cs="Calibri"/>
          <w:sz w:val="32"/>
          <w:szCs w:val="32"/>
        </w:rPr>
        <w:t>95.56</w:t>
      </w:r>
      <w:r>
        <w:rPr>
          <w:rFonts w:hint="eastAsia" w:ascii="仿宋_GB2312" w:eastAsia="仿宋_GB2312" w:cs="DengXian-Regular"/>
          <w:sz w:val="32"/>
          <w:szCs w:val="32"/>
        </w:rPr>
        <w:t>%；社会保障和就业（类）支出</w:t>
      </w:r>
      <w:r>
        <w:rPr>
          <w:rFonts w:ascii="仿宋_GB2312" w:eastAsia="仿宋_GB2312" w:cs="DengXian-Regular"/>
          <w:sz w:val="32"/>
          <w:szCs w:val="32"/>
        </w:rPr>
        <w:t>15.28</w:t>
      </w:r>
      <w:r>
        <w:rPr>
          <w:rFonts w:hint="eastAsia" w:ascii="仿宋_GB2312" w:eastAsia="仿宋_GB2312" w:cs="DengXian-Regular"/>
          <w:sz w:val="32"/>
          <w:szCs w:val="32"/>
        </w:rPr>
        <w:t>万元，占</w:t>
      </w:r>
      <w:r>
        <w:rPr>
          <w:rFonts w:ascii="仿宋_GB2312" w:eastAsia="仿宋_GB2312" w:cs="DengXian-Regular"/>
          <w:sz w:val="32"/>
          <w:szCs w:val="32"/>
        </w:rPr>
        <w:t>4.44</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rPr>
          <w:rFonts w:ascii="楷体_GB2312" w:eastAsia="楷体_GB2312" w:cs="DengXian-Bold"/>
          <w:b/>
          <w:bCs/>
          <w:sz w:val="32"/>
          <w:szCs w:val="32"/>
        </w:rPr>
      </w:pPr>
      <w:r>
        <w:drawing>
          <wp:inline distT="0" distB="0" distL="0" distR="0">
            <wp:extent cx="4572000" cy="3228975"/>
            <wp:effectExtent l="57150" t="0" r="57150" b="66675"/>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ascii="仿宋_GB2312" w:eastAsia="仿宋_GB2312" w:cs="DengXian-Regular"/>
          <w:sz w:val="32"/>
          <w:szCs w:val="32"/>
        </w:rPr>
        <w:t>134.87</w:t>
      </w:r>
      <w:r>
        <w:rPr>
          <w:rFonts w:hint="eastAsia" w:ascii="仿宋_GB2312" w:eastAsia="仿宋_GB2312" w:cs="DengXian-Regular"/>
          <w:sz w:val="32"/>
          <w:szCs w:val="32"/>
        </w:rPr>
        <w:t>万元，其中：人员经费</w:t>
      </w:r>
      <w:r>
        <w:rPr>
          <w:rFonts w:ascii="仿宋_GB2312" w:eastAsia="仿宋_GB2312" w:cs="DengXian-Regular"/>
          <w:sz w:val="32"/>
          <w:szCs w:val="32"/>
        </w:rPr>
        <w:t>115.</w:t>
      </w:r>
      <w:r>
        <w:rPr>
          <w:rFonts w:ascii="Calibri" w:hAnsi="Calibri" w:eastAsia="仿宋_GB2312" w:cs="Calibri"/>
          <w:sz w:val="32"/>
          <w:szCs w:val="32"/>
        </w:rPr>
        <w:t>96</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sz w:val="32"/>
          <w:szCs w:val="32"/>
        </w:rPr>
        <w:t>18.</w:t>
      </w:r>
      <w:r>
        <w:rPr>
          <w:rFonts w:ascii="Calibri" w:hAnsi="Calibri" w:eastAsia="仿宋_GB2312" w:cs="Calibri"/>
          <w:sz w:val="32"/>
          <w:szCs w:val="32"/>
        </w:rPr>
        <w:t>92</w:t>
      </w:r>
      <w:r>
        <w:rPr>
          <w:rFonts w:hint="eastAsia" w:ascii="仿宋_GB2312" w:eastAsia="仿宋_GB2312" w:cs="DengXian-Regular"/>
          <w:sz w:val="32"/>
          <w:szCs w:val="32"/>
        </w:rPr>
        <w:t>万元，主要包括办公费、印刷费、、邮电费、差旅费、公务接待费、公务用车运行维护费、其他交通费用、其他商品和服务支出、办公设备购置。</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ascii="仿宋_GB2312" w:eastAsia="仿宋_GB2312" w:cs="DengXian-Regular"/>
          <w:sz w:val="32"/>
          <w:szCs w:val="32"/>
        </w:rPr>
        <w:t>2.07</w:t>
      </w:r>
      <w:r>
        <w:rPr>
          <w:rFonts w:hint="eastAsia" w:ascii="仿宋_GB2312" w:eastAsia="仿宋_GB2312" w:cs="DengXian-Regular"/>
          <w:sz w:val="32"/>
          <w:szCs w:val="32"/>
        </w:rPr>
        <w:t>万元，出国出境经费0万元，公务用车运行维护费</w:t>
      </w:r>
      <w:r>
        <w:rPr>
          <w:rFonts w:ascii="仿宋_GB2312" w:eastAsia="仿宋_GB2312" w:cs="DengXian-Regular"/>
          <w:sz w:val="32"/>
          <w:szCs w:val="32"/>
        </w:rPr>
        <w:t>1.86</w:t>
      </w:r>
      <w:r>
        <w:rPr>
          <w:rFonts w:hint="eastAsia" w:ascii="仿宋_GB2312" w:eastAsia="仿宋_GB2312" w:cs="DengXian-Regular"/>
          <w:sz w:val="32"/>
          <w:szCs w:val="32"/>
        </w:rPr>
        <w:t>万元，公务接待费</w:t>
      </w:r>
      <w:r>
        <w:rPr>
          <w:rFonts w:ascii="仿宋_GB2312" w:eastAsia="仿宋_GB2312" w:cs="DengXian-Regular"/>
          <w:sz w:val="32"/>
          <w:szCs w:val="32"/>
        </w:rPr>
        <w:t>0.21</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较年初预算减少1</w:t>
      </w:r>
      <w:r>
        <w:rPr>
          <w:rFonts w:ascii="仿宋_GB2312" w:eastAsia="仿宋_GB2312" w:cs="DengXian-Regular"/>
          <w:b/>
          <w:bCs/>
          <w:sz w:val="32"/>
          <w:szCs w:val="32"/>
        </w:rPr>
        <w:t>.23</w:t>
      </w:r>
      <w:r>
        <w:rPr>
          <w:rFonts w:hint="eastAsia" w:ascii="仿宋_GB2312" w:eastAsia="仿宋_GB2312" w:cs="DengXian-Regular"/>
          <w:b/>
          <w:bCs/>
          <w:sz w:val="32"/>
          <w:szCs w:val="32"/>
        </w:rPr>
        <w:t>万元，减少3</w:t>
      </w:r>
      <w:r>
        <w:rPr>
          <w:rFonts w:ascii="仿宋_GB2312" w:eastAsia="仿宋_GB2312" w:cs="DengXian-Regular"/>
          <w:b/>
          <w:bCs/>
          <w:sz w:val="32"/>
          <w:szCs w:val="32"/>
        </w:rPr>
        <w:t>7.3</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ascii="Calibri" w:hAnsi="Calibri" w:eastAsia="楷体_GB2312" w:cs="Calibri"/>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Calibri" w:hAnsi="Calibri" w:eastAsia="楷体_GB2312" w:cs="Calibri"/>
          <w:b/>
          <w:bCs/>
          <w:sz w:val="32"/>
          <w:szCs w:val="32"/>
        </w:rPr>
        <w:t>1.86</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ascii="仿宋_GB2312" w:eastAsia="仿宋_GB2312" w:cs="DengXian-Regular"/>
          <w:sz w:val="32"/>
          <w:szCs w:val="32"/>
        </w:rPr>
        <w:t>1.14</w:t>
      </w:r>
      <w:r>
        <w:rPr>
          <w:rFonts w:hint="eastAsia" w:ascii="仿宋_GB2312" w:eastAsia="仿宋_GB2312" w:cs="DengXian-Regular"/>
          <w:sz w:val="32"/>
          <w:szCs w:val="32"/>
        </w:rPr>
        <w:t>万元，降低</w:t>
      </w:r>
      <w:r>
        <w:rPr>
          <w:rFonts w:ascii="仿宋_GB2312" w:eastAsia="仿宋_GB2312" w:cs="DengXian-Regular"/>
          <w:sz w:val="32"/>
          <w:szCs w:val="32"/>
        </w:rPr>
        <w:t>0.38</w:t>
      </w:r>
      <w:r>
        <w:rPr>
          <w:rFonts w:hint="eastAsia" w:ascii="仿宋_GB2312" w:eastAsia="仿宋_GB2312" w:cs="DengXian-Regular"/>
          <w:sz w:val="32"/>
          <w:szCs w:val="32"/>
        </w:rPr>
        <w:t>%,主要是公车改革减少运行费。</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万元。公务用车购置费支出较年初预算增加0万元，增长0%,本部门金额为0未发生此类支出。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辆。公车运行维护费支出1</w:t>
      </w:r>
      <w:r>
        <w:rPr>
          <w:rFonts w:ascii="仿宋_GB2312" w:eastAsia="仿宋_GB2312" w:cs="DengXian-Regular"/>
          <w:sz w:val="32"/>
          <w:szCs w:val="32"/>
        </w:rPr>
        <w:t>.86</w:t>
      </w:r>
      <w:r>
        <w:rPr>
          <w:rFonts w:hint="eastAsia" w:ascii="仿宋_GB2312" w:eastAsia="仿宋_GB2312" w:cs="DengXian-Regular"/>
          <w:sz w:val="32"/>
          <w:szCs w:val="32"/>
        </w:rPr>
        <w:t>万元，较年初预算减少1</w:t>
      </w:r>
      <w:r>
        <w:rPr>
          <w:rFonts w:ascii="仿宋_GB2312" w:eastAsia="仿宋_GB2312" w:cs="DengXian-Regular"/>
          <w:sz w:val="32"/>
          <w:szCs w:val="32"/>
        </w:rPr>
        <w:t>.14</w:t>
      </w:r>
      <w:r>
        <w:rPr>
          <w:rFonts w:hint="eastAsia" w:ascii="仿宋_GB2312" w:eastAsia="仿宋_GB2312" w:cs="DengXian-Regular"/>
          <w:sz w:val="32"/>
          <w:szCs w:val="32"/>
        </w:rPr>
        <w:t>万元，降低0</w:t>
      </w:r>
      <w:r>
        <w:rPr>
          <w:rFonts w:ascii="仿宋_GB2312" w:eastAsia="仿宋_GB2312" w:cs="DengXian-Regular"/>
          <w:sz w:val="32"/>
          <w:szCs w:val="32"/>
        </w:rPr>
        <w:t>.38</w:t>
      </w:r>
      <w:r>
        <w:rPr>
          <w:rFonts w:hint="eastAsia" w:ascii="仿宋_GB2312" w:eastAsia="仿宋_GB2312" w:cs="DengXian-Regular"/>
          <w:sz w:val="32"/>
          <w:szCs w:val="32"/>
        </w:rPr>
        <w:t>%,主要是公车改革减少运行费。</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Calibri" w:hAnsi="Calibri" w:eastAsia="楷体_GB2312" w:cs="Calibri"/>
          <w:b/>
          <w:bCs/>
          <w:sz w:val="32"/>
          <w:szCs w:val="32"/>
        </w:rPr>
        <w:t>0.21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w:t>
      </w:r>
      <w:r>
        <w:rPr>
          <w:rFonts w:ascii="仿宋_GB2312" w:eastAsia="仿宋_GB2312" w:cs="DengXian-Regular"/>
          <w:sz w:val="32"/>
          <w:szCs w:val="32"/>
        </w:rPr>
        <w:t>4</w:t>
      </w:r>
      <w:r>
        <w:rPr>
          <w:rFonts w:hint="eastAsia" w:ascii="仿宋_GB2312" w:eastAsia="仿宋_GB2312" w:cs="DengXian-Regular"/>
          <w:sz w:val="32"/>
          <w:szCs w:val="32"/>
        </w:rPr>
        <w:t>批次、</w:t>
      </w:r>
      <w:r>
        <w:rPr>
          <w:rFonts w:ascii="仿宋_GB2312" w:eastAsia="仿宋_GB2312" w:cs="DengXian-Regular"/>
          <w:sz w:val="32"/>
          <w:szCs w:val="32"/>
        </w:rPr>
        <w:t>15</w:t>
      </w:r>
      <w:r>
        <w:rPr>
          <w:rFonts w:hint="eastAsia" w:ascii="仿宋_GB2312" w:eastAsia="仿宋_GB2312" w:cs="DengXian-Regular"/>
          <w:sz w:val="32"/>
          <w:szCs w:val="32"/>
        </w:rPr>
        <w:t>人次。公务接待费支出0</w:t>
      </w:r>
      <w:r>
        <w:rPr>
          <w:rFonts w:ascii="仿宋_GB2312" w:eastAsia="仿宋_GB2312" w:cs="DengXian-Regular"/>
          <w:sz w:val="32"/>
          <w:szCs w:val="32"/>
        </w:rPr>
        <w:t>.21</w:t>
      </w:r>
      <w:r>
        <w:rPr>
          <w:rFonts w:hint="eastAsia" w:ascii="仿宋_GB2312" w:eastAsia="仿宋_GB2312" w:cs="DengXian-Regular"/>
          <w:sz w:val="32"/>
          <w:szCs w:val="32"/>
        </w:rPr>
        <w:t>万元，较年初预算减少0</w:t>
      </w:r>
      <w:r>
        <w:rPr>
          <w:rFonts w:ascii="仿宋_GB2312" w:eastAsia="仿宋_GB2312" w:cs="DengXian-Regular"/>
          <w:sz w:val="32"/>
          <w:szCs w:val="32"/>
        </w:rPr>
        <w:t>.0</w:t>
      </w:r>
      <w:r>
        <w:rPr>
          <w:rFonts w:ascii="Calibri" w:hAnsi="Calibri" w:eastAsia="仿宋_GB2312" w:cs="Calibri"/>
          <w:sz w:val="32"/>
          <w:szCs w:val="32"/>
        </w:rPr>
        <w:t>9</w:t>
      </w:r>
      <w:r>
        <w:rPr>
          <w:rFonts w:hint="eastAsia" w:ascii="仿宋_GB2312" w:eastAsia="仿宋_GB2312" w:cs="DengXian-Regular"/>
          <w:sz w:val="32"/>
          <w:szCs w:val="32"/>
        </w:rPr>
        <w:t>万元，降低3</w:t>
      </w:r>
      <w:r>
        <w:rPr>
          <w:rFonts w:ascii="仿宋_GB2312" w:eastAsia="仿宋_GB2312" w:cs="DengXian-Regular"/>
          <w:sz w:val="32"/>
          <w:szCs w:val="32"/>
        </w:rPr>
        <w:t>0</w:t>
      </w:r>
      <w:r>
        <w:rPr>
          <w:rFonts w:hint="eastAsia" w:ascii="仿宋_GB2312" w:eastAsia="仿宋_GB2312" w:cs="DengXian-Regular"/>
          <w:sz w:val="32"/>
          <w:szCs w:val="32"/>
        </w:rPr>
        <w:t>%,主要是考察科技项目接待。</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一）绩效管理工作开展情况。现代财政资金讲究绩效管理，即花钱就有效，无效必问责，将所有财政资金纳入绩效管理，是财政改革的必由之路。绩效指标的设置和评价体系建立是实现绩效管理的关键，移动门户项目资金主管部门根据项目具体情况，科学设置绩效考核指标，并由中立的第三方按照既定评价方法进行科学评价，确保每一笔财政资金均能够实现自己的价值。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spacing w:line="500" w:lineRule="exact"/>
        <w:ind w:firstLine="640" w:firstLineChars="200"/>
        <w:rPr>
          <w:rFonts w:ascii="仿宋" w:hAnsi="仿宋" w:eastAsia="仿宋" w:cs="仿宋"/>
          <w:sz w:val="32"/>
          <w:szCs w:val="32"/>
        </w:rPr>
      </w:pPr>
      <w:r>
        <w:rPr>
          <w:rFonts w:hint="eastAsia" w:ascii="仿宋" w:hAnsi="仿宋" w:eastAsia="仿宋" w:cs="仿宋"/>
          <w:sz w:val="32"/>
          <w:szCs w:val="32"/>
        </w:rPr>
        <w:t>（二）预算项目绩效评价开展情况：依据《预算法》《河北省预算管理规定》《河北省人民政府关于深化预算管理制度改革的意见》等有关政策要求，做好部门预算管理工作。</w:t>
      </w:r>
    </w:p>
    <w:p>
      <w:pPr>
        <w:spacing w:line="500" w:lineRule="exact"/>
        <w:ind w:firstLine="640" w:firstLineChars="200"/>
        <w:rPr>
          <w:rFonts w:ascii="仿宋" w:hAnsi="仿宋" w:eastAsia="仿宋" w:cs="仿宋"/>
          <w:sz w:val="32"/>
          <w:szCs w:val="32"/>
        </w:rPr>
      </w:pPr>
      <w:r>
        <w:rPr>
          <w:rFonts w:hint="eastAsia" w:ascii="仿宋" w:hAnsi="仿宋" w:eastAsia="仿宋" w:cs="仿宋"/>
          <w:sz w:val="32"/>
          <w:szCs w:val="32"/>
        </w:rPr>
        <w:t>一是突出重点。紧紧围绕县委县政府的决策部署，调整优化支出结构，加强资金整合统筹，突出支持协同发展、脱贫攻坚、民生保障、更好地发挥对文化事业和文化产业的保障作用。</w:t>
      </w:r>
    </w:p>
    <w:p>
      <w:pPr>
        <w:spacing w:line="500" w:lineRule="exact"/>
        <w:ind w:firstLine="640" w:firstLineChars="200"/>
        <w:rPr>
          <w:rFonts w:ascii="仿宋" w:hAnsi="仿宋" w:eastAsia="仿宋" w:cs="仿宋"/>
          <w:sz w:val="32"/>
          <w:szCs w:val="32"/>
        </w:rPr>
      </w:pPr>
      <w:r>
        <w:rPr>
          <w:rFonts w:hint="eastAsia" w:ascii="仿宋" w:hAnsi="仿宋" w:eastAsia="仿宋" w:cs="仿宋"/>
          <w:sz w:val="32"/>
          <w:szCs w:val="32"/>
        </w:rPr>
        <w:t>二是绩效导向。部门根据绩效高低，区分轻重缓急，合理安排顺序，健全预算绩效和预算安排挂钩机制，提高资金使用效益。</w:t>
      </w:r>
    </w:p>
    <w:p>
      <w:pPr>
        <w:spacing w:line="500" w:lineRule="exact"/>
        <w:ind w:firstLine="640" w:firstLineChars="200"/>
        <w:rPr>
          <w:rFonts w:ascii="仿宋" w:hAnsi="仿宋" w:eastAsia="仿宋" w:cs="仿宋"/>
          <w:sz w:val="32"/>
          <w:szCs w:val="32"/>
        </w:rPr>
      </w:pPr>
      <w:r>
        <w:rPr>
          <w:rFonts w:hint="eastAsia" w:ascii="仿宋" w:hAnsi="仿宋" w:eastAsia="仿宋" w:cs="仿宋"/>
          <w:sz w:val="32"/>
          <w:szCs w:val="32"/>
        </w:rPr>
        <w:t>三是依法理财。全面落实《预算法》等各项规定，改进预算和控制方法，加强财政资金管理，硬化预算刚性约束，积极推进预算公开。</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根据预算绩效管理要求，</w:t>
      </w:r>
      <w:r>
        <w:rPr>
          <w:rFonts w:hint="eastAsia" w:ascii="仿宋" w:hAnsi="仿宋" w:eastAsia="仿宋" w:cs="仿宋"/>
          <w:sz w:val="32"/>
        </w:rPr>
        <w:t>涉及</w:t>
      </w:r>
      <w:r>
        <w:rPr>
          <w:rFonts w:hint="eastAsia" w:ascii="仿宋" w:hAnsi="仿宋" w:eastAsia="仿宋" w:cs="仿宋"/>
          <w:sz w:val="32"/>
          <w:szCs w:val="32"/>
        </w:rPr>
        <w:t>下达2018年支持市县应用技术研究与开发、2018年支持市县科技成果转化与扩散2</w:t>
      </w:r>
      <w:r>
        <w:rPr>
          <w:rFonts w:hint="eastAsia" w:ascii="仿宋" w:hAnsi="仿宋" w:eastAsia="仿宋" w:cs="仿宋"/>
          <w:sz w:val="32"/>
        </w:rPr>
        <w:t>个项目，涉及资金193万元。从评价情况看，评价结果为优秀的项目有2个。</w:t>
      </w:r>
    </w:p>
    <w:p>
      <w:pPr>
        <w:adjustRightInd w:val="0"/>
        <w:snapToGrid w:val="0"/>
        <w:spacing w:after="0" w:line="580" w:lineRule="exact"/>
        <w:ind w:firstLine="640" w:firstLineChars="200"/>
        <w:rPr>
          <w:rFonts w:ascii="仿宋" w:hAnsi="仿宋" w:eastAsia="仿宋" w:cs="仿宋"/>
          <w:sz w:val="32"/>
          <w:szCs w:val="32"/>
          <w:shd w:val="pct10" w:color="auto" w:fill="FFFFFF"/>
        </w:rPr>
      </w:pPr>
      <w:r>
        <w:rPr>
          <w:rFonts w:hint="eastAsia" w:ascii="仿宋" w:hAnsi="仿宋" w:eastAsia="仿宋" w:cs="仿宋"/>
          <w:sz w:val="32"/>
          <w:szCs w:val="32"/>
        </w:rPr>
        <w:t>（三）预算项目绩效自评选例</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单位应用技术研究与开发项目绩效自评：根据年初设定的绩效目标，应用技术研究与开发项目绩效自评结果为优秀。项目全年预算数为143万元，执行数为143万元，完成预算的100%。主要产出和效果是提高了企业的科学技术研究与开发。</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ascii="仿宋_GB2312" w:eastAsia="仿宋_GB2312" w:cs="DengXian-Regular"/>
          <w:sz w:val="32"/>
          <w:szCs w:val="32"/>
        </w:rPr>
        <w:t>18.</w:t>
      </w:r>
      <w:r>
        <w:rPr>
          <w:rFonts w:ascii="Calibri" w:hAnsi="Calibri" w:eastAsia="仿宋_GB2312" w:cs="Calibri"/>
          <w:sz w:val="32"/>
          <w:szCs w:val="32"/>
        </w:rPr>
        <w:t>92</w:t>
      </w:r>
      <w:r>
        <w:rPr>
          <w:rFonts w:hint="eastAsia" w:ascii="仿宋_GB2312" w:eastAsia="仿宋_GB2312" w:cs="DengXian-Regular"/>
          <w:sz w:val="32"/>
          <w:szCs w:val="32"/>
        </w:rPr>
        <w:t>万元，比年初预算数增加</w:t>
      </w:r>
      <w:r>
        <w:rPr>
          <w:rFonts w:ascii="仿宋_GB2312" w:eastAsia="仿宋_GB2312" w:cs="DengXian-Regular"/>
          <w:sz w:val="32"/>
          <w:szCs w:val="32"/>
        </w:rPr>
        <w:t>4.</w:t>
      </w:r>
      <w:r>
        <w:rPr>
          <w:rFonts w:ascii="Calibri" w:hAnsi="Calibri" w:eastAsia="仿宋_GB2312" w:cs="Calibri"/>
          <w:sz w:val="32"/>
          <w:szCs w:val="32"/>
        </w:rPr>
        <w:t>92</w:t>
      </w:r>
      <w:r>
        <w:rPr>
          <w:rFonts w:hint="eastAsia" w:ascii="仿宋_GB2312" w:eastAsia="仿宋_GB2312" w:cs="DengXian-Regular"/>
          <w:sz w:val="32"/>
          <w:szCs w:val="32"/>
        </w:rPr>
        <w:t>万元，增长3</w:t>
      </w:r>
      <w:r>
        <w:rPr>
          <w:rFonts w:ascii="仿宋_GB2312" w:eastAsia="仿宋_GB2312" w:cs="DengXian-Regular"/>
          <w:sz w:val="32"/>
          <w:szCs w:val="32"/>
        </w:rPr>
        <w:t>5.1</w:t>
      </w:r>
      <w:r>
        <w:rPr>
          <w:rFonts w:hint="eastAsia" w:ascii="仿宋_GB2312" w:eastAsia="仿宋_GB2312" w:cs="DengXian-Regular"/>
          <w:sz w:val="32"/>
          <w:szCs w:val="32"/>
        </w:rPr>
        <w:t>%。主要原因是本年度统计口径变化。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eastAsia="仿宋_GB2312" w:cs="DengXian-Regular"/>
          <w:sz w:val="32"/>
          <w:szCs w:val="32"/>
        </w:rPr>
        <w:t>本部门2018年度政府采购支出总额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政府采购货物支出0万元、政府采购工程支出0万元、政府采购服务支出0万元。授予中小企业合同金0万元，占政府采购支出总额的0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其中授予小微企业合同金额0万元，占政府采购支出总额的 0%。</w:t>
      </w:r>
      <w:r>
        <w:rPr>
          <w:rFonts w:hint="eastAsia" w:ascii="仿宋_GB2312" w:hAnsi="仿宋_GB2312" w:eastAsia="仿宋_GB2312" w:cs="仿宋_GB2312"/>
          <w:color w:val="000000"/>
          <w:kern w:val="0"/>
          <w:sz w:val="32"/>
          <w:szCs w:val="32"/>
        </w:rPr>
        <w:t>与年初预算持平。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ascii="仿宋_GB2312" w:eastAsia="仿宋_GB2312" w:cs="DengXian-Regular"/>
          <w:sz w:val="32"/>
          <w:szCs w:val="32"/>
        </w:rPr>
        <w:t>1</w:t>
      </w:r>
      <w:r>
        <w:rPr>
          <w:rFonts w:hint="eastAsia" w:ascii="仿宋_GB2312" w:eastAsia="仿宋_GB2312" w:cs="DengXian-Regular"/>
          <w:sz w:val="32"/>
          <w:szCs w:val="32"/>
        </w:rPr>
        <w:t>辆，比上年无变化。其中，副部（省）级及以上领导用车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1</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0</w:t>
      </w:r>
      <w:r>
        <w:rPr>
          <w:rFonts w:hint="eastAsia" w:ascii="仿宋_GB2312" w:eastAsia="仿宋_GB2312" w:cs="DengXian-Regular"/>
          <w:sz w:val="32"/>
          <w:szCs w:val="32"/>
        </w:rPr>
        <w:t>辆，执法执勤用车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辆，离退休干部用车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台（套），比上年无增减变化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1、本部门2018年度政府性基金预算财政拨款收入支出决算表、国有资本经营预算财政拨款支出决算表、政府采购情况表无收支及结转结余情况，故以上表以空表列示。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5E23D57-A55B-405D-B8CF-E8BFEA3946B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5BD73FD-D028-46F1-89CB-83209A67C87F}"/>
  </w:font>
  <w:font w:name="Cambria">
    <w:panose1 w:val="02040503050406030204"/>
    <w:charset w:val="00"/>
    <w:family w:val="roman"/>
    <w:pitch w:val="default"/>
    <w:sig w:usb0="E00006FF" w:usb1="420024FF" w:usb2="02000000" w:usb3="00000000" w:csb0="2000019F" w:csb1="00000000"/>
    <w:embedRegular r:id="rId3" w:fontKey="{82CD51EA-D920-4092-BDDF-E56E3C141836}"/>
  </w:font>
  <w:font w:name="楷体">
    <w:panose1 w:val="02010609060101010101"/>
    <w:charset w:val="86"/>
    <w:family w:val="modern"/>
    <w:pitch w:val="default"/>
    <w:sig w:usb0="800002BF" w:usb1="38CF7CFA" w:usb2="00000016" w:usb3="00000000" w:csb0="00040001" w:csb1="00000000"/>
    <w:embedRegular r:id="rId4" w:fontKey="{E560D051-015F-4320-AF83-7FA4A6E44F3E}"/>
  </w:font>
  <w:font w:name="楷体_GB2312">
    <w:panose1 w:val="02010609030101010101"/>
    <w:charset w:val="86"/>
    <w:family w:val="modern"/>
    <w:pitch w:val="default"/>
    <w:sig w:usb0="00000001" w:usb1="080E0000" w:usb2="00000000" w:usb3="00000000" w:csb0="00040000" w:csb1="00000000"/>
    <w:embedRegular r:id="rId5" w:fontKey="{A0549851-20C7-43E1-8305-FBACDE4C6AC0}"/>
  </w:font>
  <w:font w:name="仿宋_GB2312">
    <w:panose1 w:val="02010609030101010101"/>
    <w:charset w:val="86"/>
    <w:family w:val="modern"/>
    <w:pitch w:val="default"/>
    <w:sig w:usb0="00000001" w:usb1="080E0000" w:usb2="00000000" w:usb3="00000000" w:csb0="00040000" w:csb1="00000000"/>
    <w:embedRegular r:id="rId6" w:fontKey="{91901638-A4E9-4481-8594-BEF50525F1CB}"/>
  </w:font>
  <w:font w:name="ArialUnicodeMS">
    <w:altName w:val="Malgun Gothic"/>
    <w:panose1 w:val="00000000000000000000"/>
    <w:charset w:val="81"/>
    <w:family w:val="auto"/>
    <w:pitch w:val="default"/>
    <w:sig w:usb0="00000000" w:usb1="00000000" w:usb2="00000010" w:usb3="00000000" w:csb0="00080001" w:csb1="00000000"/>
    <w:embedRegular r:id="rId7" w:fontKey="{63A08D72-BB78-4BCD-89C6-7C119A558F2F}"/>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8" w:fontKey="{8D9BEF9C-C5CD-46BC-AC46-0C5EA36B7303}"/>
  </w:font>
  <w:font w:name="微软雅黑">
    <w:panose1 w:val="020B0503020204020204"/>
    <w:charset w:val="86"/>
    <w:family w:val="swiss"/>
    <w:pitch w:val="default"/>
    <w:sig w:usb0="80000287" w:usb1="2ACF3C50" w:usb2="00000016" w:usb3="00000000" w:csb0="0004001F" w:csb1="00000000"/>
    <w:embedRegular r:id="rId9" w:fontKey="{BE0C7D11-FD58-4D63-B053-9B8CB59A4B8A}"/>
  </w:font>
  <w:font w:name="MS-UIGothic,Bold">
    <w:altName w:val="Malgun Gothic"/>
    <w:panose1 w:val="00000000000000000000"/>
    <w:charset w:val="81"/>
    <w:family w:val="auto"/>
    <w:pitch w:val="default"/>
    <w:sig w:usb0="00000000" w:usb1="00000000" w:usb2="00000010" w:usb3="00000000" w:csb0="00080000" w:csb1="00000000"/>
    <w:embedRegular r:id="rId10" w:fontKey="{163964C9-CBF9-46CB-837E-7B52DE8C99F1}"/>
  </w:font>
  <w:font w:name="Arial">
    <w:panose1 w:val="020B0604020202020204"/>
    <w:charset w:val="00"/>
    <w:family w:val="swiss"/>
    <w:pitch w:val="default"/>
    <w:sig w:usb0="E0002EFF" w:usb1="C000785B" w:usb2="00000009" w:usb3="00000000" w:csb0="400001FF" w:csb1="FFFF0000"/>
    <w:embedRegular r:id="rId11" w:fontKey="{A0850130-3FF4-44F3-A507-44716C284A7A}"/>
  </w:font>
  <w:font w:name="DengXian-Regular">
    <w:altName w:val="宋体"/>
    <w:panose1 w:val="00000000000000000000"/>
    <w:charset w:val="86"/>
    <w:family w:val="auto"/>
    <w:pitch w:val="default"/>
    <w:sig w:usb0="00000000" w:usb1="00000000" w:usb2="00000010" w:usb3="00000000" w:csb0="00040001" w:csb1="00000000"/>
    <w:embedRegular r:id="rId12" w:fontKey="{B96D2533-6BD6-4AAD-BBA6-C3E873B5C523}"/>
  </w:font>
  <w:font w:name="DengXian-Bold">
    <w:altName w:val="宋体"/>
    <w:panose1 w:val="00000000000000000000"/>
    <w:charset w:val="86"/>
    <w:family w:val="auto"/>
    <w:pitch w:val="default"/>
    <w:sig w:usb0="00000000" w:usb1="00000000" w:usb2="00000010" w:usb3="00000000" w:csb0="00040001" w:csb1="00000000"/>
    <w:embedRegular r:id="rId13" w:fontKey="{D07A274D-D7E9-4073-93E1-0B8CDEBE6DBB}"/>
  </w:font>
  <w:font w:name="TimesNewRomanPSMT">
    <w:altName w:val="Arial"/>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03928"/>
    <w:rsid w:val="00004AFD"/>
    <w:rsid w:val="00024E7F"/>
    <w:rsid w:val="000475A0"/>
    <w:rsid w:val="000838C3"/>
    <w:rsid w:val="000B2446"/>
    <w:rsid w:val="000D7C65"/>
    <w:rsid w:val="000E2F81"/>
    <w:rsid w:val="000F6834"/>
    <w:rsid w:val="00100BAF"/>
    <w:rsid w:val="00117946"/>
    <w:rsid w:val="00117E2C"/>
    <w:rsid w:val="00146C47"/>
    <w:rsid w:val="00152FB8"/>
    <w:rsid w:val="00165A04"/>
    <w:rsid w:val="00176658"/>
    <w:rsid w:val="0018239E"/>
    <w:rsid w:val="001B3410"/>
    <w:rsid w:val="001C030D"/>
    <w:rsid w:val="001C2DE6"/>
    <w:rsid w:val="001C4A84"/>
    <w:rsid w:val="001C74EE"/>
    <w:rsid w:val="001E5902"/>
    <w:rsid w:val="001F4B20"/>
    <w:rsid w:val="002202D4"/>
    <w:rsid w:val="00221B5E"/>
    <w:rsid w:val="00224E91"/>
    <w:rsid w:val="00233705"/>
    <w:rsid w:val="00234C15"/>
    <w:rsid w:val="00275CA2"/>
    <w:rsid w:val="002765B7"/>
    <w:rsid w:val="00276729"/>
    <w:rsid w:val="002A65A5"/>
    <w:rsid w:val="002B23EF"/>
    <w:rsid w:val="002C04C4"/>
    <w:rsid w:val="002D08B0"/>
    <w:rsid w:val="002D1AE3"/>
    <w:rsid w:val="002E3E36"/>
    <w:rsid w:val="002F2ECE"/>
    <w:rsid w:val="003247D5"/>
    <w:rsid w:val="00341C8F"/>
    <w:rsid w:val="0035463A"/>
    <w:rsid w:val="003550C3"/>
    <w:rsid w:val="00391D9D"/>
    <w:rsid w:val="00391E1D"/>
    <w:rsid w:val="003B0647"/>
    <w:rsid w:val="003B6C51"/>
    <w:rsid w:val="003C1413"/>
    <w:rsid w:val="003C549F"/>
    <w:rsid w:val="003D5A16"/>
    <w:rsid w:val="003E7DB3"/>
    <w:rsid w:val="003F7EC9"/>
    <w:rsid w:val="00414CE4"/>
    <w:rsid w:val="0042560E"/>
    <w:rsid w:val="00431175"/>
    <w:rsid w:val="00436CF3"/>
    <w:rsid w:val="00481C3C"/>
    <w:rsid w:val="004B6E37"/>
    <w:rsid w:val="004C32BA"/>
    <w:rsid w:val="004D35E1"/>
    <w:rsid w:val="00502871"/>
    <w:rsid w:val="005063F0"/>
    <w:rsid w:val="00575922"/>
    <w:rsid w:val="00596DD3"/>
    <w:rsid w:val="005A6C90"/>
    <w:rsid w:val="005E3FB0"/>
    <w:rsid w:val="005F4B66"/>
    <w:rsid w:val="005F5208"/>
    <w:rsid w:val="006141AD"/>
    <w:rsid w:val="00641318"/>
    <w:rsid w:val="0064405D"/>
    <w:rsid w:val="006643AC"/>
    <w:rsid w:val="00685302"/>
    <w:rsid w:val="00695557"/>
    <w:rsid w:val="006B2C8A"/>
    <w:rsid w:val="006D4EA7"/>
    <w:rsid w:val="0070012A"/>
    <w:rsid w:val="0070664B"/>
    <w:rsid w:val="007071B8"/>
    <w:rsid w:val="007414DE"/>
    <w:rsid w:val="00741879"/>
    <w:rsid w:val="0074209C"/>
    <w:rsid w:val="007623AF"/>
    <w:rsid w:val="00766A30"/>
    <w:rsid w:val="007905A9"/>
    <w:rsid w:val="007E238C"/>
    <w:rsid w:val="007E5500"/>
    <w:rsid w:val="007F055B"/>
    <w:rsid w:val="00800E03"/>
    <w:rsid w:val="0080644C"/>
    <w:rsid w:val="00811C2F"/>
    <w:rsid w:val="00817FA8"/>
    <w:rsid w:val="00820251"/>
    <w:rsid w:val="00833D46"/>
    <w:rsid w:val="00840A97"/>
    <w:rsid w:val="008C0149"/>
    <w:rsid w:val="008C689C"/>
    <w:rsid w:val="008D1953"/>
    <w:rsid w:val="008D5DED"/>
    <w:rsid w:val="008E25CA"/>
    <w:rsid w:val="008E4610"/>
    <w:rsid w:val="008E578E"/>
    <w:rsid w:val="008F34FC"/>
    <w:rsid w:val="00900F38"/>
    <w:rsid w:val="00935058"/>
    <w:rsid w:val="00944CD7"/>
    <w:rsid w:val="009831B2"/>
    <w:rsid w:val="009A1ABE"/>
    <w:rsid w:val="009E21A4"/>
    <w:rsid w:val="009F22C6"/>
    <w:rsid w:val="00A07E50"/>
    <w:rsid w:val="00A15397"/>
    <w:rsid w:val="00A35CE0"/>
    <w:rsid w:val="00A4462E"/>
    <w:rsid w:val="00A44AA4"/>
    <w:rsid w:val="00A520B8"/>
    <w:rsid w:val="00A61623"/>
    <w:rsid w:val="00A84687"/>
    <w:rsid w:val="00A97E3D"/>
    <w:rsid w:val="00AB0A0E"/>
    <w:rsid w:val="00AD041A"/>
    <w:rsid w:val="00AD3B6E"/>
    <w:rsid w:val="00AF76BB"/>
    <w:rsid w:val="00B1751F"/>
    <w:rsid w:val="00B56722"/>
    <w:rsid w:val="00B74D39"/>
    <w:rsid w:val="00B77297"/>
    <w:rsid w:val="00B91DA4"/>
    <w:rsid w:val="00BA784B"/>
    <w:rsid w:val="00BF178C"/>
    <w:rsid w:val="00C12630"/>
    <w:rsid w:val="00C34562"/>
    <w:rsid w:val="00C3774E"/>
    <w:rsid w:val="00C57456"/>
    <w:rsid w:val="00C65387"/>
    <w:rsid w:val="00C87FAB"/>
    <w:rsid w:val="00C91FF7"/>
    <w:rsid w:val="00C94E53"/>
    <w:rsid w:val="00D0048E"/>
    <w:rsid w:val="00D23E7A"/>
    <w:rsid w:val="00D264DD"/>
    <w:rsid w:val="00D34540"/>
    <w:rsid w:val="00D51D40"/>
    <w:rsid w:val="00D61063"/>
    <w:rsid w:val="00DA46C0"/>
    <w:rsid w:val="00DB35AF"/>
    <w:rsid w:val="00DB4978"/>
    <w:rsid w:val="00DD72D7"/>
    <w:rsid w:val="00DF1FFE"/>
    <w:rsid w:val="00DF5B88"/>
    <w:rsid w:val="00E0589E"/>
    <w:rsid w:val="00E241FA"/>
    <w:rsid w:val="00E2595E"/>
    <w:rsid w:val="00E35374"/>
    <w:rsid w:val="00E50C19"/>
    <w:rsid w:val="00E64655"/>
    <w:rsid w:val="00E73081"/>
    <w:rsid w:val="00E856C9"/>
    <w:rsid w:val="00E8744D"/>
    <w:rsid w:val="00EA198B"/>
    <w:rsid w:val="00EB6A8B"/>
    <w:rsid w:val="00EF38C6"/>
    <w:rsid w:val="00EF6B75"/>
    <w:rsid w:val="00F35C97"/>
    <w:rsid w:val="00F522C6"/>
    <w:rsid w:val="00F679C7"/>
    <w:rsid w:val="00F7711A"/>
    <w:rsid w:val="00FA0D58"/>
    <w:rsid w:val="00FA56F4"/>
    <w:rsid w:val="00FB00A0"/>
    <w:rsid w:val="00FB4EDA"/>
    <w:rsid w:val="00FD3BD5"/>
    <w:rsid w:val="00FE3DC8"/>
    <w:rsid w:val="04073F84"/>
    <w:rsid w:val="0B60750A"/>
    <w:rsid w:val="10686488"/>
    <w:rsid w:val="10DF728A"/>
    <w:rsid w:val="1264200E"/>
    <w:rsid w:val="141C5B77"/>
    <w:rsid w:val="18D8339D"/>
    <w:rsid w:val="1A21388F"/>
    <w:rsid w:val="1A570D2F"/>
    <w:rsid w:val="28FB0B8D"/>
    <w:rsid w:val="2A9870FC"/>
    <w:rsid w:val="2C183931"/>
    <w:rsid w:val="2D2B7942"/>
    <w:rsid w:val="2D46481D"/>
    <w:rsid w:val="2E733B28"/>
    <w:rsid w:val="30D640C3"/>
    <w:rsid w:val="31852B5A"/>
    <w:rsid w:val="32D01238"/>
    <w:rsid w:val="3DFC59A8"/>
    <w:rsid w:val="3ECF245E"/>
    <w:rsid w:val="3FB96314"/>
    <w:rsid w:val="53A44FAF"/>
    <w:rsid w:val="594329EC"/>
    <w:rsid w:val="5BEE1540"/>
    <w:rsid w:val="5DE61A5D"/>
    <w:rsid w:val="63C04243"/>
    <w:rsid w:val="649C01C7"/>
    <w:rsid w:val="699A3F60"/>
    <w:rsid w:val="6FE208A8"/>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字符"/>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3644.86</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134.87</c:v>
                </c:pt>
                <c:pt idx="1">
                  <c:v>209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337.16</c:v>
                </c:pt>
                <c:pt idx="1">
                  <c:v>343.87</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457.12</c:v>
                </c:pt>
                <c:pt idx="1">
                  <c:v>484.94</c:v>
                </c:pt>
              </c:numCache>
            </c:numRef>
          </c:val>
        </c:ser>
        <c:dLbls>
          <c:showLegendKey val="0"/>
          <c:showVal val="1"/>
          <c:showCatName val="0"/>
          <c:showSerName val="0"/>
          <c:showPercent val="0"/>
          <c:showBubbleSize val="0"/>
        </c:dLbls>
        <c:gapWidth val="75"/>
        <c:axId val="237910272"/>
        <c:axId val="237920256"/>
      </c:barChart>
      <c:catAx>
        <c:axId val="237910272"/>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7920256"/>
        <c:crosses val="autoZero"/>
        <c:auto val="1"/>
        <c:lblAlgn val="ctr"/>
        <c:lblOffset val="100"/>
        <c:noMultiLvlLbl val="0"/>
      </c:catAx>
      <c:valAx>
        <c:axId val="23792025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7910272"/>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258.82</c:v>
                </c:pt>
                <c:pt idx="1">
                  <c:v>258.82</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337.16</c:v>
                </c:pt>
                <c:pt idx="1">
                  <c:v>343.87</c:v>
                </c:pt>
              </c:numCache>
            </c:numRef>
          </c:val>
        </c:ser>
        <c:dLbls>
          <c:showLegendKey val="0"/>
          <c:showVal val="1"/>
          <c:showCatName val="0"/>
          <c:showSerName val="0"/>
          <c:showPercent val="0"/>
          <c:showBubbleSize val="0"/>
        </c:dLbls>
        <c:gapWidth val="75"/>
        <c:axId val="248542336"/>
        <c:axId val="248543872"/>
      </c:barChart>
      <c:catAx>
        <c:axId val="248542336"/>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543872"/>
        <c:crosses val="autoZero"/>
        <c:auto val="1"/>
        <c:lblAlgn val="ctr"/>
        <c:lblOffset val="100"/>
        <c:noMultiLvlLbl val="0"/>
      </c:catAx>
      <c:valAx>
        <c:axId val="24854387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542336"/>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layout>
                <c:manualLayout>
                  <c:x val="-0.0686902887139108"/>
                  <c:y val="-0.22644368568973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delete val="1"/>
            </c:dLbl>
            <c:dLbl>
              <c:idx val="5"/>
              <c:layout>
                <c:manualLayout>
                  <c:x val="-0.0202005686789151"/>
                  <c:y val="0.075712881022615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3">
                  <c:v>328.59</c:v>
                </c:pt>
                <c:pt idx="5">
                  <c:v>15.28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C9D8D1-8493-40DA-B7D4-00836F8A9825}">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1617</Words>
  <Characters>9223</Characters>
  <Lines>76</Lines>
  <Paragraphs>21</Paragraphs>
  <TotalTime>2</TotalTime>
  <ScaleCrop>false</ScaleCrop>
  <LinksUpToDate>false</LinksUpToDate>
  <CharactersWithSpaces>10819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古德纽斯</cp:lastModifiedBy>
  <cp:lastPrinted>2019-08-02T01:01:00Z</cp:lastPrinted>
  <dcterms:modified xsi:type="dcterms:W3CDTF">2024-02-23T02:29:17Z</dcterms:modified>
  <dc:subject>石家庄市xxx部门</dc:subject>
  <dc:title>2017年度部门决算</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DF9C16C00F7A4805A69C0F94A72135CF</vt:lpwstr>
  </property>
</Properties>
</file>