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无极县科学技术局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bookmarkStart w:id="0" w:name="_GoBack"/>
      <w:bookmarkEnd w:id="0"/>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无极县科学技术局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030" o:spid="_x0000_s1030" o:spt="202" type="#_x0000_t202" style="position:absolute;left:0pt;margin-left:-97.3pt;margin-top:259.1pt;height:81.7pt;width:613.65pt;z-index:25166848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firstLine="645"/>
        <w:rPr>
          <w:rFonts w:ascii="仿宋" w:hAnsi="仿宋" w:eastAsia="仿宋" w:cs="仿宋"/>
          <w:color w:val="000000"/>
          <w:sz w:val="32"/>
          <w:szCs w:val="32"/>
        </w:rPr>
      </w:pPr>
      <w:r>
        <w:rPr>
          <w:rFonts w:ascii="仿宋" w:hAnsi="仿宋" w:eastAsia="仿宋" w:cs="仿宋"/>
          <w:color w:val="000000"/>
          <w:sz w:val="32"/>
          <w:szCs w:val="32"/>
        </w:rPr>
        <w:t>（一）全面宣传、贯彻党和国家的各项科技方针、政策、法律和法规，开展科技调研，组织拟定全县科学技术发展中长期规划，并组织实施。</w:t>
      </w:r>
    </w:p>
    <w:p>
      <w:pPr>
        <w:ind w:firstLine="645"/>
        <w:rPr>
          <w:rFonts w:ascii="仿宋" w:hAnsi="仿宋" w:eastAsia="仿宋" w:cs="仿宋"/>
          <w:color w:val="000000"/>
          <w:sz w:val="32"/>
          <w:szCs w:val="32"/>
        </w:rPr>
      </w:pPr>
      <w:r>
        <w:rPr>
          <w:rFonts w:ascii="仿宋" w:hAnsi="仿宋" w:eastAsia="仿宋" w:cs="仿宋"/>
          <w:color w:val="000000"/>
          <w:sz w:val="32"/>
          <w:szCs w:val="32"/>
        </w:rPr>
        <w:t>（二）组织实施科研项目和经济技术开发项目以及先进实用技术的推广和成果管理，开展科技创新。</w:t>
      </w:r>
    </w:p>
    <w:p>
      <w:pPr>
        <w:ind w:firstLine="645"/>
        <w:rPr>
          <w:rFonts w:ascii="仿宋" w:hAnsi="仿宋" w:eastAsia="仿宋" w:cs="仿宋"/>
          <w:color w:val="000000"/>
          <w:sz w:val="32"/>
          <w:szCs w:val="32"/>
        </w:rPr>
      </w:pPr>
      <w:r>
        <w:rPr>
          <w:rFonts w:ascii="仿宋" w:hAnsi="仿宋" w:eastAsia="仿宋" w:cs="仿宋"/>
          <w:color w:val="000000"/>
          <w:sz w:val="32"/>
          <w:szCs w:val="32"/>
        </w:rPr>
        <w:t xml:space="preserve">（三）规范技术市场管理，扶持民营科技企业的发展，开展专利服务和专利执法。 </w:t>
      </w:r>
    </w:p>
    <w:p>
      <w:pPr>
        <w:ind w:firstLine="645"/>
        <w:rPr>
          <w:rFonts w:ascii="仿宋" w:hAnsi="仿宋" w:eastAsia="仿宋" w:cs="仿宋"/>
          <w:color w:val="000000"/>
          <w:sz w:val="32"/>
          <w:szCs w:val="32"/>
        </w:rPr>
      </w:pPr>
      <w:r>
        <w:rPr>
          <w:rFonts w:ascii="仿宋" w:hAnsi="仿宋" w:eastAsia="仿宋" w:cs="仿宋"/>
          <w:color w:val="000000"/>
          <w:sz w:val="32"/>
          <w:szCs w:val="32"/>
        </w:rPr>
        <w:t>（四）开展科技普及培训和科技服务，引进和管理科技人才。</w:t>
      </w:r>
    </w:p>
    <w:p>
      <w:pPr>
        <w:ind w:firstLine="645"/>
        <w:rPr>
          <w:rFonts w:ascii="仿宋" w:hAnsi="仿宋" w:eastAsia="仿宋" w:cs="仿宋"/>
          <w:color w:val="000000"/>
          <w:sz w:val="32"/>
          <w:szCs w:val="32"/>
        </w:rPr>
      </w:pPr>
      <w:r>
        <w:rPr>
          <w:rFonts w:ascii="仿宋" w:hAnsi="仿宋" w:eastAsia="仿宋" w:cs="仿宋"/>
          <w:color w:val="000000"/>
          <w:sz w:val="32"/>
          <w:szCs w:val="32"/>
        </w:rPr>
        <w:t>（五）归口管理地震局，发展防震减灾事业。</w:t>
      </w:r>
    </w:p>
    <w:p>
      <w:pPr>
        <w:ind w:firstLine="645"/>
        <w:rPr>
          <w:rFonts w:ascii="仿宋" w:hAnsi="仿宋" w:eastAsia="仿宋" w:cs="仿宋"/>
          <w:color w:val="000000"/>
          <w:sz w:val="32"/>
          <w:szCs w:val="32"/>
        </w:rPr>
      </w:pPr>
      <w:r>
        <w:rPr>
          <w:rFonts w:ascii="仿宋" w:hAnsi="仿宋" w:eastAsia="仿宋" w:cs="仿宋"/>
          <w:color w:val="000000"/>
          <w:sz w:val="32"/>
          <w:szCs w:val="32"/>
        </w:rPr>
        <w:t>（六）承办县委、县政府交办的其他事项。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ascii="仿宋_GB2312" w:eastAsia="仿宋_GB2312" w:cs="ArialUnicodeMS" w:hAnsiTheme="minorHAnsi"/>
          <w:kern w:val="0"/>
          <w:sz w:val="32"/>
          <w:szCs w:val="32"/>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无极县科学技术</w:t>
            </w:r>
            <w:r>
              <w:rPr>
                <w:rFonts w:hint="eastAsia" w:ascii="微软雅黑" w:hAnsi="微软雅黑" w:eastAsia="微软雅黑" w:cs="微软雅黑"/>
                <w:kern w:val="0"/>
                <w:sz w:val="28"/>
                <w:szCs w:val="28"/>
              </w:rPr>
              <w:t>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29" o:spid="_x0000_s1029"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w:t>
            </w:r>
            <w:r>
              <w:rPr>
                <w:rFonts w:ascii="宋体" w:hAnsi="宋体" w:cs="宋体"/>
                <w:color w:val="000000"/>
                <w:sz w:val="20"/>
                <w:szCs w:val="20"/>
              </w:rPr>
              <w:t>37.16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cs="Arial"/>
                <w:color w:val="000000"/>
                <w:kern w:val="0"/>
                <w:sz w:val="22"/>
                <w:szCs w:val="22"/>
              </w:rPr>
            </w:pPr>
            <w:r>
              <w:rPr>
                <w:rFonts w:hint="eastAsia" w:cs="Arial"/>
                <w:color w:val="000000"/>
                <w:sz w:val="22"/>
                <w:szCs w:val="22"/>
              </w:rPr>
              <w:t>328.59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5.28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w:t>
            </w:r>
            <w:r>
              <w:rPr>
                <w:rFonts w:ascii="宋体" w:hAnsi="宋体" w:cs="宋体"/>
                <w:color w:val="000000"/>
                <w:sz w:val="20"/>
                <w:szCs w:val="20"/>
              </w:rPr>
              <w:t>37.16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ascii="宋体" w:hAnsi="宋体" w:cs="宋体"/>
                <w:color w:val="000000"/>
                <w:sz w:val="20"/>
                <w:szCs w:val="20"/>
              </w:rPr>
              <w:t>343.87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ascii="宋体" w:hAnsi="宋体" w:cs="宋体"/>
                <w:color w:val="000000"/>
                <w:sz w:val="18"/>
                <w:szCs w:val="18"/>
              </w:rPr>
              <w:t>7.23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w:t>
            </w:r>
            <w:r>
              <w:rPr>
                <w:rFonts w:ascii="宋体" w:hAnsi="宋体" w:cs="宋体"/>
                <w:color w:val="000000"/>
                <w:sz w:val="20"/>
                <w:szCs w:val="20"/>
              </w:rPr>
              <w:t>.52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18"/>
                <w:szCs w:val="18"/>
              </w:rPr>
            </w:pPr>
            <w:r>
              <w:rPr>
                <w:rFonts w:ascii="宋体" w:hAnsi="宋体" w:cs="宋体"/>
                <w:color w:val="000000"/>
                <w:sz w:val="18"/>
                <w:szCs w:val="18"/>
              </w:rPr>
              <w:t>344.39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w:t>
            </w:r>
            <w:r>
              <w:rPr>
                <w:rFonts w:ascii="宋体" w:hAnsi="宋体" w:cs="宋体"/>
                <w:color w:val="000000"/>
                <w:sz w:val="20"/>
                <w:szCs w:val="20"/>
              </w:rPr>
              <w:t>44.39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pPr w:leftFromText="180" w:rightFromText="180" w:horzAnchor="margin" w:tblpY="705"/>
        <w:tblW w:w="8800" w:type="dxa"/>
        <w:tblInd w:w="0" w:type="dxa"/>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ind w:right="210"/>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ind w:right="210"/>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w:t>
            </w:r>
            <w:r>
              <w:rPr>
                <w:rFonts w:ascii="宋体" w:hAnsi="宋体" w:cs="宋体"/>
                <w:b/>
                <w:color w:val="000000"/>
                <w:sz w:val="18"/>
                <w:szCs w:val="18"/>
              </w:rPr>
              <w:t>37.16</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w:t>
            </w:r>
            <w:r>
              <w:rPr>
                <w:rFonts w:ascii="宋体" w:hAnsi="宋体" w:cs="宋体"/>
                <w:b/>
                <w:color w:val="000000"/>
                <w:sz w:val="18"/>
                <w:szCs w:val="18"/>
              </w:rPr>
              <w:t>37.16</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321.88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321.88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6"/>
                <w:szCs w:val="16"/>
              </w:rPr>
            </w:pPr>
            <w:r>
              <w:rPr>
                <w:rFonts w:hint="eastAsia" w:ascii="宋体" w:hAnsi="宋体" w:cs="宋体"/>
                <w:color w:val="000000"/>
                <w:sz w:val="16"/>
                <w:szCs w:val="16"/>
              </w:rPr>
              <w:t>科学技术管理事务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123.88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123.88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118.38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118.38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2060199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 xml:space="preserve"> 其他科学技术管理事务支出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技术研究与开发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193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193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2060402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应用技术研究与开发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143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143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2060404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科技成果转化与扩散</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科学技术普及</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2060702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科普活动</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695"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4" w:type="dxa"/>
        <w:tblInd w:w="0" w:type="dxa"/>
        <w:tblLayout w:type="fixed"/>
        <w:tblCellMar>
          <w:top w:w="0" w:type="dxa"/>
          <w:left w:w="0" w:type="dxa"/>
          <w:bottom w:w="0" w:type="dxa"/>
          <w:right w:w="0" w:type="dxa"/>
        </w:tblCellMar>
      </w:tblPr>
      <w:tblGrid>
        <w:gridCol w:w="289"/>
        <w:gridCol w:w="288"/>
        <w:gridCol w:w="570"/>
        <w:gridCol w:w="1996"/>
        <w:gridCol w:w="416"/>
        <w:gridCol w:w="50"/>
        <w:gridCol w:w="801"/>
        <w:gridCol w:w="319"/>
        <w:gridCol w:w="655"/>
        <w:gridCol w:w="18"/>
        <w:gridCol w:w="445"/>
        <w:gridCol w:w="547"/>
        <w:gridCol w:w="108"/>
        <w:gridCol w:w="465"/>
        <w:gridCol w:w="274"/>
        <w:gridCol w:w="671"/>
        <w:gridCol w:w="237"/>
        <w:gridCol w:w="226"/>
        <w:gridCol w:w="429"/>
      </w:tblGrid>
      <w:tr>
        <w:tblPrEx>
          <w:tblCellMar>
            <w:top w:w="0" w:type="dxa"/>
            <w:left w:w="0" w:type="dxa"/>
            <w:bottom w:w="0" w:type="dxa"/>
            <w:right w:w="0" w:type="dxa"/>
          </w:tblCellMar>
        </w:tblPrEx>
        <w:trPr>
          <w:gridAfter w:val="1"/>
          <w:wAfter w:w="429" w:type="dxa"/>
          <w:trHeight w:val="798" w:hRule="atLeast"/>
        </w:trPr>
        <w:tc>
          <w:tcPr>
            <w:tcW w:w="8375" w:type="dxa"/>
            <w:gridSpan w:val="18"/>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kern w:val="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gridAfter w:val="2"/>
          <w:wAfter w:w="655" w:type="dxa"/>
          <w:trHeight w:val="404" w:hRule="atLeast"/>
        </w:trPr>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7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1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82"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3"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267"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02"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55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51"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92"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9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47"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671"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892"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1"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2"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2"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47"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71"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92"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559"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559"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合计</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kern w:val="0"/>
                <w:szCs w:val="21"/>
              </w:rPr>
            </w:pPr>
            <w:r>
              <w:rPr>
                <w:rFonts w:hint="eastAsia" w:ascii="宋体" w:hAnsi="宋体" w:cs="宋体"/>
                <w:color w:val="000000"/>
                <w:kern w:val="0"/>
                <w:szCs w:val="21"/>
              </w:rPr>
              <w:t>343.87</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Cs w:val="21"/>
              </w:rPr>
            </w:pPr>
            <w:r>
              <w:rPr>
                <w:rFonts w:hint="eastAsia" w:ascii="宋体" w:hAnsi="宋体" w:cs="宋体"/>
                <w:color w:val="000000"/>
                <w:kern w:val="0"/>
                <w:szCs w:val="21"/>
              </w:rPr>
              <w:t>134.87</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kern w:val="0"/>
                <w:szCs w:val="21"/>
              </w:rPr>
            </w:pPr>
            <w:r>
              <w:rPr>
                <w:rFonts w:hint="eastAsia" w:ascii="宋体" w:hAnsi="宋体" w:cs="宋体"/>
                <w:color w:val="000000"/>
                <w:kern w:val="0"/>
                <w:szCs w:val="21"/>
              </w:rPr>
              <w:t>209.00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kern w:val="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kern w:val="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kern w:val="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科学技术支出</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328.59</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119.59</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209.00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20601</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科学技术管理事务</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124.59</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119.59</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2060101</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行政运行</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119.59</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119.59</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2060199</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其他科学技术管理事务支出</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20604</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技术研究与开发</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193.00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193.00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2060402</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应用技术研究与开发</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143.00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143.00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2060404</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科技成果转化与扩散</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科学技术普及</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2060702</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科普活动</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5.00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20699</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其他科学技术支出</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6.00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6.00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2069999</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科普活动</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6.00</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6.00</w:t>
            </w: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15.28</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15.28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15.28</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15.28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241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15.28</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15.28</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4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6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8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8804" w:type="dxa"/>
            <w:gridSpan w:val="1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37.16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28.59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28.59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5.28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5.28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37.16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43.87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43.87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w:t>
            </w:r>
            <w:r>
              <w:rPr>
                <w:rFonts w:ascii="宋体" w:hAnsi="宋体" w:cs="宋体"/>
                <w:color w:val="000000"/>
                <w:sz w:val="18"/>
                <w:szCs w:val="18"/>
              </w:rPr>
              <w:t>.23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w:t>
            </w:r>
            <w:r>
              <w:rPr>
                <w:rFonts w:ascii="宋体" w:hAnsi="宋体" w:cs="宋体"/>
                <w:color w:val="00000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w:t>
            </w:r>
            <w:r>
              <w:rPr>
                <w:rFonts w:ascii="宋体" w:hAnsi="宋体" w:cs="宋体"/>
                <w:color w:val="000000"/>
                <w:sz w:val="18"/>
                <w:szCs w:val="18"/>
              </w:rPr>
              <w:t>.52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w:t>
            </w:r>
            <w:r>
              <w:rPr>
                <w:rFonts w:ascii="宋体" w:hAnsi="宋体" w:cs="宋体"/>
                <w:color w:val="000000"/>
                <w:sz w:val="18"/>
                <w:szCs w:val="18"/>
              </w:rPr>
              <w:t>.23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44.39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44.39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44.39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ascii="宋体" w:hAnsi="宋体" w:cs="宋体"/>
                <w:b/>
                <w:color w:val="000000"/>
                <w:szCs w:val="21"/>
              </w:rPr>
              <w:t>343.87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ascii="宋体" w:hAnsi="宋体" w:cs="宋体"/>
                <w:b/>
                <w:color w:val="000000"/>
                <w:szCs w:val="21"/>
              </w:rPr>
              <w:t>134.87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w:t>
            </w:r>
            <w:r>
              <w:rPr>
                <w:rFonts w:ascii="宋体" w:hAnsi="宋体" w:cs="宋体"/>
                <w:b/>
                <w:color w:val="000000"/>
                <w:szCs w:val="21"/>
              </w:rPr>
              <w:t>09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28.59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19.59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24.59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19.59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19.59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19.59</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060199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其他科学技术管理事务支出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技术研究与开发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93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93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060402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应用技术研究与开发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43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43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060404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科技成果转化与扩散</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r>
              <w:rPr>
                <w:rFonts w:ascii="宋体" w:hAnsi="宋体" w:cs="宋体"/>
                <w:color w:val="000000"/>
                <w:szCs w:val="21"/>
              </w:rPr>
              <w:t>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科学技术普及</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060702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科普活动</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其他科学技术支出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069999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其他科学技术支出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5.28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w:t>
            </w:r>
            <w:r>
              <w:rPr>
                <w:rFonts w:ascii="宋体" w:hAnsi="宋体" w:cs="宋体"/>
                <w:color w:val="000000"/>
                <w:sz w:val="16"/>
                <w:szCs w:val="16"/>
              </w:rPr>
              <w:t>3.28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8.15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w:t>
            </w:r>
            <w:r>
              <w:rPr>
                <w:rFonts w:ascii="宋体" w:hAnsi="宋体" w:cs="宋体"/>
                <w:color w:val="000000"/>
                <w:sz w:val="16"/>
                <w:szCs w:val="16"/>
              </w:rPr>
              <w:t>2.44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w:t>
            </w:r>
            <w:r>
              <w:rPr>
                <w:rFonts w:ascii="宋体" w:hAnsi="宋体" w:cs="宋体"/>
                <w:color w:val="000000"/>
                <w:sz w:val="16"/>
                <w:szCs w:val="16"/>
              </w:rPr>
              <w:t>.5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w:t>
            </w:r>
            <w:r>
              <w:rPr>
                <w:rFonts w:ascii="宋体" w:hAnsi="宋体" w:cs="宋体"/>
                <w:color w:val="000000"/>
                <w:sz w:val="16"/>
                <w:szCs w:val="16"/>
              </w:rPr>
              <w:t>3.32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.55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w:t>
            </w:r>
            <w:r>
              <w:rPr>
                <w:rFonts w:ascii="宋体" w:hAnsi="宋体" w:cs="宋体"/>
                <w:color w:val="000000"/>
                <w:sz w:val="16"/>
                <w:szCs w:val="16"/>
              </w:rPr>
              <w:t>7.52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0</w:t>
            </w:r>
            <w:r>
              <w:rPr>
                <w:rFonts w:ascii="宋体" w:hAnsi="宋体" w:cs="宋体"/>
                <w:color w:val="000000"/>
                <w:sz w:val="20"/>
                <w:szCs w:val="20"/>
              </w:rPr>
              <w:t>.77</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0</w:t>
            </w:r>
            <w:r>
              <w:rPr>
                <w:rFonts w:ascii="宋体" w:hAnsi="宋体" w:cs="宋体"/>
                <w:color w:val="000000"/>
                <w:sz w:val="20"/>
                <w:szCs w:val="20"/>
              </w:rPr>
              <w:t>.77</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r>
              <w:rPr>
                <w:rFonts w:ascii="宋体" w:hAnsi="宋体" w:cs="宋体"/>
                <w:color w:val="000000"/>
                <w:sz w:val="16"/>
                <w:szCs w:val="16"/>
              </w:rPr>
              <w:t>.53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.09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w:t>
            </w:r>
            <w:r>
              <w:rPr>
                <w:rFonts w:ascii="宋体" w:hAnsi="宋体" w:cs="宋体"/>
                <w:color w:val="000000"/>
                <w:sz w:val="16"/>
                <w:szCs w:val="16"/>
              </w:rPr>
              <w:t>2.67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w:t>
            </w:r>
            <w:r>
              <w:rPr>
                <w:rFonts w:ascii="宋体" w:hAnsi="宋体" w:cs="宋体"/>
                <w:color w:val="000000"/>
                <w:sz w:val="16"/>
                <w:szCs w:val="16"/>
              </w:rPr>
              <w:t>.39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r>
              <w:rPr>
                <w:rFonts w:ascii="宋体" w:hAnsi="宋体" w:cs="宋体"/>
                <w:color w:val="000000"/>
                <w:sz w:val="16"/>
                <w:szCs w:val="16"/>
              </w:rPr>
              <w:t>.21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5.28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0.86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w:t>
            </w:r>
            <w:r>
              <w:rPr>
                <w:rFonts w:ascii="宋体" w:hAnsi="宋体" w:cs="宋体"/>
                <w:color w:val="000000"/>
                <w:sz w:val="16"/>
                <w:szCs w:val="16"/>
              </w:rPr>
              <w:t>.71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w:t>
            </w:r>
            <w:r>
              <w:rPr>
                <w:rFonts w:ascii="宋体" w:hAnsi="宋体" w:cs="宋体"/>
                <w:color w:val="000000"/>
                <w:sz w:val="16"/>
                <w:szCs w:val="16"/>
              </w:rPr>
              <w:t>.71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15.96</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w:t>
            </w:r>
            <w:r>
              <w:rPr>
                <w:rFonts w:ascii="宋体" w:hAnsi="宋体" w:cs="宋体"/>
                <w:color w:val="000000"/>
                <w:sz w:val="16"/>
                <w:szCs w:val="16"/>
              </w:rPr>
              <w:t>8.92</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ind w:right="210"/>
              <w:jc w:val="right"/>
              <w:rPr>
                <w:rFonts w:ascii="宋体" w:hAnsi="宋体" w:cs="宋体"/>
                <w:color w:val="000000"/>
                <w:szCs w:val="21"/>
              </w:rPr>
            </w:pPr>
            <w:r>
              <w:rPr>
                <w:rFonts w:hint="eastAsia" w:ascii="宋体" w:hAnsi="宋体" w:cs="宋体"/>
                <w:color w:val="000000"/>
                <w:szCs w:val="21"/>
              </w:rPr>
              <w:t>0</w:t>
            </w:r>
            <w:r>
              <w:rPr>
                <w:rFonts w:ascii="宋体" w:hAnsi="宋体" w:cs="宋体"/>
                <w:color w:val="000000"/>
                <w:szCs w:val="21"/>
              </w:rPr>
              <w:t>.3</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.86</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.86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0.21</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注：本部门本年度无相关收支情况，按要求空表列示。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Cs w:val="21"/>
              </w:rPr>
              <w:t>本部门本年度无相关收支情况，按要求空表列示</w:t>
            </w:r>
            <w:r>
              <w:rPr>
                <w:rFonts w:hint="eastAsia" w:ascii="宋体" w:hAnsi="宋体" w:cs="宋体"/>
                <w:color w:val="000000"/>
                <w:kern w:val="0"/>
                <w:sz w:val="22"/>
                <w:szCs w:val="22"/>
              </w:rPr>
              <w:t>。</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注：本部门本年度无相关收支情况，按要求空表列示。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8" o:spid="_x0000_s1028"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ascii="仿宋_GB2312" w:eastAsia="仿宋_GB2312" w:cs="DengXian-Regular"/>
          <w:sz w:val="32"/>
          <w:szCs w:val="32"/>
        </w:rPr>
        <w:t>344.3</w:t>
      </w:r>
      <w:r>
        <w:rPr>
          <w:rFonts w:ascii="Calibri" w:hAnsi="Calibri" w:eastAsia="仿宋_GB2312" w:cs="Calibri"/>
          <w:sz w:val="32"/>
          <w:szCs w:val="32"/>
        </w:rPr>
        <w:t>9</w:t>
      </w:r>
      <w:r>
        <w:rPr>
          <w:rFonts w:hint="eastAsia" w:ascii="仿宋_GB2312" w:eastAsia="仿宋_GB2312" w:cs="DengXian-Regular"/>
          <w:sz w:val="32"/>
          <w:szCs w:val="32"/>
        </w:rPr>
        <w:t>万元。与2017年度决算相比，收支各减少</w:t>
      </w:r>
      <w:r>
        <w:rPr>
          <w:rFonts w:ascii="仿宋_GB2312" w:eastAsia="仿宋_GB2312" w:cs="DengXian-Regular"/>
          <w:sz w:val="32"/>
          <w:szCs w:val="32"/>
        </w:rPr>
        <w:t>151.78</w:t>
      </w:r>
      <w:r>
        <w:rPr>
          <w:rFonts w:hint="eastAsia" w:ascii="仿宋_GB2312" w:eastAsia="仿宋_GB2312" w:cs="DengXian-Regular"/>
          <w:sz w:val="32"/>
          <w:szCs w:val="32"/>
        </w:rPr>
        <w:t>万元，下降</w:t>
      </w:r>
      <w:r>
        <w:rPr>
          <w:rFonts w:ascii="仿宋_GB2312" w:eastAsia="仿宋_GB2312" w:cs="DengXian-Regular"/>
          <w:sz w:val="32"/>
          <w:szCs w:val="32"/>
        </w:rPr>
        <w:t>30.6</w:t>
      </w:r>
      <w:r>
        <w:rPr>
          <w:rFonts w:hint="eastAsia" w:ascii="仿宋_GB2312" w:eastAsia="仿宋_GB2312" w:cs="DengXian-Regular"/>
          <w:sz w:val="32"/>
          <w:szCs w:val="32"/>
        </w:rPr>
        <w:t>%，主要原因是项目支出减少。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ascii="仿宋_GB2312" w:eastAsia="仿宋_GB2312" w:cs="DengXian-Regular"/>
          <w:sz w:val="32"/>
          <w:szCs w:val="32"/>
        </w:rPr>
        <w:t>337.16</w:t>
      </w:r>
      <w:r>
        <w:rPr>
          <w:rFonts w:hint="eastAsia" w:ascii="仿宋_GB2312" w:eastAsia="仿宋_GB2312" w:cs="DengXian-Regular"/>
          <w:sz w:val="32"/>
          <w:szCs w:val="32"/>
        </w:rPr>
        <w:t>万元，其中：财政拨款收入</w:t>
      </w:r>
      <w:r>
        <w:rPr>
          <w:rFonts w:ascii="仿宋_GB2312" w:eastAsia="仿宋_GB2312" w:cs="DengXian-Regular"/>
          <w:sz w:val="32"/>
          <w:szCs w:val="32"/>
        </w:rPr>
        <w:t>337.16</w:t>
      </w:r>
      <w:r>
        <w:rPr>
          <w:rFonts w:hint="eastAsia" w:ascii="仿宋_GB2312" w:eastAsia="仿宋_GB2312" w:cs="DengXian-Regular"/>
          <w:sz w:val="32"/>
          <w:szCs w:val="32"/>
        </w:rPr>
        <w:t>万元，占</w:t>
      </w:r>
      <w:r>
        <w:rPr>
          <w:rFonts w:ascii="仿宋_GB2312" w:eastAsia="仿宋_GB2312" w:cs="DengXian-Regular"/>
          <w:sz w:val="32"/>
          <w:szCs w:val="32"/>
        </w:rPr>
        <w:t>100</w:t>
      </w:r>
      <w:r>
        <w:rPr>
          <w:rFonts w:hint="eastAsia" w:ascii="仿宋_GB2312" w:eastAsia="仿宋_GB2312" w:cs="DengXian-Regular"/>
          <w:sz w:val="32"/>
          <w:szCs w:val="32"/>
        </w:rPr>
        <w:t>%；事业收入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%；经营收入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%；其他收入</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%。如图所示：</w:t>
      </w:r>
    </w:p>
    <w:p>
      <w:pPr>
        <w:pStyle w:val="3"/>
        <w:spacing w:before="0" w:after="0" w:line="240" w:lineRule="auto"/>
        <w:ind w:firstLine="643" w:firstLineChars="200"/>
        <w:rPr>
          <w:rFonts w:ascii="黑体" w:eastAsia="黑体"/>
        </w:rPr>
      </w:pPr>
      <w:r>
        <w:drawing>
          <wp:inline distT="0" distB="0" distL="0" distR="0">
            <wp:extent cx="4391025" cy="2552700"/>
            <wp:effectExtent l="57150" t="0" r="47625" b="11430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ascii="仿宋_GB2312" w:eastAsia="仿宋_GB2312" w:cs="DengXian-Regular"/>
          <w:sz w:val="32"/>
          <w:szCs w:val="32"/>
        </w:rPr>
        <w:t>343.87</w:t>
      </w:r>
      <w:r>
        <w:rPr>
          <w:rFonts w:hint="eastAsia" w:ascii="仿宋_GB2312" w:eastAsia="仿宋_GB2312" w:cs="DengXian-Regular"/>
          <w:sz w:val="32"/>
          <w:szCs w:val="32"/>
        </w:rPr>
        <w:t>万元，其中：基本支出</w:t>
      </w:r>
      <w:r>
        <w:rPr>
          <w:rFonts w:ascii="仿宋_GB2312" w:eastAsia="仿宋_GB2312" w:cs="DengXian-Regular"/>
          <w:sz w:val="32"/>
          <w:szCs w:val="32"/>
        </w:rPr>
        <w:t>134.87</w:t>
      </w:r>
      <w:r>
        <w:rPr>
          <w:rFonts w:hint="eastAsia" w:ascii="仿宋_GB2312" w:eastAsia="仿宋_GB2312" w:cs="DengXian-Regular"/>
          <w:sz w:val="32"/>
          <w:szCs w:val="32"/>
        </w:rPr>
        <w:t>万元，占</w:t>
      </w:r>
      <w:r>
        <w:rPr>
          <w:rFonts w:ascii="仿宋_GB2312" w:eastAsia="仿宋_GB2312" w:cs="DengXian-Regular"/>
          <w:sz w:val="32"/>
          <w:szCs w:val="32"/>
        </w:rPr>
        <w:t>3</w:t>
      </w:r>
      <w:r>
        <w:rPr>
          <w:rFonts w:ascii="Calibri" w:hAnsi="Calibri" w:eastAsia="仿宋_GB2312" w:cs="Calibri"/>
          <w:sz w:val="32"/>
          <w:szCs w:val="32"/>
        </w:rPr>
        <w:t>9.22</w:t>
      </w:r>
      <w:r>
        <w:rPr>
          <w:rFonts w:hint="eastAsia" w:ascii="仿宋_GB2312" w:eastAsia="仿宋_GB2312" w:cs="DengXian-Regular"/>
          <w:sz w:val="32"/>
          <w:szCs w:val="32"/>
        </w:rPr>
        <w:t>%；项目支出</w:t>
      </w:r>
      <w:r>
        <w:rPr>
          <w:rFonts w:ascii="仿宋_GB2312" w:eastAsia="仿宋_GB2312" w:cs="DengXian-Regular"/>
          <w:sz w:val="32"/>
          <w:szCs w:val="32"/>
        </w:rPr>
        <w:t>20</w:t>
      </w:r>
      <w:r>
        <w:rPr>
          <w:rFonts w:ascii="Calibri" w:hAnsi="Calibri" w:eastAsia="仿宋_GB2312" w:cs="Calibri"/>
          <w:sz w:val="32"/>
          <w:szCs w:val="32"/>
        </w:rPr>
        <w:t>9</w:t>
      </w:r>
      <w:r>
        <w:rPr>
          <w:rFonts w:hint="eastAsia" w:ascii="仿宋_GB2312" w:eastAsia="仿宋_GB2312" w:cs="DengXian-Regular"/>
          <w:sz w:val="32"/>
          <w:szCs w:val="32"/>
        </w:rPr>
        <w:t>万元，占</w:t>
      </w:r>
      <w:r>
        <w:rPr>
          <w:rFonts w:ascii="仿宋_GB2312" w:eastAsia="仿宋_GB2312" w:cs="DengXian-Regular"/>
          <w:sz w:val="32"/>
          <w:szCs w:val="32"/>
        </w:rPr>
        <w:t>60.78</w:t>
      </w:r>
      <w:r>
        <w:rPr>
          <w:rFonts w:hint="eastAsia" w:ascii="仿宋_GB2312" w:eastAsia="仿宋_GB2312" w:cs="DengXian-Regular"/>
          <w:sz w:val="32"/>
          <w:szCs w:val="32"/>
        </w:rPr>
        <w:t>%；经营支出</w:t>
      </w:r>
      <w:r>
        <w:rPr>
          <w:rFonts w:ascii="仿宋_GB2312" w:eastAsia="仿宋_GB2312" w:cs="DengXian-Regular"/>
          <w:sz w:val="32"/>
          <w:szCs w:val="32"/>
        </w:rPr>
        <w:t>0</w:t>
      </w:r>
      <w:r>
        <w:rPr>
          <w:rFonts w:hint="eastAsia" w:ascii="仿宋_GB2312" w:eastAsia="仿宋_GB2312" w:cs="DengXian-Regular"/>
          <w:sz w:val="32"/>
          <w:szCs w:val="32"/>
        </w:rPr>
        <w:t>万元，占</w:t>
      </w:r>
      <w:r>
        <w:rPr>
          <w:rFonts w:ascii="仿宋_GB2312" w:eastAsia="仿宋_GB2312" w:cs="DengXian-Regular"/>
          <w:sz w:val="32"/>
          <w:szCs w:val="32"/>
        </w:rPr>
        <w:t>0</w:t>
      </w:r>
      <w:r>
        <w:rPr>
          <w:rFonts w:hint="eastAsia" w:ascii="仿宋_GB2312" w:eastAsia="仿宋_GB2312" w:cs="DengXian-Regular"/>
          <w:sz w:val="32"/>
          <w:szCs w:val="32"/>
        </w:rPr>
        <w:t>%。如图所示：</w:t>
      </w:r>
    </w:p>
    <w:p>
      <w:pPr>
        <w:pStyle w:val="3"/>
        <w:spacing w:before="0" w:after="0" w:line="240" w:lineRule="auto"/>
        <w:ind w:firstLine="643" w:firstLineChars="200"/>
        <w:rPr>
          <w:rFonts w:ascii="黑体" w:eastAsia="黑体"/>
          <w:b w:val="0"/>
          <w:bCs w:val="0"/>
        </w:rPr>
      </w:pPr>
      <w:r>
        <w:drawing>
          <wp:inline distT="0" distB="0" distL="0" distR="0">
            <wp:extent cx="4219575" cy="2514600"/>
            <wp:effectExtent l="57150" t="0" r="47625" b="11430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ascii="仿宋_GB2312" w:eastAsia="仿宋_GB2312" w:cs="DengXian-Regular"/>
          <w:sz w:val="32"/>
          <w:szCs w:val="32"/>
        </w:rPr>
        <w:t>337.16</w:t>
      </w:r>
      <w:r>
        <w:rPr>
          <w:rFonts w:hint="eastAsia" w:ascii="仿宋_GB2312" w:eastAsia="仿宋_GB2312" w:cs="DengXian-Regular"/>
          <w:sz w:val="32"/>
          <w:szCs w:val="32"/>
        </w:rPr>
        <w:t>万元,比2017年度减少</w:t>
      </w:r>
      <w:r>
        <w:rPr>
          <w:rFonts w:ascii="仿宋_GB2312" w:eastAsia="仿宋_GB2312" w:cs="DengXian-Regular"/>
          <w:sz w:val="32"/>
          <w:szCs w:val="32"/>
        </w:rPr>
        <w:t>11</w:t>
      </w:r>
      <w:r>
        <w:rPr>
          <w:rFonts w:ascii="Calibri" w:hAnsi="Calibri" w:eastAsia="仿宋_GB2312" w:cs="Calibri"/>
          <w:sz w:val="32"/>
          <w:szCs w:val="32"/>
        </w:rPr>
        <w:t>9.96</w:t>
      </w:r>
      <w:r>
        <w:rPr>
          <w:rFonts w:hint="eastAsia" w:ascii="仿宋_GB2312" w:eastAsia="仿宋_GB2312" w:cs="DengXian-Regular"/>
          <w:sz w:val="32"/>
          <w:szCs w:val="32"/>
        </w:rPr>
        <w:t>万元，降低</w:t>
      </w:r>
      <w:r>
        <w:rPr>
          <w:rFonts w:ascii="仿宋_GB2312" w:eastAsia="仿宋_GB2312" w:cs="DengXian-Regular"/>
          <w:sz w:val="32"/>
          <w:szCs w:val="32"/>
        </w:rPr>
        <w:t>26.2</w:t>
      </w:r>
      <w:r>
        <w:rPr>
          <w:rFonts w:hint="eastAsia" w:ascii="仿宋_GB2312" w:eastAsia="仿宋_GB2312" w:cs="DengXian-Regular"/>
          <w:sz w:val="32"/>
          <w:szCs w:val="32"/>
        </w:rPr>
        <w:t>%，主要是项目支出减少；本年支出</w:t>
      </w:r>
      <w:r>
        <w:rPr>
          <w:rFonts w:ascii="仿宋_GB2312" w:eastAsia="仿宋_GB2312" w:cs="DengXian-Regular"/>
          <w:sz w:val="32"/>
          <w:szCs w:val="32"/>
        </w:rPr>
        <w:t>343.87</w:t>
      </w:r>
      <w:r>
        <w:rPr>
          <w:rFonts w:hint="eastAsia" w:ascii="仿宋_GB2312" w:eastAsia="仿宋_GB2312" w:cs="DengXian-Regular"/>
          <w:sz w:val="32"/>
          <w:szCs w:val="32"/>
        </w:rPr>
        <w:t>万元，减少</w:t>
      </w:r>
      <w:r>
        <w:rPr>
          <w:rFonts w:ascii="仿宋_GB2312" w:eastAsia="仿宋_GB2312" w:cs="DengXian-Regular"/>
          <w:sz w:val="32"/>
          <w:szCs w:val="32"/>
        </w:rPr>
        <w:t>141.07</w:t>
      </w:r>
      <w:r>
        <w:rPr>
          <w:rFonts w:hint="eastAsia" w:ascii="仿宋_GB2312" w:eastAsia="仿宋_GB2312" w:cs="DengXian-Regular"/>
          <w:sz w:val="32"/>
          <w:szCs w:val="32"/>
        </w:rPr>
        <w:t>万元，降低</w:t>
      </w:r>
      <w:r>
        <w:rPr>
          <w:rFonts w:ascii="仿宋_GB2312" w:eastAsia="仿宋_GB2312" w:cs="DengXian-Regular"/>
          <w:sz w:val="32"/>
          <w:szCs w:val="32"/>
        </w:rPr>
        <w:t>2</w:t>
      </w:r>
      <w:r>
        <w:rPr>
          <w:rFonts w:ascii="Calibri" w:hAnsi="Calibri" w:eastAsia="仿宋_GB2312" w:cs="Calibri"/>
          <w:sz w:val="32"/>
          <w:szCs w:val="32"/>
        </w:rPr>
        <w:t>9.1</w:t>
      </w:r>
      <w:r>
        <w:rPr>
          <w:rFonts w:hint="eastAsia" w:ascii="仿宋_GB2312" w:eastAsia="仿宋_GB2312" w:cs="DengXian-Regular"/>
          <w:sz w:val="32"/>
          <w:szCs w:val="32"/>
        </w:rPr>
        <w:t>%，主要是项目支出减少。</w:t>
      </w:r>
    </w:p>
    <w:p>
      <w:pPr>
        <w:adjustRightInd w:val="0"/>
        <w:snapToGrid w:val="0"/>
        <w:spacing w:after="0" w:line="240" w:lineRule="auto"/>
        <w:ind w:firstLine="420" w:firstLineChars="200"/>
        <w:rPr>
          <w:rFonts w:ascii="仿宋_GB2312" w:eastAsia="仿宋_GB2312" w:cs="DengXian-Regular"/>
          <w:sz w:val="32"/>
          <w:szCs w:val="32"/>
        </w:rPr>
      </w:pPr>
      <w:r>
        <w:drawing>
          <wp:inline distT="0" distB="0" distL="0" distR="0">
            <wp:extent cx="4572000" cy="2981325"/>
            <wp:effectExtent l="57150" t="0" r="57150" b="10477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ascii="仿宋_GB2312" w:eastAsia="仿宋_GB2312" w:cs="DengXian-Regular"/>
          <w:sz w:val="32"/>
          <w:szCs w:val="32"/>
        </w:rPr>
        <w:t>337.16</w:t>
      </w:r>
      <w:r>
        <w:rPr>
          <w:rFonts w:hint="eastAsia" w:ascii="仿宋_GB2312" w:eastAsia="仿宋_GB2312" w:cs="DengXian-Regular"/>
          <w:sz w:val="32"/>
          <w:szCs w:val="32"/>
        </w:rPr>
        <w:t>万元，完成年初预算的</w:t>
      </w:r>
      <w:r>
        <w:rPr>
          <w:rFonts w:ascii="仿宋_GB2312" w:eastAsia="仿宋_GB2312" w:cs="DengXian-Regular"/>
          <w:sz w:val="32"/>
          <w:szCs w:val="32"/>
        </w:rPr>
        <w:t>130.3</w:t>
      </w:r>
      <w:r>
        <w:rPr>
          <w:rFonts w:hint="eastAsia" w:ascii="仿宋_GB2312" w:eastAsia="仿宋_GB2312" w:cs="DengXian-Regular"/>
          <w:sz w:val="32"/>
          <w:szCs w:val="32"/>
        </w:rPr>
        <w:t>%,比年初预算增加7</w:t>
      </w:r>
      <w:r>
        <w:rPr>
          <w:rFonts w:ascii="仿宋_GB2312" w:eastAsia="仿宋_GB2312" w:cs="DengXian-Regular"/>
          <w:sz w:val="32"/>
          <w:szCs w:val="32"/>
        </w:rPr>
        <w:t>8.34</w:t>
      </w:r>
      <w:r>
        <w:rPr>
          <w:rFonts w:hint="eastAsia" w:ascii="仿宋_GB2312" w:eastAsia="仿宋_GB2312" w:cs="DengXian-Regular"/>
          <w:sz w:val="32"/>
          <w:szCs w:val="32"/>
        </w:rPr>
        <w:t>万元，决算数大于预算数主要原因是项目增加；本年支出</w:t>
      </w:r>
      <w:r>
        <w:rPr>
          <w:rFonts w:ascii="仿宋_GB2312" w:eastAsia="仿宋_GB2312" w:cs="DengXian-Regular"/>
          <w:sz w:val="32"/>
          <w:szCs w:val="32"/>
        </w:rPr>
        <w:t>343.87</w:t>
      </w:r>
      <w:r>
        <w:rPr>
          <w:rFonts w:hint="eastAsia" w:ascii="仿宋_GB2312" w:eastAsia="仿宋_GB2312" w:cs="DengXian-Regular"/>
          <w:sz w:val="32"/>
          <w:szCs w:val="32"/>
        </w:rPr>
        <w:t>万元，完成年初预算的</w:t>
      </w:r>
      <w:r>
        <w:rPr>
          <w:rFonts w:ascii="仿宋_GB2312" w:eastAsia="仿宋_GB2312" w:cs="DengXian-Regular"/>
          <w:sz w:val="32"/>
          <w:szCs w:val="32"/>
        </w:rPr>
        <w:t>132.</w:t>
      </w:r>
      <w:r>
        <w:rPr>
          <w:rFonts w:ascii="Calibri" w:hAnsi="Calibri" w:eastAsia="仿宋_GB2312" w:cs="Calibri"/>
          <w:sz w:val="32"/>
          <w:szCs w:val="32"/>
        </w:rPr>
        <w:t>9</w:t>
      </w:r>
      <w:r>
        <w:rPr>
          <w:rFonts w:hint="eastAsia" w:ascii="仿宋_GB2312" w:eastAsia="仿宋_GB2312" w:cs="DengXian-Regular"/>
          <w:sz w:val="32"/>
          <w:szCs w:val="32"/>
        </w:rPr>
        <w:t>%,比年初预算增加</w:t>
      </w:r>
      <w:r>
        <w:rPr>
          <w:rFonts w:ascii="仿宋_GB2312" w:eastAsia="仿宋_GB2312" w:cs="DengXian-Regular"/>
          <w:sz w:val="32"/>
          <w:szCs w:val="32"/>
        </w:rPr>
        <w:t>85.05</w:t>
      </w:r>
      <w:r>
        <w:rPr>
          <w:rFonts w:hint="eastAsia" w:ascii="仿宋_GB2312" w:eastAsia="仿宋_GB2312" w:cs="DengXian-Regular"/>
          <w:sz w:val="32"/>
          <w:szCs w:val="32"/>
        </w:rPr>
        <w:t>万元，决算数大于预算数主要原因是项目支出增加。</w:t>
      </w:r>
    </w:p>
    <w:p>
      <w:pPr>
        <w:adjustRightInd w:val="0"/>
        <w:snapToGrid w:val="0"/>
        <w:spacing w:after="0" w:line="240" w:lineRule="auto"/>
        <w:ind w:firstLine="420" w:firstLineChars="200"/>
      </w:pPr>
      <w:r>
        <w:drawing>
          <wp:inline distT="0" distB="0" distL="0" distR="0">
            <wp:extent cx="4572000" cy="3486150"/>
            <wp:effectExtent l="57150" t="0" r="57150" b="11430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ascii="仿宋_GB2312" w:eastAsia="仿宋_GB2312" w:cs="DengXian-Regular"/>
          <w:sz w:val="32"/>
          <w:szCs w:val="32"/>
        </w:rPr>
        <w:t>343.87</w:t>
      </w:r>
      <w:r>
        <w:rPr>
          <w:rFonts w:hint="eastAsia" w:ascii="仿宋_GB2312" w:eastAsia="仿宋_GB2312" w:cs="DengXian-Regular"/>
          <w:sz w:val="32"/>
          <w:szCs w:val="32"/>
        </w:rPr>
        <w:t>万元，主要用于以下方面：科学技术（类）支出3</w:t>
      </w:r>
      <w:r>
        <w:rPr>
          <w:rFonts w:ascii="仿宋_GB2312" w:eastAsia="仿宋_GB2312" w:cs="DengXian-Regular"/>
          <w:sz w:val="32"/>
          <w:szCs w:val="32"/>
        </w:rPr>
        <w:t>28.5</w:t>
      </w:r>
      <w:r>
        <w:rPr>
          <w:rFonts w:ascii="Calibri" w:hAnsi="Calibri" w:eastAsia="仿宋_GB2312" w:cs="Calibri"/>
          <w:sz w:val="32"/>
          <w:szCs w:val="32"/>
        </w:rPr>
        <w:t>9</w:t>
      </w:r>
      <w:r>
        <w:rPr>
          <w:rFonts w:hint="eastAsia" w:ascii="仿宋_GB2312" w:eastAsia="仿宋_GB2312" w:cs="DengXian-Regular"/>
          <w:sz w:val="32"/>
          <w:szCs w:val="32"/>
        </w:rPr>
        <w:t>万元，占</w:t>
      </w:r>
      <w:r>
        <w:rPr>
          <w:rFonts w:ascii="Calibri" w:hAnsi="Calibri" w:eastAsia="仿宋_GB2312" w:cs="Calibri"/>
          <w:sz w:val="32"/>
          <w:szCs w:val="32"/>
        </w:rPr>
        <w:t>95.56</w:t>
      </w:r>
      <w:r>
        <w:rPr>
          <w:rFonts w:hint="eastAsia" w:ascii="仿宋_GB2312" w:eastAsia="仿宋_GB2312" w:cs="DengXian-Regular"/>
          <w:sz w:val="32"/>
          <w:szCs w:val="32"/>
        </w:rPr>
        <w:t>%；社会保障和就业（类）支出</w:t>
      </w:r>
      <w:r>
        <w:rPr>
          <w:rFonts w:ascii="仿宋_GB2312" w:eastAsia="仿宋_GB2312" w:cs="DengXian-Regular"/>
          <w:sz w:val="32"/>
          <w:szCs w:val="32"/>
        </w:rPr>
        <w:t>15.28</w:t>
      </w:r>
      <w:r>
        <w:rPr>
          <w:rFonts w:hint="eastAsia" w:ascii="仿宋_GB2312" w:eastAsia="仿宋_GB2312" w:cs="DengXian-Regular"/>
          <w:sz w:val="32"/>
          <w:szCs w:val="32"/>
        </w:rPr>
        <w:t>万元，占</w:t>
      </w:r>
      <w:r>
        <w:rPr>
          <w:rFonts w:ascii="仿宋_GB2312" w:eastAsia="仿宋_GB2312" w:cs="DengXian-Regular"/>
          <w:sz w:val="32"/>
          <w:szCs w:val="32"/>
        </w:rPr>
        <w:t>4.44</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240" w:lineRule="auto"/>
        <w:rPr>
          <w:rFonts w:ascii="楷体_GB2312" w:eastAsia="楷体_GB2312" w:cs="DengXian-Bold"/>
          <w:b/>
          <w:bCs/>
          <w:sz w:val="32"/>
          <w:szCs w:val="32"/>
        </w:rPr>
      </w:pPr>
      <w:r>
        <w:drawing>
          <wp:inline distT="0" distB="0" distL="0" distR="0">
            <wp:extent cx="4572000" cy="3228975"/>
            <wp:effectExtent l="57150" t="0" r="57150" b="6667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ascii="仿宋_GB2312" w:eastAsia="仿宋_GB2312" w:cs="DengXian-Regular"/>
          <w:sz w:val="32"/>
          <w:szCs w:val="32"/>
        </w:rPr>
        <w:t>134.87</w:t>
      </w:r>
      <w:r>
        <w:rPr>
          <w:rFonts w:hint="eastAsia" w:ascii="仿宋_GB2312" w:eastAsia="仿宋_GB2312" w:cs="DengXian-Regular"/>
          <w:sz w:val="32"/>
          <w:szCs w:val="32"/>
        </w:rPr>
        <w:t>万元，其中：人员经费</w:t>
      </w:r>
      <w:r>
        <w:rPr>
          <w:rFonts w:ascii="仿宋_GB2312" w:eastAsia="仿宋_GB2312" w:cs="DengXian-Regular"/>
          <w:sz w:val="32"/>
          <w:szCs w:val="32"/>
        </w:rPr>
        <w:t>115.</w:t>
      </w:r>
      <w:r>
        <w:rPr>
          <w:rFonts w:ascii="Calibri" w:hAnsi="Calibri" w:eastAsia="仿宋_GB2312" w:cs="Calibri"/>
          <w:sz w:val="32"/>
          <w:szCs w:val="32"/>
        </w:rPr>
        <w:t>96</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18.</w:t>
      </w:r>
      <w:r>
        <w:rPr>
          <w:rFonts w:ascii="Calibri" w:hAnsi="Calibri" w:eastAsia="仿宋_GB2312" w:cs="Calibri"/>
          <w:sz w:val="32"/>
          <w:szCs w:val="32"/>
        </w:rPr>
        <w:t>92</w:t>
      </w:r>
      <w:r>
        <w:rPr>
          <w:rFonts w:hint="eastAsia" w:ascii="仿宋_GB2312" w:eastAsia="仿宋_GB2312" w:cs="DengXian-Regular"/>
          <w:sz w:val="32"/>
          <w:szCs w:val="32"/>
        </w:rPr>
        <w:t>万元，主要包括办公费、印刷费、、邮电费、差旅费、公务接待费、公务用车运行维护费、其他交通费用、其他商品和服务支出、办公设备购置。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ascii="仿宋_GB2312" w:eastAsia="仿宋_GB2312" w:cs="DengXian-Regular"/>
          <w:sz w:val="32"/>
          <w:szCs w:val="32"/>
        </w:rPr>
        <w:t>2.07</w:t>
      </w:r>
      <w:r>
        <w:rPr>
          <w:rFonts w:hint="eastAsia" w:ascii="仿宋_GB2312" w:eastAsia="仿宋_GB2312" w:cs="DengXian-Regular"/>
          <w:sz w:val="32"/>
          <w:szCs w:val="32"/>
        </w:rPr>
        <w:t>万元，出国出境经费0万元，公务用车运行维护费</w:t>
      </w:r>
      <w:r>
        <w:rPr>
          <w:rFonts w:ascii="仿宋_GB2312" w:eastAsia="仿宋_GB2312" w:cs="DengXian-Regular"/>
          <w:sz w:val="32"/>
          <w:szCs w:val="32"/>
        </w:rPr>
        <w:t>1.86</w:t>
      </w:r>
      <w:r>
        <w:rPr>
          <w:rFonts w:hint="eastAsia" w:ascii="仿宋_GB2312" w:eastAsia="仿宋_GB2312" w:cs="DengXian-Regular"/>
          <w:sz w:val="32"/>
          <w:szCs w:val="32"/>
        </w:rPr>
        <w:t>万元，公务接待费</w:t>
      </w:r>
      <w:r>
        <w:rPr>
          <w:rFonts w:ascii="仿宋_GB2312" w:eastAsia="仿宋_GB2312" w:cs="DengXian-Regular"/>
          <w:sz w:val="32"/>
          <w:szCs w:val="32"/>
        </w:rPr>
        <w:t>0.21</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较年初预算减少1</w:t>
      </w:r>
      <w:r>
        <w:rPr>
          <w:rFonts w:ascii="仿宋_GB2312" w:eastAsia="仿宋_GB2312" w:cs="DengXian-Regular"/>
          <w:b/>
          <w:bCs/>
          <w:sz w:val="32"/>
          <w:szCs w:val="32"/>
        </w:rPr>
        <w:t>.23</w:t>
      </w:r>
      <w:r>
        <w:rPr>
          <w:rFonts w:hint="eastAsia" w:ascii="仿宋_GB2312" w:eastAsia="仿宋_GB2312" w:cs="DengXian-Regular"/>
          <w:b/>
          <w:bCs/>
          <w:sz w:val="32"/>
          <w:szCs w:val="32"/>
        </w:rPr>
        <w:t>万元，减少3</w:t>
      </w:r>
      <w:r>
        <w:rPr>
          <w:rFonts w:ascii="仿宋_GB2312" w:eastAsia="仿宋_GB2312" w:cs="DengXian-Regular"/>
          <w:b/>
          <w:bCs/>
          <w:sz w:val="32"/>
          <w:szCs w:val="32"/>
        </w:rPr>
        <w:t>7.3</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ascii="Calibri" w:hAnsi="Calibri" w:eastAsia="楷体_GB2312" w:cs="Calibri"/>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人。与年初预算持平，无增减变化。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Calibri" w:hAnsi="Calibri" w:eastAsia="楷体_GB2312" w:cs="Calibri"/>
          <w:b/>
          <w:bCs/>
          <w:sz w:val="32"/>
          <w:szCs w:val="32"/>
        </w:rPr>
        <w:t>1.86</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ascii="仿宋_GB2312" w:eastAsia="仿宋_GB2312" w:cs="DengXian-Regular"/>
          <w:sz w:val="32"/>
          <w:szCs w:val="32"/>
        </w:rPr>
        <w:t>1.14</w:t>
      </w:r>
      <w:r>
        <w:rPr>
          <w:rFonts w:hint="eastAsia" w:ascii="仿宋_GB2312" w:eastAsia="仿宋_GB2312" w:cs="DengXian-Regular"/>
          <w:sz w:val="32"/>
          <w:szCs w:val="32"/>
        </w:rPr>
        <w:t>万元，降低</w:t>
      </w:r>
      <w:r>
        <w:rPr>
          <w:rFonts w:ascii="仿宋_GB2312" w:eastAsia="仿宋_GB2312" w:cs="DengXian-Regular"/>
          <w:sz w:val="32"/>
          <w:szCs w:val="32"/>
        </w:rPr>
        <w:t>0.38</w:t>
      </w:r>
      <w:r>
        <w:rPr>
          <w:rFonts w:hint="eastAsia" w:ascii="仿宋_GB2312" w:eastAsia="仿宋_GB2312" w:cs="DengXian-Regular"/>
          <w:sz w:val="32"/>
          <w:szCs w:val="32"/>
        </w:rPr>
        <w:t>%,主要是公车改革减少运行费。</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ascii="仿宋_GB2312" w:eastAsia="仿宋_GB2312" w:cs="DengXian-Regular"/>
          <w:sz w:val="32"/>
          <w:szCs w:val="32"/>
        </w:rPr>
        <w:t>0</w:t>
      </w:r>
      <w:r>
        <w:rPr>
          <w:rFonts w:hint="eastAsia" w:ascii="仿宋_GB2312" w:eastAsia="仿宋_GB2312" w:cs="DengXian-Regular"/>
          <w:sz w:val="32"/>
          <w:szCs w:val="32"/>
        </w:rPr>
        <w:t>辆，发生“公务用车购置”经费支出</w:t>
      </w:r>
      <w:r>
        <w:rPr>
          <w:rFonts w:ascii="仿宋_GB2312" w:eastAsia="仿宋_GB2312" w:cs="DengXian-Regular"/>
          <w:sz w:val="32"/>
          <w:szCs w:val="32"/>
        </w:rPr>
        <w:t>0</w:t>
      </w:r>
      <w:r>
        <w:rPr>
          <w:rFonts w:hint="eastAsia" w:ascii="仿宋_GB2312" w:eastAsia="仿宋_GB2312" w:cs="DengXian-Regular"/>
          <w:sz w:val="32"/>
          <w:szCs w:val="32"/>
        </w:rPr>
        <w:t>万元。公务用车购置费支出较年初预算增加0万元，增长0%,本部门金额为0未发生此类支出。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ascii="仿宋_GB2312" w:eastAsia="仿宋_GB2312" w:cs="DengXian-Regular"/>
          <w:sz w:val="32"/>
          <w:szCs w:val="32"/>
        </w:rPr>
        <w:t>1</w:t>
      </w:r>
      <w:r>
        <w:rPr>
          <w:rFonts w:hint="eastAsia" w:ascii="仿宋_GB2312" w:eastAsia="仿宋_GB2312" w:cs="DengXian-Regular"/>
          <w:sz w:val="32"/>
          <w:szCs w:val="32"/>
        </w:rPr>
        <w:t>辆。公车运行维护费支出1</w:t>
      </w:r>
      <w:r>
        <w:rPr>
          <w:rFonts w:ascii="仿宋_GB2312" w:eastAsia="仿宋_GB2312" w:cs="DengXian-Regular"/>
          <w:sz w:val="32"/>
          <w:szCs w:val="32"/>
        </w:rPr>
        <w:t>.86</w:t>
      </w:r>
      <w:r>
        <w:rPr>
          <w:rFonts w:hint="eastAsia" w:ascii="仿宋_GB2312" w:eastAsia="仿宋_GB2312" w:cs="DengXian-Regular"/>
          <w:sz w:val="32"/>
          <w:szCs w:val="32"/>
        </w:rPr>
        <w:t>万元，较年初预算减少1</w:t>
      </w:r>
      <w:r>
        <w:rPr>
          <w:rFonts w:ascii="仿宋_GB2312" w:eastAsia="仿宋_GB2312" w:cs="DengXian-Regular"/>
          <w:sz w:val="32"/>
          <w:szCs w:val="32"/>
        </w:rPr>
        <w:t>.14</w:t>
      </w:r>
      <w:r>
        <w:rPr>
          <w:rFonts w:hint="eastAsia" w:ascii="仿宋_GB2312" w:eastAsia="仿宋_GB2312" w:cs="DengXian-Regular"/>
          <w:sz w:val="32"/>
          <w:szCs w:val="32"/>
        </w:rPr>
        <w:t>万元，降低0</w:t>
      </w:r>
      <w:r>
        <w:rPr>
          <w:rFonts w:ascii="仿宋_GB2312" w:eastAsia="仿宋_GB2312" w:cs="DengXian-Regular"/>
          <w:sz w:val="32"/>
          <w:szCs w:val="32"/>
        </w:rPr>
        <w:t>.38</w:t>
      </w:r>
      <w:r>
        <w:rPr>
          <w:rFonts w:hint="eastAsia" w:ascii="仿宋_GB2312" w:eastAsia="仿宋_GB2312" w:cs="DengXian-Regular"/>
          <w:sz w:val="32"/>
          <w:szCs w:val="32"/>
        </w:rPr>
        <w:t>%,主要是公车改革减少运行费。</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Calibri" w:hAnsi="Calibri" w:eastAsia="楷体_GB2312" w:cs="Calibri"/>
          <w:b/>
          <w:bCs/>
          <w:sz w:val="32"/>
          <w:szCs w:val="32"/>
        </w:rPr>
        <w:t>0.21</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w:t>
      </w:r>
      <w:r>
        <w:rPr>
          <w:rFonts w:ascii="仿宋_GB2312" w:eastAsia="仿宋_GB2312" w:cs="DengXian-Regular"/>
          <w:sz w:val="32"/>
          <w:szCs w:val="32"/>
        </w:rPr>
        <w:t>4</w:t>
      </w:r>
      <w:r>
        <w:rPr>
          <w:rFonts w:hint="eastAsia" w:ascii="仿宋_GB2312" w:eastAsia="仿宋_GB2312" w:cs="DengXian-Regular"/>
          <w:sz w:val="32"/>
          <w:szCs w:val="32"/>
        </w:rPr>
        <w:t>批次、</w:t>
      </w:r>
      <w:r>
        <w:rPr>
          <w:rFonts w:ascii="仿宋_GB2312" w:eastAsia="仿宋_GB2312" w:cs="DengXian-Regular"/>
          <w:sz w:val="32"/>
          <w:szCs w:val="32"/>
        </w:rPr>
        <w:t>15</w:t>
      </w:r>
      <w:r>
        <w:rPr>
          <w:rFonts w:hint="eastAsia" w:ascii="仿宋_GB2312" w:eastAsia="仿宋_GB2312" w:cs="DengXian-Regular"/>
          <w:sz w:val="32"/>
          <w:szCs w:val="32"/>
        </w:rPr>
        <w:t>人次。公务接待费支出0</w:t>
      </w:r>
      <w:r>
        <w:rPr>
          <w:rFonts w:ascii="仿宋_GB2312" w:eastAsia="仿宋_GB2312" w:cs="DengXian-Regular"/>
          <w:sz w:val="32"/>
          <w:szCs w:val="32"/>
        </w:rPr>
        <w:t>.21</w:t>
      </w:r>
      <w:r>
        <w:rPr>
          <w:rFonts w:hint="eastAsia" w:ascii="仿宋_GB2312" w:eastAsia="仿宋_GB2312" w:cs="DengXian-Regular"/>
          <w:sz w:val="32"/>
          <w:szCs w:val="32"/>
        </w:rPr>
        <w:t>万元，较年初预算减少0</w:t>
      </w:r>
      <w:r>
        <w:rPr>
          <w:rFonts w:ascii="仿宋_GB2312" w:eastAsia="仿宋_GB2312" w:cs="DengXian-Regular"/>
          <w:sz w:val="32"/>
          <w:szCs w:val="32"/>
        </w:rPr>
        <w:t>.0</w:t>
      </w:r>
      <w:r>
        <w:rPr>
          <w:rFonts w:ascii="Calibri" w:hAnsi="Calibri" w:eastAsia="仿宋_GB2312" w:cs="Calibri"/>
          <w:sz w:val="32"/>
          <w:szCs w:val="32"/>
        </w:rPr>
        <w:t>9</w:t>
      </w:r>
      <w:r>
        <w:rPr>
          <w:rFonts w:hint="eastAsia" w:ascii="仿宋_GB2312" w:eastAsia="仿宋_GB2312" w:cs="DengXian-Regular"/>
          <w:sz w:val="32"/>
          <w:szCs w:val="32"/>
        </w:rPr>
        <w:t>万元，降低3</w:t>
      </w:r>
      <w:r>
        <w:rPr>
          <w:rFonts w:ascii="仿宋_GB2312" w:eastAsia="仿宋_GB2312" w:cs="DengXian-Regular"/>
          <w:sz w:val="32"/>
          <w:szCs w:val="32"/>
        </w:rPr>
        <w:t>0</w:t>
      </w:r>
      <w:r>
        <w:rPr>
          <w:rFonts w:hint="eastAsia" w:ascii="仿宋_GB2312" w:eastAsia="仿宋_GB2312" w:cs="DengXian-Regular"/>
          <w:sz w:val="32"/>
          <w:szCs w:val="32"/>
        </w:rPr>
        <w:t>%,主要是考察科技项目接待。</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 w:hAnsi="仿宋" w:eastAsia="仿宋" w:cs="仿宋"/>
          <w:color w:val="FF0000"/>
          <w:sz w:val="32"/>
          <w:szCs w:val="32"/>
        </w:rPr>
      </w:pPr>
      <w:r>
        <w:rPr>
          <w:rFonts w:hint="eastAsia" w:ascii="仿宋" w:hAnsi="仿宋" w:eastAsia="仿宋" w:cs="仿宋"/>
          <w:sz w:val="32"/>
          <w:szCs w:val="32"/>
        </w:rPr>
        <w:t>（一）绩效管理工作开展情况。现代财政资金讲究绩效管理，即花钱就有效，无效必问责，将所有财政资金纳入绩效管理，是财政改革的必由之路。绩效指标的设置和评价体系建立是实现绩效管理的关键，移动门户项目资金主管部门根据项目具体情况，科学设置绩效考核指标，并由中立的第三方按照既定评价方法进行科学评价，确保每一笔财政资金均能够实现自己的价值。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优秀</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（二）预算项目绩效评价开展情况：依据《预算法》《河北省预算管理规定》《河北省人民政府关于深化预算管理制度改革的意见》等有关政策要求，做好部门预算管理工作。</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一是突出重点。紧紧围绕县委县政府的决策部署，调整优化支出结构，加强资金整合统筹，突出支持协同发展、脱贫攻坚、民生保障、更好地发挥对文化事业和文化产业的保障作用。</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二是绩效导向。部门根据绩效高低，区分轻重缓急，合理安排顺序，健全预算绩效和预算安排挂钩机制，提高资金使用效益。</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三是依法理财。全面落实《预算法》等各项规定，改进预算和控制方法，加强财政资金管理，硬化预算刚性约束，积极推进预算公开。</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根据预算绩效管理要求，</w:t>
      </w:r>
      <w:r>
        <w:rPr>
          <w:rFonts w:hint="eastAsia" w:ascii="仿宋" w:hAnsi="仿宋" w:eastAsia="仿宋" w:cs="仿宋"/>
          <w:sz w:val="32"/>
        </w:rPr>
        <w:t>涉及</w:t>
      </w:r>
      <w:r>
        <w:rPr>
          <w:rFonts w:hint="eastAsia" w:ascii="仿宋" w:hAnsi="仿宋" w:eastAsia="仿宋" w:cs="仿宋"/>
          <w:sz w:val="32"/>
          <w:szCs w:val="32"/>
        </w:rPr>
        <w:t>下达2018年支持市县应用技术研究与开发、2018年支持市县科技成果转化与扩散2</w:t>
      </w:r>
      <w:r>
        <w:rPr>
          <w:rFonts w:hint="eastAsia" w:ascii="仿宋" w:hAnsi="仿宋" w:eastAsia="仿宋" w:cs="仿宋"/>
          <w:sz w:val="32"/>
        </w:rPr>
        <w:t>个项目，涉及资金193万元。从评价情况看，评价结果为优秀的项目有2个。</w:t>
      </w:r>
    </w:p>
    <w:p>
      <w:pPr>
        <w:adjustRightInd w:val="0"/>
        <w:snapToGrid w:val="0"/>
        <w:spacing w:after="0" w:line="580" w:lineRule="exact"/>
        <w:ind w:firstLine="640" w:firstLineChars="200"/>
        <w:rPr>
          <w:rFonts w:ascii="仿宋" w:hAnsi="仿宋" w:eastAsia="仿宋" w:cs="仿宋"/>
          <w:sz w:val="32"/>
          <w:szCs w:val="32"/>
          <w:shd w:val="pct10" w:color="auto" w:fill="FFFFFF"/>
        </w:rPr>
      </w:pPr>
      <w:r>
        <w:rPr>
          <w:rFonts w:hint="eastAsia" w:ascii="仿宋" w:hAnsi="仿宋" w:eastAsia="仿宋" w:cs="仿宋"/>
          <w:sz w:val="32"/>
          <w:szCs w:val="32"/>
        </w:rPr>
        <w:t>（三）预算项目绩效自评选例</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本单位应用技术研究与开发项目绩效自评：根据年初设定的绩效目标，应用技术研究与开发项目绩效自评结果为优秀。项目全年预算数为143万元，执行数为143万元，完成预算的100%。主要产出和效果是提高了企业的科学技术研究与开发。</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ascii="仿宋_GB2312" w:eastAsia="仿宋_GB2312" w:cs="DengXian-Regular"/>
          <w:sz w:val="32"/>
          <w:szCs w:val="32"/>
        </w:rPr>
        <w:t>18.</w:t>
      </w:r>
      <w:r>
        <w:rPr>
          <w:rFonts w:ascii="Calibri" w:hAnsi="Calibri" w:eastAsia="仿宋_GB2312" w:cs="Calibri"/>
          <w:sz w:val="32"/>
          <w:szCs w:val="32"/>
        </w:rPr>
        <w:t>92</w:t>
      </w:r>
      <w:r>
        <w:rPr>
          <w:rFonts w:hint="eastAsia" w:ascii="仿宋_GB2312" w:eastAsia="仿宋_GB2312" w:cs="DengXian-Regular"/>
          <w:sz w:val="32"/>
          <w:szCs w:val="32"/>
        </w:rPr>
        <w:t>万元，比年初预算数增加</w:t>
      </w:r>
      <w:r>
        <w:rPr>
          <w:rFonts w:ascii="仿宋_GB2312" w:eastAsia="仿宋_GB2312" w:cs="DengXian-Regular"/>
          <w:sz w:val="32"/>
          <w:szCs w:val="32"/>
        </w:rPr>
        <w:t>4.</w:t>
      </w:r>
      <w:r>
        <w:rPr>
          <w:rFonts w:ascii="Calibri" w:hAnsi="Calibri" w:eastAsia="仿宋_GB2312" w:cs="Calibri"/>
          <w:sz w:val="32"/>
          <w:szCs w:val="32"/>
        </w:rPr>
        <w:t>92</w:t>
      </w:r>
      <w:r>
        <w:rPr>
          <w:rFonts w:hint="eastAsia" w:ascii="仿宋_GB2312" w:eastAsia="仿宋_GB2312" w:cs="DengXian-Regular"/>
          <w:sz w:val="32"/>
          <w:szCs w:val="32"/>
        </w:rPr>
        <w:t>万元，增长3</w:t>
      </w:r>
      <w:r>
        <w:rPr>
          <w:rFonts w:ascii="仿宋_GB2312" w:eastAsia="仿宋_GB2312" w:cs="DengXian-Regular"/>
          <w:sz w:val="32"/>
          <w:szCs w:val="32"/>
        </w:rPr>
        <w:t>5.1</w:t>
      </w:r>
      <w:r>
        <w:rPr>
          <w:rFonts w:hint="eastAsia" w:ascii="仿宋_GB2312" w:eastAsia="仿宋_GB2312" w:cs="DengXian-Regular"/>
          <w:sz w:val="32"/>
          <w:szCs w:val="32"/>
        </w:rPr>
        <w:t>%。主要原因是本年度统计口径变化。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hAnsi="仿宋_GB2312" w:eastAsia="仿宋_GB2312" w:cs="仿宋_GB2312"/>
          <w:color w:val="000000"/>
          <w:kern w:val="0"/>
          <w:sz w:val="32"/>
          <w:szCs w:val="32"/>
        </w:rPr>
      </w:pPr>
      <w:r>
        <w:rPr>
          <w:rFonts w:hint="eastAsia" w:ascii="仿宋_GB2312" w:eastAsia="仿宋_GB2312" w:cs="DengXian-Regular"/>
          <w:sz w:val="32"/>
          <w:szCs w:val="32"/>
        </w:rPr>
        <w:t>本部门2018年度政府采购支出总额</w:t>
      </w:r>
      <w:r>
        <w:rPr>
          <w:rFonts w:ascii="仿宋_GB2312" w:eastAsia="仿宋_GB2312" w:cs="DengXian-Regular"/>
          <w:sz w:val="32"/>
          <w:szCs w:val="32"/>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其中授予小微企业合同金额0万元，占政府采购支出总额的 0%。</w:t>
      </w:r>
      <w:r>
        <w:rPr>
          <w:rFonts w:hint="eastAsia" w:ascii="仿宋_GB2312" w:hAnsi="仿宋_GB2312" w:eastAsia="仿宋_GB2312" w:cs="仿宋_GB2312"/>
          <w:color w:val="000000"/>
          <w:kern w:val="0"/>
          <w:sz w:val="32"/>
          <w:szCs w:val="32"/>
        </w:rPr>
        <w:t>与年初预算持平。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ascii="仿宋_GB2312" w:eastAsia="仿宋_GB2312" w:cs="DengXian-Regular"/>
          <w:sz w:val="32"/>
          <w:szCs w:val="32"/>
        </w:rPr>
        <w:t>1</w:t>
      </w:r>
      <w:r>
        <w:rPr>
          <w:rFonts w:hint="eastAsia" w:ascii="仿宋_GB2312" w:eastAsia="仿宋_GB2312" w:cs="DengXian-Regular"/>
          <w:sz w:val="32"/>
          <w:szCs w:val="32"/>
        </w:rPr>
        <w:t>辆，比上年无变化。其中，副部（省）级及以上领导用车</w:t>
      </w:r>
      <w:r>
        <w:rPr>
          <w:rFonts w:ascii="仿宋_GB2312" w:eastAsia="仿宋_GB2312" w:cs="DengXian-Regular"/>
          <w:sz w:val="32"/>
          <w:szCs w:val="32"/>
        </w:rPr>
        <w:t>0</w:t>
      </w:r>
      <w:r>
        <w:rPr>
          <w:rFonts w:hint="eastAsia" w:ascii="仿宋_GB2312" w:eastAsia="仿宋_GB2312" w:cs="DengXian-Regular"/>
          <w:sz w:val="32"/>
          <w:szCs w:val="32"/>
        </w:rPr>
        <w:t>辆，主要领导干部用车</w:t>
      </w:r>
      <w:r>
        <w:rPr>
          <w:rFonts w:ascii="仿宋_GB2312" w:eastAsia="仿宋_GB2312" w:cs="DengXian-Regular"/>
          <w:sz w:val="32"/>
          <w:szCs w:val="32"/>
        </w:rPr>
        <w:t>1</w:t>
      </w:r>
      <w:r>
        <w:rPr>
          <w:rFonts w:hint="eastAsia" w:ascii="仿宋_GB2312" w:eastAsia="仿宋_GB2312" w:cs="DengXian-Regular"/>
          <w:sz w:val="32"/>
          <w:szCs w:val="32"/>
        </w:rPr>
        <w:t>辆，机要通信用车</w:t>
      </w:r>
      <w:r>
        <w:rPr>
          <w:rFonts w:ascii="仿宋_GB2312" w:eastAsia="仿宋_GB2312" w:cs="DengXian-Regular"/>
          <w:sz w:val="32"/>
          <w:szCs w:val="32"/>
        </w:rPr>
        <w:t>0</w:t>
      </w:r>
      <w:r>
        <w:rPr>
          <w:rFonts w:hint="eastAsia" w:ascii="仿宋_GB2312" w:eastAsia="仿宋_GB2312" w:cs="DengXian-Regular"/>
          <w:sz w:val="32"/>
          <w:szCs w:val="32"/>
        </w:rPr>
        <w:t>辆，应急保障用车</w:t>
      </w:r>
      <w:r>
        <w:rPr>
          <w:rFonts w:ascii="仿宋_GB2312" w:eastAsia="仿宋_GB2312" w:cs="DengXian-Regular"/>
          <w:sz w:val="32"/>
          <w:szCs w:val="32"/>
        </w:rPr>
        <w:t>0</w:t>
      </w:r>
      <w:r>
        <w:rPr>
          <w:rFonts w:hint="eastAsia" w:ascii="仿宋_GB2312" w:eastAsia="仿宋_GB2312" w:cs="DengXian-Regular"/>
          <w:sz w:val="32"/>
          <w:szCs w:val="32"/>
        </w:rPr>
        <w:t>辆，执法执勤用车</w:t>
      </w:r>
      <w:r>
        <w:rPr>
          <w:rFonts w:ascii="仿宋_GB2312" w:eastAsia="仿宋_GB2312" w:cs="DengXian-Regular"/>
          <w:sz w:val="32"/>
          <w:szCs w:val="32"/>
        </w:rPr>
        <w:t>0</w:t>
      </w:r>
      <w:r>
        <w:rPr>
          <w:rFonts w:hint="eastAsia" w:ascii="仿宋_GB2312" w:eastAsia="仿宋_GB2312" w:cs="DengXian-Regular"/>
          <w:sz w:val="32"/>
          <w:szCs w:val="32"/>
        </w:rPr>
        <w:t>辆，特种专业技术用车</w:t>
      </w:r>
      <w:r>
        <w:rPr>
          <w:rFonts w:ascii="仿宋_GB2312" w:eastAsia="仿宋_GB2312" w:cs="DengXian-Regular"/>
          <w:sz w:val="32"/>
          <w:szCs w:val="32"/>
        </w:rPr>
        <w:t>0</w:t>
      </w:r>
      <w:r>
        <w:rPr>
          <w:rFonts w:hint="eastAsia" w:ascii="仿宋_GB2312" w:eastAsia="仿宋_GB2312" w:cs="DengXian-Regular"/>
          <w:sz w:val="32"/>
          <w:szCs w:val="32"/>
        </w:rPr>
        <w:t>辆，离退休干部用车</w:t>
      </w:r>
      <w:r>
        <w:rPr>
          <w:rFonts w:ascii="仿宋_GB2312" w:eastAsia="仿宋_GB2312" w:cs="DengXian-Regular"/>
          <w:sz w:val="32"/>
          <w:szCs w:val="32"/>
        </w:rPr>
        <w:t>0</w:t>
      </w:r>
      <w:r>
        <w:rPr>
          <w:rFonts w:hint="eastAsia" w:ascii="仿宋_GB2312" w:eastAsia="仿宋_GB2312" w:cs="DengXian-Regular"/>
          <w:sz w:val="32"/>
          <w:szCs w:val="32"/>
        </w:rPr>
        <w:t>辆，其他用车</w:t>
      </w:r>
      <w:r>
        <w:rPr>
          <w:rFonts w:ascii="仿宋_GB2312" w:eastAsia="仿宋_GB2312" w:cs="DengXian-Regular"/>
          <w:sz w:val="32"/>
          <w:szCs w:val="32"/>
        </w:rPr>
        <w:t>0</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ascii="仿宋_GB2312" w:eastAsia="仿宋_GB2312" w:cs="DengXian-Regular"/>
          <w:sz w:val="32"/>
          <w:szCs w:val="32"/>
        </w:rPr>
        <w:t>0</w:t>
      </w:r>
      <w:r>
        <w:rPr>
          <w:rFonts w:hint="eastAsia" w:ascii="仿宋_GB2312" w:eastAsia="仿宋_GB2312" w:cs="DengXian-Regular"/>
          <w:sz w:val="32"/>
          <w:szCs w:val="32"/>
        </w:rPr>
        <w:t>台（套），比上年无增减变化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台（套）比上年无增减变化。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1、本部门2018年度政府性基金预算财政拨款收入支出决算表、国有资本经营预算财政拨款支出决算表、政府采购情况表无收支及结转结余情况，故以上表以空表列示。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E23D57-A55B-405D-B8CF-E8BFEA3946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5BD73FD-D028-46F1-89CB-83209A67C87F}"/>
  </w:font>
  <w:font w:name="Cambria">
    <w:panose1 w:val="02040503050406030204"/>
    <w:charset w:val="00"/>
    <w:family w:val="roman"/>
    <w:pitch w:val="default"/>
    <w:sig w:usb0="E00006FF" w:usb1="420024FF" w:usb2="02000000" w:usb3="00000000" w:csb0="2000019F" w:csb1="00000000"/>
    <w:embedRegular r:id="rId3" w:fontKey="{82CD51EA-D920-4092-BDDF-E56E3C141836}"/>
  </w:font>
  <w:font w:name="楷体">
    <w:panose1 w:val="02010609060101010101"/>
    <w:charset w:val="86"/>
    <w:family w:val="modern"/>
    <w:pitch w:val="default"/>
    <w:sig w:usb0="800002BF" w:usb1="38CF7CFA" w:usb2="00000016" w:usb3="00000000" w:csb0="00040001" w:csb1="00000000"/>
    <w:embedRegular r:id="rId4" w:fontKey="{E560D051-015F-4320-AF83-7FA4A6E44F3E}"/>
  </w:font>
  <w:font w:name="楷体_GB2312">
    <w:panose1 w:val="02010609030101010101"/>
    <w:charset w:val="86"/>
    <w:family w:val="modern"/>
    <w:pitch w:val="default"/>
    <w:sig w:usb0="00000001" w:usb1="080E0000" w:usb2="00000000" w:usb3="00000000" w:csb0="00040000" w:csb1="00000000"/>
    <w:embedRegular r:id="rId5" w:fontKey="{A0549851-20C7-43E1-8305-FBACDE4C6AC0}"/>
  </w:font>
  <w:font w:name="仿宋_GB2312">
    <w:panose1 w:val="02010609030101010101"/>
    <w:charset w:val="86"/>
    <w:family w:val="modern"/>
    <w:pitch w:val="default"/>
    <w:sig w:usb0="00000001" w:usb1="080E0000" w:usb2="00000000" w:usb3="00000000" w:csb0="00040000" w:csb1="00000000"/>
    <w:embedRegular r:id="rId6" w:fontKey="{91901638-A4E9-4481-8594-BEF50525F1CB}"/>
  </w:font>
  <w:font w:name="ArialUnicodeMS">
    <w:altName w:val="Malgun Gothic"/>
    <w:panose1 w:val="00000000000000000000"/>
    <w:charset w:val="81"/>
    <w:family w:val="auto"/>
    <w:pitch w:val="default"/>
    <w:sig w:usb0="00000000" w:usb1="00000000" w:usb2="00000010" w:usb3="00000000" w:csb0="00080001" w:csb1="00000000"/>
    <w:embedRegular r:id="rId7" w:fontKey="{63A08D72-BB78-4BCD-89C6-7C119A558F2F}"/>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8" w:fontKey="{8D9BEF9C-C5CD-46BC-AC46-0C5EA36B7303}"/>
  </w:font>
  <w:font w:name="微软雅黑">
    <w:panose1 w:val="020B0503020204020204"/>
    <w:charset w:val="86"/>
    <w:family w:val="swiss"/>
    <w:pitch w:val="default"/>
    <w:sig w:usb0="80000287" w:usb1="2ACF3C50" w:usb2="00000016" w:usb3="00000000" w:csb0="0004001F" w:csb1="00000000"/>
    <w:embedRegular r:id="rId9" w:fontKey="{BE0C7D11-FD58-4D63-B053-9B8CB59A4B8A}"/>
  </w:font>
  <w:font w:name="MS-UIGothic,Bold">
    <w:altName w:val="Malgun Gothic"/>
    <w:panose1 w:val="00000000000000000000"/>
    <w:charset w:val="81"/>
    <w:family w:val="auto"/>
    <w:pitch w:val="default"/>
    <w:sig w:usb0="00000000" w:usb1="00000000" w:usb2="00000010" w:usb3="00000000" w:csb0="00080000" w:csb1="00000000"/>
    <w:embedRegular r:id="rId10" w:fontKey="{163964C9-CBF9-46CB-837E-7B52DE8C99F1}"/>
  </w:font>
  <w:font w:name="Arial">
    <w:panose1 w:val="020B0604020202020204"/>
    <w:charset w:val="00"/>
    <w:family w:val="swiss"/>
    <w:pitch w:val="default"/>
    <w:sig w:usb0="E0002EFF" w:usb1="C000785B" w:usb2="00000009" w:usb3="00000000" w:csb0="400001FF" w:csb1="FFFF0000"/>
    <w:embedRegular r:id="rId11" w:fontKey="{A0850130-3FF4-44F3-A507-44716C284A7A}"/>
  </w:font>
  <w:font w:name="DengXian-Regular">
    <w:altName w:val="宋体"/>
    <w:panose1 w:val="00000000000000000000"/>
    <w:charset w:val="86"/>
    <w:family w:val="auto"/>
    <w:pitch w:val="default"/>
    <w:sig w:usb0="00000000" w:usb1="00000000" w:usb2="00000010" w:usb3="00000000" w:csb0="00040001" w:csb1="00000000"/>
    <w:embedRegular r:id="rId12" w:fontKey="{B96D2533-6BD6-4AAD-BBA6-C3E873B5C523}"/>
  </w:font>
  <w:font w:name="DengXian-Bold">
    <w:altName w:val="宋体"/>
    <w:panose1 w:val="00000000000000000000"/>
    <w:charset w:val="86"/>
    <w:family w:val="auto"/>
    <w:pitch w:val="default"/>
    <w:sig w:usb0="00000000" w:usb1="00000000" w:usb2="00000010" w:usb3="00000000" w:csb0="00040001" w:csb1="00000000"/>
    <w:embedRegular r:id="rId13" w:fontKey="{D07A274D-D7E9-4073-93E1-0B8CDEBE6DBB}"/>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03928"/>
    <w:rsid w:val="00004AFD"/>
    <w:rsid w:val="00024E7F"/>
    <w:rsid w:val="000475A0"/>
    <w:rsid w:val="000838C3"/>
    <w:rsid w:val="000B2446"/>
    <w:rsid w:val="000D7C65"/>
    <w:rsid w:val="000E2F81"/>
    <w:rsid w:val="000F6834"/>
    <w:rsid w:val="00100BAF"/>
    <w:rsid w:val="00117946"/>
    <w:rsid w:val="00117E2C"/>
    <w:rsid w:val="00146C47"/>
    <w:rsid w:val="00152FB8"/>
    <w:rsid w:val="00165A04"/>
    <w:rsid w:val="00176658"/>
    <w:rsid w:val="0018239E"/>
    <w:rsid w:val="001B3410"/>
    <w:rsid w:val="001C030D"/>
    <w:rsid w:val="001C2DE6"/>
    <w:rsid w:val="001C4A84"/>
    <w:rsid w:val="001C74EE"/>
    <w:rsid w:val="001E5902"/>
    <w:rsid w:val="001F4B20"/>
    <w:rsid w:val="002202D4"/>
    <w:rsid w:val="00221B5E"/>
    <w:rsid w:val="00224E91"/>
    <w:rsid w:val="00233705"/>
    <w:rsid w:val="00234C15"/>
    <w:rsid w:val="00275CA2"/>
    <w:rsid w:val="002765B7"/>
    <w:rsid w:val="00276729"/>
    <w:rsid w:val="002A65A5"/>
    <w:rsid w:val="002B23EF"/>
    <w:rsid w:val="002C04C4"/>
    <w:rsid w:val="002D08B0"/>
    <w:rsid w:val="002D1AE3"/>
    <w:rsid w:val="002E3E36"/>
    <w:rsid w:val="002F2ECE"/>
    <w:rsid w:val="003247D5"/>
    <w:rsid w:val="00341C8F"/>
    <w:rsid w:val="0035463A"/>
    <w:rsid w:val="003550C3"/>
    <w:rsid w:val="00391D9D"/>
    <w:rsid w:val="00391E1D"/>
    <w:rsid w:val="003B0647"/>
    <w:rsid w:val="003B6C51"/>
    <w:rsid w:val="003C1413"/>
    <w:rsid w:val="003C549F"/>
    <w:rsid w:val="003D5A16"/>
    <w:rsid w:val="003E7DB3"/>
    <w:rsid w:val="003F7EC9"/>
    <w:rsid w:val="00414CE4"/>
    <w:rsid w:val="0042560E"/>
    <w:rsid w:val="00431175"/>
    <w:rsid w:val="00436CF3"/>
    <w:rsid w:val="00481C3C"/>
    <w:rsid w:val="004B6E37"/>
    <w:rsid w:val="004C32BA"/>
    <w:rsid w:val="004D35E1"/>
    <w:rsid w:val="00502871"/>
    <w:rsid w:val="005063F0"/>
    <w:rsid w:val="00575922"/>
    <w:rsid w:val="00596DD3"/>
    <w:rsid w:val="005A6C90"/>
    <w:rsid w:val="005E3FB0"/>
    <w:rsid w:val="005F4B66"/>
    <w:rsid w:val="005F5208"/>
    <w:rsid w:val="006141AD"/>
    <w:rsid w:val="00641318"/>
    <w:rsid w:val="0064405D"/>
    <w:rsid w:val="006643AC"/>
    <w:rsid w:val="00685302"/>
    <w:rsid w:val="00695557"/>
    <w:rsid w:val="006B2C8A"/>
    <w:rsid w:val="006D4EA7"/>
    <w:rsid w:val="0070012A"/>
    <w:rsid w:val="0070664B"/>
    <w:rsid w:val="007071B8"/>
    <w:rsid w:val="007414DE"/>
    <w:rsid w:val="00741879"/>
    <w:rsid w:val="0074209C"/>
    <w:rsid w:val="007623AF"/>
    <w:rsid w:val="00766A30"/>
    <w:rsid w:val="007905A9"/>
    <w:rsid w:val="007E238C"/>
    <w:rsid w:val="007E5500"/>
    <w:rsid w:val="007F055B"/>
    <w:rsid w:val="00800E03"/>
    <w:rsid w:val="0080644C"/>
    <w:rsid w:val="00811C2F"/>
    <w:rsid w:val="00817FA8"/>
    <w:rsid w:val="00820251"/>
    <w:rsid w:val="00833D46"/>
    <w:rsid w:val="00840A97"/>
    <w:rsid w:val="008C0149"/>
    <w:rsid w:val="008C689C"/>
    <w:rsid w:val="008D1953"/>
    <w:rsid w:val="008D5DED"/>
    <w:rsid w:val="008E25CA"/>
    <w:rsid w:val="008E4610"/>
    <w:rsid w:val="008E578E"/>
    <w:rsid w:val="008F34FC"/>
    <w:rsid w:val="00900F38"/>
    <w:rsid w:val="00935058"/>
    <w:rsid w:val="00944CD7"/>
    <w:rsid w:val="009831B2"/>
    <w:rsid w:val="009A1ABE"/>
    <w:rsid w:val="009E21A4"/>
    <w:rsid w:val="009F22C6"/>
    <w:rsid w:val="00A07E50"/>
    <w:rsid w:val="00A15397"/>
    <w:rsid w:val="00A35CE0"/>
    <w:rsid w:val="00A4462E"/>
    <w:rsid w:val="00A44AA4"/>
    <w:rsid w:val="00A520B8"/>
    <w:rsid w:val="00A61623"/>
    <w:rsid w:val="00A84687"/>
    <w:rsid w:val="00A97E3D"/>
    <w:rsid w:val="00AB0A0E"/>
    <w:rsid w:val="00AD041A"/>
    <w:rsid w:val="00AD3B6E"/>
    <w:rsid w:val="00AF76BB"/>
    <w:rsid w:val="00B1751F"/>
    <w:rsid w:val="00B56722"/>
    <w:rsid w:val="00B74D39"/>
    <w:rsid w:val="00B77297"/>
    <w:rsid w:val="00B91DA4"/>
    <w:rsid w:val="00BA784B"/>
    <w:rsid w:val="00BF178C"/>
    <w:rsid w:val="00C12630"/>
    <w:rsid w:val="00C34562"/>
    <w:rsid w:val="00C3774E"/>
    <w:rsid w:val="00C57456"/>
    <w:rsid w:val="00C65387"/>
    <w:rsid w:val="00C87FAB"/>
    <w:rsid w:val="00C91FF7"/>
    <w:rsid w:val="00C94E53"/>
    <w:rsid w:val="00D0048E"/>
    <w:rsid w:val="00D23E7A"/>
    <w:rsid w:val="00D264DD"/>
    <w:rsid w:val="00D34540"/>
    <w:rsid w:val="00D51D40"/>
    <w:rsid w:val="00D61063"/>
    <w:rsid w:val="00DA46C0"/>
    <w:rsid w:val="00DB35AF"/>
    <w:rsid w:val="00DB4978"/>
    <w:rsid w:val="00DD72D7"/>
    <w:rsid w:val="00DF1FFE"/>
    <w:rsid w:val="00DF5B88"/>
    <w:rsid w:val="00E0589E"/>
    <w:rsid w:val="00E241FA"/>
    <w:rsid w:val="00E2595E"/>
    <w:rsid w:val="00E35374"/>
    <w:rsid w:val="00E50C19"/>
    <w:rsid w:val="00E64655"/>
    <w:rsid w:val="00E73081"/>
    <w:rsid w:val="00E856C9"/>
    <w:rsid w:val="00E8744D"/>
    <w:rsid w:val="00EA198B"/>
    <w:rsid w:val="00EB6A8B"/>
    <w:rsid w:val="00EF38C6"/>
    <w:rsid w:val="00EF6B75"/>
    <w:rsid w:val="00F35C97"/>
    <w:rsid w:val="00F522C6"/>
    <w:rsid w:val="00F679C7"/>
    <w:rsid w:val="00F7711A"/>
    <w:rsid w:val="00FA0D58"/>
    <w:rsid w:val="00FA56F4"/>
    <w:rsid w:val="00FB00A0"/>
    <w:rsid w:val="00FB4EDA"/>
    <w:rsid w:val="00FD3BD5"/>
    <w:rsid w:val="00FE3DC8"/>
    <w:rsid w:val="04073F84"/>
    <w:rsid w:val="0B60750A"/>
    <w:rsid w:val="10686488"/>
    <w:rsid w:val="10DF728A"/>
    <w:rsid w:val="1264200E"/>
    <w:rsid w:val="141C5B77"/>
    <w:rsid w:val="18D8339D"/>
    <w:rsid w:val="1A21388F"/>
    <w:rsid w:val="1A570D2F"/>
    <w:rsid w:val="28FB0B8D"/>
    <w:rsid w:val="2A9870FC"/>
    <w:rsid w:val="2C183931"/>
    <w:rsid w:val="2D2B7942"/>
    <w:rsid w:val="2D46481D"/>
    <w:rsid w:val="2E733B28"/>
    <w:rsid w:val="30D640C3"/>
    <w:rsid w:val="31852B5A"/>
    <w:rsid w:val="32D01238"/>
    <w:rsid w:val="3DFC59A8"/>
    <w:rsid w:val="3ECF245E"/>
    <w:rsid w:val="3FB96314"/>
    <w:rsid w:val="53A44FAF"/>
    <w:rsid w:val="594329EC"/>
    <w:rsid w:val="5BEE1540"/>
    <w:rsid w:val="5DE61A5D"/>
    <w:rsid w:val="63C04243"/>
    <w:rsid w:val="649C01C7"/>
    <w:rsid w:val="699A3F60"/>
    <w:rsid w:val="6FE208A8"/>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字符"/>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199"/>
          <c:y val="0.850746268656717"/>
        </c:manualLayout>
      </c:layout>
      <c:overlay val="0"/>
    </c:title>
    <c:autoTitleDeleted val="0"/>
    <c:plotArea>
      <c:layout>
        <c:manualLayout>
          <c:layoutTarget val="inner"/>
          <c:xMode val="edge"/>
          <c:yMode val="edge"/>
          <c:x val="0.0943148809218805"/>
          <c:y val="0.0575245818153328"/>
          <c:w val="0.811370238156239"/>
          <c:h val="0.765547851294708"/>
        </c:manualLayout>
      </c:layout>
      <c:pieChart>
        <c:varyColors val="1"/>
        <c:ser>
          <c:idx val="0"/>
          <c:order val="0"/>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收入情况说明!$C$9:$C$12</c:f>
              <c:strCache>
                <c:ptCount val="4"/>
                <c:pt idx="0">
                  <c:v>财政拨款收入</c:v>
                </c:pt>
                <c:pt idx="1">
                  <c:v>事业收入</c:v>
                </c:pt>
                <c:pt idx="2">
                  <c:v>经营收入</c:v>
                </c:pt>
                <c:pt idx="3">
                  <c:v>其他收入</c:v>
                </c:pt>
              </c:strCache>
            </c:strRef>
          </c:cat>
          <c:val>
            <c:numRef>
              <c:f>收入情况说明!$D$9:$D$12</c:f>
              <c:numCache>
                <c:formatCode>General</c:formatCode>
                <c:ptCount val="4"/>
                <c:pt idx="0">
                  <c:v>3644.86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支出情况说明!$A$5:$A$7</c:f>
              <c:strCache>
                <c:ptCount val="3"/>
                <c:pt idx="0">
                  <c:v>基本支出</c:v>
                </c:pt>
                <c:pt idx="1">
                  <c:v>项目支出</c:v>
                </c:pt>
                <c:pt idx="2">
                  <c:v>经营支出</c:v>
                </c:pt>
              </c:strCache>
            </c:strRef>
          </c:cat>
          <c:val>
            <c:numRef>
              <c:f>支出情况说明!$B$5:$B$7</c:f>
              <c:numCache>
                <c:formatCode>General</c:formatCode>
                <c:ptCount val="3"/>
                <c:pt idx="0">
                  <c:v>134.87</c:v>
                </c:pt>
                <c:pt idx="1">
                  <c:v>209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收支与决算对比!$B$5:$C$5</c:f>
              <c:numCache>
                <c:formatCode>General</c:formatCode>
                <c:ptCount val="2"/>
                <c:pt idx="0">
                  <c:v>337.16</c:v>
                </c:pt>
                <c:pt idx="1">
                  <c:v>343.87</c:v>
                </c:pt>
              </c:numCache>
            </c:numRef>
          </c:val>
        </c:ser>
        <c:ser>
          <c:idx val="1"/>
          <c:order val="1"/>
          <c:tx>
            <c:strRef>
              <c:f>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收支与决算对比!$B$6:$C$6</c:f>
              <c:numCache>
                <c:formatCode>General</c:formatCode>
                <c:ptCount val="2"/>
                <c:pt idx="0">
                  <c:v>457.12</c:v>
                </c:pt>
                <c:pt idx="1">
                  <c:v>484.94</c:v>
                </c:pt>
              </c:numCache>
            </c:numRef>
          </c:val>
        </c:ser>
        <c:dLbls>
          <c:showLegendKey val="0"/>
          <c:showVal val="1"/>
          <c:showCatName val="0"/>
          <c:showSerName val="0"/>
          <c:showPercent val="0"/>
          <c:showBubbleSize val="0"/>
        </c:dLbls>
        <c:gapWidth val="75"/>
        <c:axId val="237910272"/>
        <c:axId val="237920256"/>
      </c:barChart>
      <c:catAx>
        <c:axId val="23791027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7920256"/>
        <c:crosses val="autoZero"/>
        <c:auto val="1"/>
        <c:lblAlgn val="ctr"/>
        <c:lblOffset val="100"/>
        <c:noMultiLvlLbl val="0"/>
      </c:catAx>
      <c:valAx>
        <c:axId val="23792025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7910272"/>
        <c:crosses val="autoZero"/>
        <c:crossBetween val="between"/>
      </c:valAx>
    </c:plotArea>
    <c:legend>
      <c:legendPos val="b"/>
      <c:layout>
        <c:manualLayout>
          <c:xMode val="edge"/>
          <c:yMode val="edge"/>
          <c:x val="0.426340551181102"/>
          <c:y val="0.756835299740887"/>
          <c:w val="0.208429790026247"/>
          <c:h val="0.0770305149555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1"/>
        </c:manualLayout>
      </c:layout>
      <c:overlay val="0"/>
    </c:title>
    <c:autoTitleDeleted val="0"/>
    <c:plotArea>
      <c:layout>
        <c:manualLayout>
          <c:layoutTarget val="inner"/>
          <c:xMode val="edge"/>
          <c:yMode val="edge"/>
          <c:x val="0.100155074365704"/>
          <c:y val="0.0231156048675734"/>
          <c:w val="0.869289370078741"/>
          <c:h val="0.768818002863279"/>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258.82</c:v>
                </c:pt>
                <c:pt idx="1">
                  <c:v>258.82</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337.16</c:v>
                </c:pt>
                <c:pt idx="1">
                  <c:v>343.87</c:v>
                </c:pt>
              </c:numCache>
            </c:numRef>
          </c:val>
        </c:ser>
        <c:dLbls>
          <c:showLegendKey val="0"/>
          <c:showVal val="1"/>
          <c:showCatName val="0"/>
          <c:showSerName val="0"/>
          <c:showPercent val="0"/>
          <c:showBubbleSize val="0"/>
        </c:dLbls>
        <c:gapWidth val="75"/>
        <c:axId val="248542336"/>
        <c:axId val="248543872"/>
      </c:barChart>
      <c:catAx>
        <c:axId val="2485423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543872"/>
        <c:crosses val="autoZero"/>
        <c:auto val="1"/>
        <c:lblAlgn val="ctr"/>
        <c:lblOffset val="100"/>
        <c:noMultiLvlLbl val="0"/>
      </c:catAx>
      <c:valAx>
        <c:axId val="24854387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8542336"/>
        <c:crosses val="autoZero"/>
        <c:crossBetween val="between"/>
      </c:valAx>
    </c:plotArea>
    <c:legend>
      <c:legendPos val="b"/>
      <c:layout>
        <c:manualLayout>
          <c:xMode val="edge"/>
          <c:yMode val="edge"/>
          <c:x val="0.346718285214349"/>
          <c:y val="0.848750340633651"/>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4"/>
        </c:manualLayout>
      </c:layout>
      <c:overlay val="0"/>
    </c:title>
    <c:autoTitleDeleted val="0"/>
    <c:plotArea>
      <c:layout>
        <c:manualLayout>
          <c:layoutTarget val="inner"/>
          <c:xMode val="edge"/>
          <c:yMode val="edge"/>
          <c:x val="0.242777777777778"/>
          <c:y val="0.0719696755041531"/>
          <c:w val="0.514444663167104"/>
          <c:h val="0.70151524054067"/>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delete val="1"/>
            </c:dLbl>
            <c:dLbl>
              <c:idx val="1"/>
              <c:delete val="1"/>
            </c:dLbl>
            <c:dLbl>
              <c:idx val="2"/>
              <c:delete val="1"/>
            </c:dLbl>
            <c:dLbl>
              <c:idx val="3"/>
              <c:layout>
                <c:manualLayout>
                  <c:x val="-0.0686902887139108"/>
                  <c:y val="-0.2264436856897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delete val="1"/>
            </c:dLbl>
            <c:dLbl>
              <c:idx val="5"/>
              <c:layout>
                <c:manualLayout>
                  <c:x val="-0.0202005686789151"/>
                  <c:y val="0.075712881022615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支出决算结构!$B$5:$B$23</c:f>
              <c:numCache>
                <c:formatCode>General</c:formatCode>
                <c:ptCount val="19"/>
                <c:pt idx="3">
                  <c:v>328.59</c:v>
                </c:pt>
                <c:pt idx="5">
                  <c:v>15.28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C9D8D1-8493-40DA-B7D4-00836F8A9825}">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1617</Words>
  <Characters>9223</Characters>
  <Lines>76</Lines>
  <Paragraphs>21</Paragraphs>
  <TotalTime>2</TotalTime>
  <ScaleCrop>false</ScaleCrop>
  <LinksUpToDate>false</LinksUpToDate>
  <CharactersWithSpaces>10819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古德纽斯</cp:lastModifiedBy>
  <cp:lastPrinted>2019-08-02T01:01:00Z</cp:lastPrinted>
  <dcterms:modified xsi:type="dcterms:W3CDTF">2024-02-23T02:29:17Z</dcterms:modified>
  <dc:subject>石家庄市xxx部门</dc:subject>
  <dc:title>2017年度部门决算</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DF9C16C00F7A4805A69C0F94A72135CF</vt:lpwstr>
  </property>
</Properties>
</file>