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方正小标宋_GBK"/>
          <w:sz w:val="44"/>
          <w:szCs w:val="44"/>
        </w:rPr>
      </w:pPr>
      <w:bookmarkStart w:id="8" w:name="_GoBack"/>
      <w:bookmarkEnd w:id="8"/>
      <w:r>
        <w:rPr>
          <w:rFonts w:hint="eastAsia" w:ascii="方正小标宋_GBK" w:hAnsi="Times New Roman" w:eastAsia="方正小标宋_GBK" w:cs="方正小标宋_GBK"/>
          <w:sz w:val="44"/>
          <w:szCs w:val="44"/>
        </w:rPr>
        <w:t>无极县妇女联合会</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按照《预算法》、《地方预决算公开操作规程》和《河北省省级预算公开办法》规定，现将无极县妇女联合会</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ind w:firstLine="643" w:firstLineChars="200"/>
        <w:rPr>
          <w:rFonts w:ascii="黑体" w:hAnsi="黑体" w:eastAsia="黑体" w:cs="黑体"/>
          <w:b/>
          <w:bCs/>
          <w:sz w:val="32"/>
          <w:szCs w:val="32"/>
        </w:rPr>
      </w:pPr>
      <w:r>
        <w:rPr>
          <w:rFonts w:hint="eastAsia" w:ascii="黑体" w:hAnsi="黑体" w:eastAsia="黑体" w:cs="黑体"/>
          <w:b/>
          <w:bCs/>
          <w:sz w:val="32"/>
          <w:szCs w:val="32"/>
        </w:rPr>
        <w:t>一、部门职责及机构设置情况</w:t>
      </w:r>
    </w:p>
    <w:p>
      <w:pPr>
        <w:ind w:firstLine="640"/>
        <w:rPr>
          <w:rFonts w:ascii="仿宋_GB2312" w:hAnsi="仿宋_GB2312" w:eastAsia="仿宋_GB2312" w:cs="仿宋_GB2312"/>
          <w:sz w:val="32"/>
          <w:szCs w:val="32"/>
        </w:rPr>
      </w:pPr>
      <w:r>
        <w:rPr>
          <w:rFonts w:hint="eastAsia" w:ascii="黑体" w:hAnsi="黑体" w:eastAsia="黑体" w:cs="黑体"/>
          <w:sz w:val="32"/>
          <w:szCs w:val="32"/>
        </w:rPr>
        <w:t>部门职责</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无极县妇女联合会是党领导下的全县各界妇女的群众团体组织，是党和政府联系群众的桥梁和纽带，国家政权的重要社会制度之一。其主要职责是维护妇女和儿童合法权益，带领全县妇女为建设富裕、文明、生态、和谐的新无极再新功。</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1、向妇女群众宣传贯彻党的路线方针和政策，教育妇女要自尊、自立、自信、自强。</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2、向社会宣传有关维护妇女儿童的法律政策，参加社会治安综合治理。</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3、积极推进妇女儿童发展规划的实施。</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4、实施困境妇女儿童帮扶行动。    </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5、鼓励全县妇女积极参加巾帼现代农业科技示范基地建设。</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6、带领全县妇女开展“美丽庭院”及“妇女之家”创建，加强基层妇联组织建设。</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7、向全县妇女宣传“两癌”预防知识。</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134"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1276"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2902"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rPr>
            </w:pPr>
          </w:p>
        </w:tc>
        <w:tc>
          <w:tcPr>
            <w:tcW w:w="1134" w:type="dxa"/>
            <w:vMerge w:val="continue"/>
            <w:vAlign w:val="center"/>
          </w:tcPr>
          <w:p>
            <w:pPr>
              <w:spacing w:line="300" w:lineRule="exact"/>
              <w:jc w:val="left"/>
              <w:outlineLvl w:val="0"/>
              <w:rPr>
                <w:rFonts w:ascii="Times New Roman" w:hAnsi="Times New Roman" w:cs="Times New Roman"/>
              </w:rPr>
            </w:pPr>
          </w:p>
        </w:tc>
        <w:tc>
          <w:tcPr>
            <w:tcW w:w="1276" w:type="dxa"/>
            <w:vMerge w:val="continue"/>
            <w:vAlign w:val="center"/>
          </w:tcPr>
          <w:p>
            <w:pPr>
              <w:spacing w:line="300" w:lineRule="exact"/>
              <w:jc w:val="left"/>
              <w:outlineLvl w:val="0"/>
              <w:rPr>
                <w:rFonts w:ascii="Times New Roman" w:hAnsi="Times New Roman" w:cs="Times New Roman"/>
              </w:rPr>
            </w:pPr>
          </w:p>
        </w:tc>
        <w:tc>
          <w:tcPr>
            <w:tcW w:w="2902"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rPr>
            </w:pPr>
            <w:r>
              <w:rPr>
                <w:rFonts w:hint="eastAsia" w:ascii="方正书宋_GBK" w:eastAsia="方正书宋_GBK" w:cs="方正书宋_GBK"/>
              </w:rPr>
              <w:t>无极县妇女联合会</w:t>
            </w:r>
          </w:p>
        </w:tc>
        <w:tc>
          <w:tcPr>
            <w:tcW w:w="1134"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行政</w:t>
            </w:r>
          </w:p>
        </w:tc>
        <w:tc>
          <w:tcPr>
            <w:tcW w:w="1276"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正科级</w:t>
            </w:r>
          </w:p>
        </w:tc>
        <w:tc>
          <w:tcPr>
            <w:tcW w:w="2902"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无极县妇女联合会办公室</w:t>
            </w:r>
          </w:p>
        </w:tc>
        <w:tc>
          <w:tcPr>
            <w:tcW w:w="1134"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行政</w:t>
            </w:r>
          </w:p>
        </w:tc>
        <w:tc>
          <w:tcPr>
            <w:tcW w:w="1276"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股级</w:t>
            </w:r>
          </w:p>
        </w:tc>
        <w:tc>
          <w:tcPr>
            <w:tcW w:w="2902"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财政拨款</w:t>
            </w:r>
          </w:p>
        </w:tc>
      </w:tr>
    </w:tbl>
    <w:p>
      <w:pPr>
        <w:ind w:firstLine="643" w:firstLineChars="200"/>
        <w:rPr>
          <w:rFonts w:ascii="黑体" w:hAnsi="黑体" w:eastAsia="黑体" w:cs="黑体"/>
          <w:b/>
          <w:bCs/>
          <w:sz w:val="32"/>
          <w:szCs w:val="32"/>
        </w:rPr>
      </w:pPr>
      <w:r>
        <w:rPr>
          <w:rFonts w:hint="eastAsia" w:ascii="黑体" w:hAnsi="黑体" w:eastAsia="黑体" w:cs="黑体"/>
          <w:b/>
          <w:bCs/>
          <w:sz w:val="32"/>
          <w:szCs w:val="32"/>
        </w:rPr>
        <w:t>二、部门预算安排的总体情况</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按照预算管理有关规定，目前我省部门预算的编制实行综合预算管理，即全部收入和支出都反映的预算中。河北省人大常委会办公厅及所属事业单位的收支包含在部门预算中。</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1、收入说明</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反映本部门当年全部收入。2020年预算收85.53万元，其中：一般公共预算收入85.53万元，基金预算收入0万元，财政专户核拨收入0万元，其他来源收入0万元。</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2、支出说明</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收支预算总表支出栏、基本支出表、项目支出表按经济分类和支出功能分类科目编制，反映无极县妇女联合会年度部门预算中支出预算的总体情况。2020年部门支出预算为85.53万元，其中基本支出64.53万元，包括人员经费58.03 万元和日常公用经费6.5万元；项目支出21万元，主要为省级妇女之家建设支出10万元，市级妇女工作支出8 万元，妇女儿童1元保障金支出3 万元，其他支出0 万元。</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3、比上年增减情况</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2020年部门预算收支安排85.53万元，较2019年减少8.16 万元，其中：基本支出减少16.16 万元，主要是人员减少，相应减少人员经费和日常公用经费；项目支出增加8万元，主要是增加市级妇女工作支出；其他支出无增减变化。</w:t>
      </w:r>
    </w:p>
    <w:p>
      <w:pPr>
        <w:ind w:firstLine="643" w:firstLineChars="200"/>
        <w:rPr>
          <w:rFonts w:hint="eastAsia" w:ascii="黑体" w:hAnsi="黑体" w:eastAsia="黑体" w:cs="黑体"/>
          <w:b/>
          <w:bCs/>
          <w:sz w:val="32"/>
          <w:szCs w:val="32"/>
        </w:rPr>
      </w:pPr>
      <w:r>
        <w:rPr>
          <w:rFonts w:hint="eastAsia" w:ascii="黑体" w:hAnsi="黑体" w:eastAsia="黑体" w:cs="黑体"/>
          <w:b/>
          <w:bCs/>
          <w:sz w:val="32"/>
          <w:szCs w:val="32"/>
        </w:rPr>
        <w:t>三、机关运行经费安排情况</w:t>
      </w:r>
    </w:p>
    <w:p>
      <w:pPr>
        <w:ind w:firstLine="640" w:firstLineChars="200"/>
        <w:rPr>
          <w:rFonts w:ascii="黑体" w:hAnsi="黑体" w:eastAsia="黑体" w:cs="黑体"/>
          <w:b/>
          <w:bCs/>
          <w:sz w:val="32"/>
          <w:szCs w:val="32"/>
        </w:rPr>
      </w:pPr>
      <w:r>
        <w:rPr>
          <w:rFonts w:hint="eastAsia" w:ascii="Times New Roman" w:hAnsi="Times New Roman" w:eastAsia="仿宋" w:cs="仿宋"/>
          <w:sz w:val="32"/>
          <w:szCs w:val="32"/>
        </w:rPr>
        <w:t>2020年，我部门机关运行经费共计安排</w:t>
      </w:r>
      <w:r>
        <w:rPr>
          <w:rFonts w:hint="eastAsia" w:ascii="Times New Roman" w:hAnsi="Times New Roman" w:eastAsia="仿宋" w:cs="仿宋"/>
          <w:sz w:val="32"/>
          <w:szCs w:val="32"/>
          <w:lang w:val="en-US" w:eastAsia="zh-CN"/>
        </w:rPr>
        <w:t>6.5</w:t>
      </w:r>
      <w:r>
        <w:rPr>
          <w:rFonts w:hint="eastAsia" w:ascii="Times New Roman" w:hAnsi="Times New Roman" w:eastAsia="仿宋" w:cs="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ind w:firstLine="643" w:firstLineChars="200"/>
        <w:rPr>
          <w:rFonts w:hint="eastAsia" w:ascii="黑体" w:hAnsi="黑体" w:eastAsia="黑体" w:cs="黑体"/>
          <w:b/>
          <w:bCs/>
          <w:sz w:val="32"/>
          <w:szCs w:val="32"/>
        </w:rPr>
      </w:pPr>
      <w:r>
        <w:rPr>
          <w:rFonts w:hint="eastAsia" w:ascii="黑体" w:hAnsi="黑体" w:eastAsia="黑体" w:cs="黑体"/>
          <w:b/>
          <w:bCs/>
          <w:sz w:val="32"/>
          <w:szCs w:val="32"/>
        </w:rPr>
        <w:t>四、财政拨款“三公”经费预算情况及增减变化原因</w:t>
      </w:r>
    </w:p>
    <w:p>
      <w:pPr>
        <w:ind w:firstLine="640" w:firstLineChars="200"/>
        <w:rPr>
          <w:rFonts w:ascii="黑体" w:hAnsi="黑体" w:eastAsia="黑体" w:cs="黑体"/>
          <w:b/>
          <w:bCs/>
          <w:sz w:val="32"/>
          <w:szCs w:val="32"/>
        </w:rPr>
      </w:pPr>
      <w:r>
        <w:rPr>
          <w:rFonts w:hint="eastAsia" w:ascii="Times New Roman" w:hAnsi="Times New Roman" w:eastAsia="仿宋" w:cs="仿宋"/>
          <w:sz w:val="32"/>
          <w:szCs w:val="32"/>
        </w:rPr>
        <w:t>2020年，我部门财政拨款“三公”经费预算安排0万元，其中：因公出国（境）费0万元；公务用车购置及运维费0万元（其中：公务用车购置费0万元，公务用车运行维护费0万元)；公务接待费  0 万元。“三公”经费与上年持平，无增减变化。</w:t>
      </w:r>
    </w:p>
    <w:p>
      <w:pPr>
        <w:ind w:firstLine="643" w:firstLineChars="200"/>
        <w:rPr>
          <w:rFonts w:ascii="黑体" w:hAnsi="黑体" w:eastAsia="黑体" w:cs="黑体"/>
          <w:b/>
          <w:bCs/>
          <w:sz w:val="32"/>
          <w:szCs w:val="32"/>
        </w:rPr>
      </w:pPr>
      <w:r>
        <w:rPr>
          <w:rFonts w:hint="eastAsia" w:ascii="黑体" w:hAnsi="黑体" w:eastAsia="黑体" w:cs="黑体"/>
          <w:b/>
          <w:bCs/>
          <w:sz w:val="32"/>
          <w:szCs w:val="32"/>
        </w:rPr>
        <w:t>五、预算绩效信息</w:t>
      </w:r>
    </w:p>
    <w:p>
      <w:pPr>
        <w:ind w:firstLine="643" w:firstLineChars="200"/>
        <w:jc w:val="left"/>
        <w:rPr>
          <w:rFonts w:ascii="仿宋_GB2312" w:hAnsi="仿宋_GB2312" w:eastAsia="仿宋_GB2312" w:cs="仿宋_GB2312"/>
          <w:sz w:val="32"/>
          <w:szCs w:val="32"/>
        </w:rPr>
      </w:pPr>
      <w:bookmarkStart w:id="0" w:name="_Toc471398463"/>
      <w:r>
        <w:rPr>
          <w:rFonts w:hint="eastAsia" w:ascii="仿宋_GB2312" w:hAnsi="仿宋_GB2312" w:eastAsia="仿宋_GB2312" w:cs="仿宋_GB2312"/>
          <w:b/>
          <w:bCs/>
          <w:sz w:val="32"/>
          <w:szCs w:val="32"/>
        </w:rPr>
        <w:t>第一部分  部门整体绩效目标</w:t>
      </w:r>
    </w:p>
    <w:p>
      <w:pPr>
        <w:autoSpaceDE w:val="0"/>
        <w:autoSpaceDN w:val="0"/>
        <w:adjustRightInd w:val="0"/>
        <w:ind w:left="198" w:firstLine="640" w:firstLineChars="200"/>
        <w:jc w:val="left"/>
        <w:rPr>
          <w:rFonts w:hint="eastAsia"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（一）总体绩效目标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1" w:name="_Toc29484628"/>
      <w:r>
        <w:rPr>
          <w:rFonts w:hint="eastAsia" w:ascii="Times New Roman" w:hAnsi="Times New Roman" w:eastAsia="方正仿宋_GBK" w:cs="方正仿宋_GBK"/>
          <w:b/>
          <w:bCs/>
          <w:sz w:val="32"/>
          <w:szCs w:val="32"/>
        </w:rPr>
        <w:instrText xml:space="preserve">总体绩效目标</w:instrText>
      </w:r>
      <w:bookmarkEnd w:id="1"/>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仿宋" w:cs="仿宋"/>
          <w:sz w:val="32"/>
          <w:szCs w:val="32"/>
        </w:rPr>
        <w:t>2020年部门整体绩效目标</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以</w:t>
      </w:r>
      <w:r>
        <w:rPr>
          <w:rFonts w:hint="eastAsia" w:ascii="Times New Roman" w:hAnsi="Times New Roman" w:eastAsia="仿宋" w:cs="仿宋"/>
          <w:sz w:val="32"/>
          <w:szCs w:val="32"/>
          <w:lang w:eastAsia="zh-CN"/>
        </w:rPr>
        <w:t>习近平新时代中国特色社会主义思想和党的十九大精神</w:t>
      </w:r>
      <w:r>
        <w:rPr>
          <w:rFonts w:hint="eastAsia" w:ascii="Times New Roman" w:hAnsi="Times New Roman" w:eastAsia="仿宋" w:cs="仿宋"/>
          <w:sz w:val="32"/>
          <w:szCs w:val="32"/>
        </w:rPr>
        <w:t>为指引，贯彻落实全国、省市妇代会精神，以创业奋斗新时代、建设满意新妇联为目标，在服务县委工作大局、深化妇联改革，推动男女平等国策落实等方面重点发力，切实做到奋进新时代、担当新使命、激发新干劲、创造新业绩，带领广大妇女为建设天蓝、地绿、水清、民富、县强的新无极贡献半边天力量。</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1、贯彻</w:t>
      </w:r>
      <w:r>
        <w:rPr>
          <w:rFonts w:hint="eastAsia" w:ascii="Times New Roman" w:hAnsi="Times New Roman" w:eastAsia="仿宋" w:cs="仿宋"/>
          <w:sz w:val="32"/>
          <w:szCs w:val="32"/>
          <w:lang w:eastAsia="zh-CN"/>
        </w:rPr>
        <w:t>落实习近平总书记</w:t>
      </w:r>
      <w:r>
        <w:rPr>
          <w:rFonts w:hint="eastAsia" w:ascii="Times New Roman" w:hAnsi="Times New Roman" w:eastAsia="仿宋" w:cs="仿宋"/>
          <w:sz w:val="32"/>
          <w:szCs w:val="32"/>
        </w:rPr>
        <w:t>重要指示精神，深化“家家幸福安康工程”，围绕家庭文明、家庭教育、家庭服务、家庭美化，全力做好家庭工作。</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2、举办无极各界妇女庆祝纪念“三八”国际劳动妇女节系列活动。</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3、推进男女平等基本国策，维护妇女儿童的合法权益。进一步发挥“木兰有约”讲师团作用，广泛开展普法宣传，营造依法维权社会氛围，做好婚姻家庭矛盾纠纷排查化解和风险防控工作。继续开展危难困境儿童救急行动、关爱女性健康助力巾帼脱贫行动、送温暖献爱心活动等妇女儿童民生项目。</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4、围绕落实乡村振兴战略，继续推进美丽庭院创建。紧扣县委、县政府把美丽庭院创建纳入农村人居环境整治三年行动契机，在人居环境整治重点村抓庭院整洁，在美丽乡村重点村抓庭院品质，组织讲师团在全县妇女讲习所开展培训，制作各类宣传品，培树美丽庭院示范户、中心户并挂牌，推动我县人居环境持续改善。</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5、开展寻找最美家庭系列活动。将家庭文明建设的重点放在寻找最美家庭活动成果的宣传上，利用传统媒体和新媒体平台不断推出家庭文明建设方面的先进集体和个人事迹，完善石家庄市家庭教育指导服务中心，推动社会主义核心价值观融入家庭、家教、家风建设。</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6、继续深化妇联基层组织建设，高标准打造妇女之家,争取创建省级示范妇女之家1个，示范性儿童友好家园1所。推进网上妇联建设，实施妇联上网工程, 推动工作上网、活动上网、服务上网，打造网上正能量传播新平台。推动妇联各类评选活动线上线下同步进行，提高群众参与率，建立一呼百应的网上妇女群众工作新格局。</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仿宋_GB2312" w:hAnsi="仿宋_GB2312" w:eastAsia="仿宋_GB2312" w:cs="仿宋_GB2312"/>
          <w:b/>
          <w:bCs/>
          <w:sz w:val="32"/>
          <w:szCs w:val="32"/>
        </w:rPr>
        <w:t>（二）分项绩效目标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2" w:name="_Toc29484629"/>
      <w:r>
        <w:rPr>
          <w:rFonts w:hint="eastAsia" w:ascii="Times New Roman" w:hAnsi="Times New Roman" w:eastAsia="方正仿宋_GBK" w:cs="方正仿宋_GBK"/>
          <w:b/>
          <w:bCs/>
          <w:sz w:val="32"/>
          <w:szCs w:val="32"/>
        </w:rPr>
        <w:instrText xml:space="preserve">分项绩效目标</w:instrText>
      </w:r>
      <w:bookmarkEnd w:id="2"/>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1、团结动员妇女积极参与“五个文明”建设</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 xml:space="preserve"> 绩效目标：引导全县妇女听党话、跟党走，发扬“四自”精神，积极投身改革开放和社会主义经济、政治、文化、社会和生态文明建设，全面提高妇女素质，团结动员广大妇女为建设天蓝、地绿、水清、民富、县强的新无极贡献巾帼力量。支持创建和培育巧手脱贫示范基地、巾帼现代农业科技示范基地，开展美丽庭院创建活动，组织讲师团在全县妇女讲习所开展培训。深化寻找“最美家庭”工作，形成了树典型、评典型、学典型、做典型、帮典型的良好社会风尚。</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支持创建和培育巧手脱贫示范基地1个、巾帼现代农业科技示范基地1个；组织讲师团在全县妇女讲习所开展培训10次。美丽庭院达标5000户，农村家庭卫生环境95%得到根本改善，建设好家庭、培育好家风培树典型户不低于10户。</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2、维护妇女儿童合法权益促进妇女儿童发展</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 xml:space="preserve"> 绩效目标：切实维护妇女儿童合法权益。举办“三八”维权周、法制宣传、基层妇联干部维权培训等主题活动，提高广大妇女儿童的维权意识和维权能力。对来电来访妇女维权及时答复，帮助权益受到侵害的妇女儿童解决困难和问题，规范妇女信访秩序，促进社会和谐稳定。实施妇女素质及技能培训，开展妇女科技文化、生产劳动技能培训和家庭、家教、家风教育；关爱妇女儿童工作生活，慰问帮扶困境妇女儿童，为党分忧，为妇女儿童解难。</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举办法制宣传活动3场次，来电来访妇女答复率不低于90%，通过宣传95%妇女儿童的维权意识和维权能力明显提高，家庭矛盾纠纷率下降10%,组织创业培训讲座活动5次，慰问帮扶困境妇女儿童不少于100人，培树优秀妇女典型15名以上。</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3、妇联综合业务管理</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目标：加强妇联基层组织建设和机关党建，做好机关基础设施建设与维护，推进机关信息化建设，为妇女儿童事业发展提供有力保障，加强妇女之家基层阵地建设。做好妇儿工委办公室工作，继续实施新生儿出生缺陷干预工程，推进“两规”指标落实。</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绩效指标：提升基层妇联干部理论思维能力，组织乡村两级妇联主席理论培训不低于2次，争取打造省级示范妇女之家1个，石家庄市级示范儿童之家1个，创建儿童示范友好家园达到7个。</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仿宋_GB2312" w:hAnsi="仿宋_GB2312" w:eastAsia="仿宋_GB2312" w:cs="仿宋_GB2312"/>
          <w:b/>
          <w:bCs/>
          <w:sz w:val="32"/>
          <w:szCs w:val="32"/>
        </w:rPr>
        <w:t>（三）工作保障措施</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3" w:name="_Toc29484630"/>
      <w:r>
        <w:rPr>
          <w:rFonts w:hint="eastAsia" w:ascii="Times New Roman" w:hAnsi="Times New Roman" w:eastAsia="方正仿宋_GBK" w:cs="方正仿宋_GBK"/>
          <w:b/>
          <w:bCs/>
          <w:sz w:val="32"/>
          <w:szCs w:val="32"/>
        </w:rPr>
        <w:instrText xml:space="preserve">工作保障措施</w:instrText>
      </w:r>
      <w:bookmarkEnd w:id="3"/>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2020年，无极县妇联为实现年度绩效目标制定了各项保障措施：</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1、完善制度建设，加强制定管理。制定了完善的预算绩效管理制度、资金管理办法、工作保障制度，为全年预算绩效目标的实现奠定制度基础。</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2、加强支出管理。通过优化支出结构、编细编实预算、尽快启动项目、及时支付资金、确保支出进度达标。</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3、加强绩效运行监控。按要求开展绩效运行监控，发现问题及时采取措施，确保绩效目标如期保质实现。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4、做好绩效自评。按要求开展了上年度部门预算绩效自评和重点评价工作，对评价中发现的问题及时整改，调整优化支出结构，提高财政资金使用效益。</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5、规范财务资产管理。完善财务管理制度，严格审批程序，加强固定资产登记、使用和报废处置管理，做到支出合理，物尽其用。</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7、加强宣传培训调研等。加强人员培训，提高本部门职工业务素质；加强调研，提出优化财政资金配置、提高资金使用效益的意见建议；加大宣传力度，强化预算绩效管理意识，促进预算绩效管理水平进一步提升。</w:t>
      </w:r>
    </w:p>
    <w:p>
      <w:pPr>
        <w:autoSpaceDE w:val="0"/>
        <w:autoSpaceDN w:val="0"/>
        <w:adjustRightInd w:val="0"/>
        <w:ind w:left="198" w:firstLine="643" w:firstLineChars="200"/>
        <w:jc w:val="left"/>
        <w:rPr>
          <w:rFonts w:ascii="黑体" w:hAnsi="黑体" w:eastAsia="黑体" w:cs="黑体"/>
          <w:b/>
          <w:bCs/>
          <w:sz w:val="32"/>
          <w:szCs w:val="32"/>
        </w:rPr>
      </w:pPr>
      <w:r>
        <w:rPr>
          <w:rFonts w:hint="eastAsia" w:ascii="黑体" w:hAnsi="黑体" w:eastAsia="黑体" w:cs="黑体"/>
          <w:b/>
          <w:bCs/>
          <w:sz w:val="32"/>
          <w:szCs w:val="32"/>
        </w:rPr>
        <w:t>第二部分  预算项目绩效目标</w:t>
      </w:r>
      <w:bookmarkEnd w:id="0"/>
    </w:p>
    <w:p>
      <w:pPr>
        <w:ind w:firstLine="560" w:firstLineChars="200"/>
        <w:jc w:val="left"/>
        <w:outlineLvl w:val="1"/>
        <w:rPr>
          <w:rFonts w:hAnsi="宋体"/>
          <w:b/>
          <w:sz w:val="28"/>
        </w:rPr>
      </w:pPr>
      <w:r>
        <w:rPr>
          <w:rFonts w:hint="eastAsia" w:ascii="方正仿宋_GBK" w:eastAsia="方正仿宋_GBK"/>
          <w:b/>
          <w:sz w:val="28"/>
        </w:rPr>
        <w:t>1、妇女儿童1元保障金绩效目标表</w:t>
      </w:r>
      <w:r>
        <w:fldChar w:fldCharType="begin"/>
      </w:r>
      <w:r>
        <w:rPr>
          <w:rFonts w:hint="eastAsia" w:ascii="方正仿宋_GBK" w:eastAsia="方正仿宋_GBK"/>
          <w:b/>
          <w:sz w:val="28"/>
        </w:rPr>
        <w:instrText xml:space="preserve">TC </w:instrText>
      </w:r>
      <w:bookmarkStart w:id="4" w:name="_Toc34959471"/>
      <w:r>
        <w:rPr>
          <w:rFonts w:hint="eastAsia" w:ascii="方正仿宋_GBK" w:eastAsia="方正仿宋_GBK"/>
          <w:b/>
          <w:sz w:val="28"/>
        </w:rPr>
        <w:instrText xml:space="preserve">1、妇女儿童1元保障金绩效目标表</w:instrText>
      </w:r>
      <w:bookmarkEnd w:id="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713002</w:t>
            </w:r>
            <w:r>
              <w:rPr>
                <w:rFonts w:hint="eastAsia" w:ascii="方正书宋_GBK" w:eastAsia="方正书宋_GBK"/>
                <w:b/>
              </w:rPr>
              <w:t>无极县妇女联合会</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713-0301-JBN-LV38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妇女儿童</w:t>
            </w:r>
            <w:r>
              <w:rPr>
                <w:rFonts w:ascii="方正书宋_GBK" w:eastAsia="方正书宋_GBK"/>
              </w:rPr>
              <w:t>1</w:t>
            </w:r>
            <w:r>
              <w:rPr>
                <w:rFonts w:hint="eastAsia" w:ascii="方正书宋_GBK" w:eastAsia="方正书宋_GBK"/>
              </w:rPr>
              <w:t>元保障金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妇女积极参与妇联组织围绕县委县政府中心工作开展的各项活动，精神面貌有较大改观，创业就业能力逐步增强，素质得到有效提升。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、工作任务圆满完成，促进妇女儿童事业发展。参与制定全县的妇女儿童事业发展规划和妇女儿童工作方针、政策。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、高质量完成全县妇女儿童发展规划和方针政策的制定，圆满完成县委、县政府和省市妇联交办的各项任务。</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制定规划</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妇女儿童发展规划</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妇女综合素质和发展能力有较大提升。妇女儿童合法权益得到有效维护，男女平等基本国策宣传进一步深入人心。</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石组通字【</w:t>
            </w:r>
            <w:r>
              <w:rPr>
                <w:rFonts w:ascii="方正书宋_GBK" w:eastAsia="方正书宋_GBK"/>
              </w:rPr>
              <w:t>2011</w:t>
            </w:r>
            <w:r>
              <w:rPr>
                <w:rFonts w:hint="eastAsia" w:ascii="方正书宋_GBK" w:eastAsia="方正书宋_GBK"/>
              </w:rPr>
              <w:t>】</w:t>
            </w:r>
            <w:r>
              <w:rPr>
                <w:rFonts w:ascii="方正书宋_GBK" w:eastAsia="方正书宋_GBK"/>
              </w:rPr>
              <w:t>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完成任务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妇女儿童发展规划</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帮助权益受到侵害和困难的妇女儿童解决困难和问题，</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石组通字【</w:t>
            </w:r>
            <w:r>
              <w:rPr>
                <w:rFonts w:ascii="方正书宋_GBK" w:eastAsia="方正书宋_GBK"/>
              </w:rPr>
              <w:t>2011</w:t>
            </w:r>
            <w:r>
              <w:rPr>
                <w:rFonts w:hint="eastAsia" w:ascii="方正书宋_GBK" w:eastAsia="方正书宋_GBK"/>
              </w:rPr>
              <w:t>】</w:t>
            </w:r>
            <w:r>
              <w:rPr>
                <w:rFonts w:ascii="方正书宋_GBK" w:eastAsia="方正书宋_GBK"/>
              </w:rPr>
              <w:t>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完善政策</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妇联事业稳步推进</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不断加强妇联组织自身建设，提升妇联干部服务妇女的能力和水平，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石组通字【</w:t>
            </w:r>
            <w:r>
              <w:rPr>
                <w:rFonts w:ascii="方正书宋_GBK" w:eastAsia="方正书宋_GBK"/>
              </w:rPr>
              <w:t>2011</w:t>
            </w:r>
            <w:r>
              <w:rPr>
                <w:rFonts w:hint="eastAsia" w:ascii="方正书宋_GBK" w:eastAsia="方正书宋_GBK"/>
              </w:rPr>
              <w:t>】</w:t>
            </w:r>
            <w:r>
              <w:rPr>
                <w:rFonts w:ascii="方正书宋_GBK" w:eastAsia="方正书宋_GBK"/>
              </w:rPr>
              <w:t>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制定政策</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妇联事业发展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加强妇联基层组织建设和机关党建，做好机关基础设施建设与维护</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石组通字【</w:t>
            </w:r>
            <w:r>
              <w:rPr>
                <w:rFonts w:ascii="方正书宋_GBK" w:eastAsia="方正书宋_GBK"/>
              </w:rPr>
              <w:t>2011</w:t>
            </w:r>
            <w:r>
              <w:rPr>
                <w:rFonts w:hint="eastAsia" w:ascii="方正书宋_GBK" w:eastAsia="方正书宋_GBK"/>
              </w:rPr>
              <w:t>】</w:t>
            </w:r>
            <w:r>
              <w:rPr>
                <w:rFonts w:ascii="方正书宋_GBK" w:eastAsia="方正书宋_GBK"/>
              </w:rPr>
              <w:t>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事业发展良好</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圆满完成</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妇联基层组织的组织、阵地、队伍建设等得到加强，妇联干部工作能力和服务水平提高。</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石组通字【</w:t>
            </w:r>
            <w:r>
              <w:rPr>
                <w:rFonts w:ascii="方正书宋_GBK" w:eastAsia="方正书宋_GBK"/>
              </w:rPr>
              <w:t>2011</w:t>
            </w:r>
            <w:r>
              <w:rPr>
                <w:rFonts w:hint="eastAsia" w:ascii="方正书宋_GBK" w:eastAsia="方正书宋_GBK"/>
              </w:rPr>
              <w:t>】</w:t>
            </w:r>
            <w:r>
              <w:rPr>
                <w:rFonts w:ascii="方正书宋_GBK" w:eastAsia="方正书宋_GBK"/>
              </w:rPr>
              <w:t>37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完善政策</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妇联事业稳步推进</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加强与社会各界的联系，推动全社会为妇女儿童办实事。</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石组通字【</w:t>
            </w:r>
            <w:r>
              <w:rPr>
                <w:rFonts w:ascii="方正书宋_GBK" w:eastAsia="方正书宋_GBK"/>
              </w:rPr>
              <w:t>2011</w:t>
            </w:r>
            <w:r>
              <w:rPr>
                <w:rFonts w:hint="eastAsia" w:ascii="方正书宋_GBK" w:eastAsia="方正书宋_GBK"/>
              </w:rPr>
              <w:t>】</w:t>
            </w:r>
            <w:r>
              <w:rPr>
                <w:rFonts w:ascii="方正书宋_GBK" w:eastAsia="方正书宋_GBK"/>
              </w:rPr>
              <w:t>37</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2、提前下达2020年省级妇女之家建设专项资金绩效目标表</w:t>
      </w:r>
      <w:r>
        <w:fldChar w:fldCharType="begin"/>
      </w:r>
      <w:r>
        <w:rPr>
          <w:rFonts w:hint="eastAsia" w:ascii="方正仿宋_GBK" w:eastAsia="方正仿宋_GBK"/>
          <w:b/>
          <w:sz w:val="28"/>
        </w:rPr>
        <w:instrText xml:space="preserve">TC </w:instrText>
      </w:r>
      <w:bookmarkStart w:id="5" w:name="_Toc34959472"/>
      <w:r>
        <w:rPr>
          <w:rFonts w:hint="eastAsia" w:ascii="方正仿宋_GBK" w:eastAsia="方正仿宋_GBK"/>
          <w:b/>
          <w:sz w:val="28"/>
        </w:rPr>
        <w:instrText xml:space="preserve">2、提前下达2020年省级妇女之家建设专项资金绩效目标表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713002</w:t>
            </w:r>
            <w:r>
              <w:rPr>
                <w:rFonts w:hint="eastAsia" w:ascii="方正书宋_GBK" w:eastAsia="方正书宋_GBK"/>
                <w:b/>
              </w:rPr>
              <w:t>无极县妇女联合会</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713-0301-JBN-RM47</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年省级妇女之家建设专项资金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创建省级</w:t>
            </w:r>
            <w:r>
              <w:rPr>
                <w:rFonts w:hint="cs" w:ascii="方正书宋_GBK" w:eastAsia="方正书宋_GBK"/>
              </w:rPr>
              <w:t>“</w:t>
            </w:r>
            <w:r>
              <w:rPr>
                <w:rFonts w:hint="eastAsia" w:ascii="方正书宋_GBK" w:eastAsia="方正书宋_GBK"/>
              </w:rPr>
              <w:t>示范妇女之家</w:t>
            </w:r>
            <w:r>
              <w:rPr>
                <w:rFonts w:hint="cs" w:ascii="方正书宋_GBK" w:eastAsia="方正书宋_GBK"/>
              </w:rPr>
              <w:t>”</w:t>
            </w:r>
            <w:r>
              <w:rPr>
                <w:rFonts w:hint="eastAsia" w:ascii="方正书宋_GBK" w:eastAsia="方正书宋_GBK"/>
              </w:rPr>
              <w:t>，提升妇联干部工作能力和服务水平。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、团结、动员妇女投身改革开放和社会主义现代化建设，促进经济发展和社会全面进步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、教育、引导广大妇女，增强自尊、自信、自立、自强的精神，全面提高素质，促进妇女人才成长</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达到河北省</w:t>
            </w:r>
            <w:r>
              <w:rPr>
                <w:rFonts w:hint="cs" w:ascii="方正书宋_GBK" w:eastAsia="方正书宋_GBK"/>
              </w:rPr>
              <w:t>“</w:t>
            </w:r>
            <w:r>
              <w:rPr>
                <w:rFonts w:hint="eastAsia" w:ascii="方正书宋_GBK" w:eastAsia="方正书宋_GBK"/>
              </w:rPr>
              <w:t>示范妇女之家</w:t>
            </w:r>
            <w:r>
              <w:rPr>
                <w:rFonts w:hint="cs" w:ascii="方正书宋_GBK" w:eastAsia="方正书宋_GBK"/>
              </w:rPr>
              <w:t>”</w:t>
            </w:r>
            <w:r>
              <w:rPr>
                <w:rFonts w:hint="eastAsia" w:ascii="方正书宋_GBK" w:eastAsia="方正书宋_GBK"/>
              </w:rPr>
              <w:t>建设标准的省级</w:t>
            </w:r>
            <w:r>
              <w:rPr>
                <w:rFonts w:hint="cs" w:ascii="方正书宋_GBK" w:eastAsia="方正书宋_GBK"/>
              </w:rPr>
              <w:t>“</w:t>
            </w:r>
            <w:r>
              <w:rPr>
                <w:rFonts w:hint="eastAsia" w:ascii="方正书宋_GBK" w:eastAsia="方正书宋_GBK"/>
              </w:rPr>
              <w:t>示范妇女之家</w:t>
            </w:r>
            <w:r>
              <w:rPr>
                <w:rFonts w:hint="cs" w:ascii="方正书宋_GBK" w:eastAsia="方正书宋_GBK"/>
              </w:rPr>
              <w:t>”</w:t>
            </w:r>
            <w:r>
              <w:rPr>
                <w:rFonts w:hint="eastAsia" w:ascii="方正书宋_GBK" w:eastAsia="方正书宋_GBK"/>
              </w:rPr>
              <w:t>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不断加强妇联组织自身建设，提升妇联干部服务妇女的能力和水平</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2019</w:t>
            </w:r>
            <w:r>
              <w:rPr>
                <w:rFonts w:hint="eastAsia" w:ascii="方正书宋_GBK" w:eastAsia="方正书宋_GBK"/>
              </w:rPr>
              <w:t>】</w:t>
            </w:r>
            <w:r>
              <w:rPr>
                <w:rFonts w:ascii="方正书宋_GBK" w:eastAsia="方正书宋_GBK"/>
              </w:rPr>
              <w:t>42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本年度在省级</w:t>
            </w:r>
            <w:r>
              <w:rPr>
                <w:rFonts w:hint="cs" w:ascii="方正书宋_GBK" w:eastAsia="方正书宋_GBK"/>
              </w:rPr>
              <w:t>“</w:t>
            </w:r>
            <w:r>
              <w:rPr>
                <w:rFonts w:hint="eastAsia" w:ascii="方正书宋_GBK" w:eastAsia="方正书宋_GBK"/>
              </w:rPr>
              <w:t>示范妇女之家</w:t>
            </w:r>
            <w:r>
              <w:rPr>
                <w:rFonts w:hint="cs" w:ascii="方正书宋_GBK" w:eastAsia="方正书宋_GBK"/>
              </w:rPr>
              <w:t>”</w:t>
            </w:r>
            <w:r>
              <w:rPr>
                <w:rFonts w:hint="eastAsia" w:ascii="方正书宋_GBK" w:eastAsia="方正书宋_GBK"/>
              </w:rPr>
              <w:t>开展活动的次数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教育、引导广大妇女，增强自尊、自信、自立、自强的精神，全面提高素质，促进妇女人才成长</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2019</w:t>
            </w:r>
            <w:r>
              <w:rPr>
                <w:rFonts w:hint="eastAsia" w:ascii="方正书宋_GBK" w:eastAsia="方正书宋_GBK"/>
              </w:rPr>
              <w:t>】</w:t>
            </w:r>
            <w:r>
              <w:rPr>
                <w:rFonts w:ascii="方正书宋_GBK" w:eastAsia="方正书宋_GBK"/>
              </w:rPr>
              <w:t>42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本年度省级</w:t>
            </w:r>
            <w:r>
              <w:rPr>
                <w:rFonts w:hint="cs" w:ascii="方正书宋_GBK" w:eastAsia="方正书宋_GBK"/>
              </w:rPr>
              <w:t>“</w:t>
            </w:r>
            <w:r>
              <w:rPr>
                <w:rFonts w:hint="eastAsia" w:ascii="方正书宋_GBK" w:eastAsia="方正书宋_GBK"/>
              </w:rPr>
              <w:t>示范妇女之家</w:t>
            </w:r>
            <w:r>
              <w:rPr>
                <w:rFonts w:hint="cs" w:ascii="方正书宋_GBK" w:eastAsia="方正书宋_GBK"/>
              </w:rPr>
              <w:t>”</w:t>
            </w:r>
            <w:r>
              <w:rPr>
                <w:rFonts w:hint="eastAsia" w:ascii="方正书宋_GBK" w:eastAsia="方正书宋_GBK"/>
              </w:rPr>
              <w:t>受益的妇女儿童人次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提高广大妇女儿童的维权意识和维权能力，维护妇女儿童合法权益</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2019</w:t>
            </w:r>
            <w:r>
              <w:rPr>
                <w:rFonts w:hint="eastAsia" w:ascii="方正书宋_GBK" w:eastAsia="方正书宋_GBK"/>
              </w:rPr>
              <w:t>】</w:t>
            </w:r>
            <w:r>
              <w:rPr>
                <w:rFonts w:ascii="方正书宋_GBK" w:eastAsia="方正书宋_GBK"/>
              </w:rPr>
              <w:t>42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基层妇女群众和妇联干部的满意度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妇联基层组织的组织、阵地、队伍建设等得到加强，妇联干部工作能力和服务水平提高</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2019</w:t>
            </w:r>
            <w:r>
              <w:rPr>
                <w:rFonts w:hint="eastAsia" w:ascii="方正书宋_GBK" w:eastAsia="方正书宋_GBK"/>
              </w:rPr>
              <w:t>】</w:t>
            </w:r>
            <w:r>
              <w:rPr>
                <w:rFonts w:ascii="方正书宋_GBK" w:eastAsia="方正书宋_GBK"/>
              </w:rPr>
              <w:t>42</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3、提前下达2020年市级妇女工作专项资金绩效目标表</w:t>
      </w:r>
      <w:r>
        <w:fldChar w:fldCharType="begin"/>
      </w:r>
      <w:r>
        <w:rPr>
          <w:rFonts w:hint="eastAsia" w:ascii="方正仿宋_GBK" w:eastAsia="方正仿宋_GBK"/>
          <w:b/>
          <w:sz w:val="28"/>
        </w:rPr>
        <w:instrText xml:space="preserve">TC </w:instrText>
      </w:r>
      <w:bookmarkStart w:id="6" w:name="_Toc34959473"/>
      <w:r>
        <w:rPr>
          <w:rFonts w:hint="eastAsia" w:ascii="方正仿宋_GBK" w:eastAsia="方正仿宋_GBK"/>
          <w:b/>
          <w:sz w:val="28"/>
        </w:rPr>
        <w:instrText xml:space="preserve">3、提前下达2020年市级妇女工作专项资金绩效目标表</w:instrText>
      </w:r>
      <w:bookmarkEnd w:id="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713002</w:t>
            </w:r>
            <w:r>
              <w:rPr>
                <w:rFonts w:hint="eastAsia" w:ascii="方正书宋_GBK" w:eastAsia="方正书宋_GBK"/>
                <w:b/>
              </w:rPr>
              <w:t>无极县妇女联合会</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713-0301-JBN-14G0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年市级妇女工作专项资金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8.00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8.00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用于儿童友好家园建设、市级儿童友好家园运行、创业帮扶、市级妇女之家建设。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、积极推进妇女儿童发展规划的实施。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、带领全县妇女开展市级</w:t>
            </w:r>
            <w:r>
              <w:rPr>
                <w:rFonts w:hint="cs" w:ascii="方正书宋_GBK" w:eastAsia="方正书宋_GBK"/>
              </w:rPr>
              <w:t>“</w:t>
            </w:r>
            <w:r>
              <w:rPr>
                <w:rFonts w:hint="eastAsia" w:ascii="方正书宋_GBK" w:eastAsia="方正书宋_GBK"/>
              </w:rPr>
              <w:t>妇女之家</w:t>
            </w:r>
            <w:r>
              <w:rPr>
                <w:rFonts w:hint="cs" w:ascii="方正书宋_GBK" w:eastAsia="方正书宋_GBK"/>
              </w:rPr>
              <w:t>”</w:t>
            </w:r>
            <w:r>
              <w:rPr>
                <w:rFonts w:hint="eastAsia" w:ascii="方正书宋_GBK" w:eastAsia="方正书宋_GBK"/>
              </w:rPr>
              <w:t>创建，加强基层妇联组织建设。</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妇女之家建设质量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按照统一标准建设妇女之家</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妇联基层组织的组织、阵地、队伍建设等得到加强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w:t>
            </w:r>
            <w:r>
              <w:rPr>
                <w:rFonts w:hint="eastAsia" w:ascii="方正书宋_GBK" w:eastAsia="方正书宋_GBK"/>
              </w:rPr>
              <w:t>】</w:t>
            </w:r>
            <w:r>
              <w:rPr>
                <w:rFonts w:ascii="方正书宋_GBK" w:eastAsia="方正书宋_GBK"/>
              </w:rPr>
              <w:t>51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妇女之家建设数量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按照统一标准建设妇女之家数量</w:t>
            </w:r>
          </w:p>
        </w:tc>
        <w:tc>
          <w:tcPr>
            <w:tcW w:w="1276" w:type="dxa"/>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妇联干部工作能力和服务水平提高</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w:t>
            </w:r>
            <w:r>
              <w:rPr>
                <w:rFonts w:hint="eastAsia" w:ascii="方正书宋_GBK" w:eastAsia="方正书宋_GBK"/>
              </w:rPr>
              <w:t>】</w:t>
            </w:r>
            <w:r>
              <w:rPr>
                <w:rFonts w:ascii="方正书宋_GBK" w:eastAsia="方正书宋_GBK"/>
              </w:rPr>
              <w:t>51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帮扶妇女创业人数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反应帮助妇女创业情况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创业就业能力逐步增强，素质得到有效提升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w:t>
            </w:r>
            <w:r>
              <w:rPr>
                <w:rFonts w:hint="eastAsia" w:ascii="方正书宋_GBK" w:eastAsia="方正书宋_GBK"/>
              </w:rPr>
              <w:t>】</w:t>
            </w:r>
            <w:r>
              <w:rPr>
                <w:rFonts w:ascii="方正书宋_GBK" w:eastAsia="方正书宋_GBK"/>
              </w:rPr>
              <w:t>51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妇女之家建设设点负责人对建设标准、使用说明的知晓率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妇女综合素质和发展能力有较大提升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w:t>
            </w:r>
            <w:r>
              <w:rPr>
                <w:rFonts w:hint="eastAsia" w:ascii="方正书宋_GBK" w:eastAsia="方正书宋_GBK"/>
              </w:rPr>
              <w:t>】</w:t>
            </w:r>
            <w:r>
              <w:rPr>
                <w:rFonts w:ascii="方正书宋_GBK" w:eastAsia="方正书宋_GBK"/>
              </w:rPr>
              <w:t>51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基层妇女群众和妇联干部的满意度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基层妇女群众和妇联干部对妇女之家建设的满意度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妇女积极参与妇联组织围绕县委县政府中心工作开展的各项活动，精神面貌有较大改观</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w:t>
            </w:r>
            <w:r>
              <w:rPr>
                <w:rFonts w:hint="eastAsia" w:ascii="方正书宋_GBK" w:eastAsia="方正书宋_GBK"/>
              </w:rPr>
              <w:t>】</w:t>
            </w:r>
            <w:r>
              <w:rPr>
                <w:rFonts w:ascii="方正书宋_GBK" w:eastAsia="方正书宋_GBK"/>
              </w:rPr>
              <w:t>51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培训对象满意度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反应培训对象对培训工作的满意情况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提高妇女科技素质、经营管理能力、家庭教育水平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石财行【</w:t>
            </w:r>
            <w:r>
              <w:rPr>
                <w:rFonts w:ascii="方正书宋_GBK" w:eastAsia="方正书宋_GBK"/>
              </w:rPr>
              <w:t>2019</w:t>
            </w:r>
            <w:r>
              <w:rPr>
                <w:rFonts w:hint="eastAsia" w:ascii="方正书宋_GBK" w:eastAsia="方正书宋_GBK"/>
              </w:rPr>
              <w:t>】</w:t>
            </w:r>
            <w:r>
              <w:rPr>
                <w:rFonts w:ascii="方正书宋_GBK" w:eastAsia="方正书宋_GBK"/>
              </w:rPr>
              <w:t>51</w:t>
            </w:r>
            <w:r>
              <w:rPr>
                <w:rFonts w:hint="eastAsia" w:ascii="方正书宋_GBK" w:eastAsia="方正书宋_GBK"/>
              </w:rPr>
              <w:t>号</w:t>
            </w:r>
          </w:p>
        </w:tc>
      </w:tr>
    </w:tbl>
    <w:p>
      <w:pPr>
        <w:autoSpaceDE w:val="0"/>
        <w:autoSpaceDN w:val="0"/>
        <w:adjustRightInd w:val="0"/>
        <w:ind w:firstLine="960" w:firstLineChars="300"/>
        <w:jc w:val="left"/>
        <w:rPr>
          <w:rFonts w:ascii="黑体" w:hAnsi="黑体" w:eastAsia="黑体" w:cs="黑体"/>
          <w:sz w:val="32"/>
          <w:szCs w:val="32"/>
        </w:rPr>
      </w:pPr>
    </w:p>
    <w:p>
      <w:pPr>
        <w:ind w:firstLine="643" w:firstLineChars="200"/>
        <w:rPr>
          <w:rFonts w:ascii="黑体" w:hAnsi="黑体" w:eastAsia="黑体" w:cs="黑体"/>
          <w:b/>
          <w:bCs/>
          <w:sz w:val="32"/>
          <w:szCs w:val="32"/>
        </w:rPr>
      </w:pPr>
      <w:r>
        <w:rPr>
          <w:rFonts w:hint="eastAsia" w:ascii="黑体" w:hAnsi="黑体" w:eastAsia="黑体" w:cs="黑体"/>
          <w:b/>
          <w:bCs/>
          <w:sz w:val="32"/>
          <w:szCs w:val="32"/>
        </w:rPr>
        <w:t>六、政府采购预算情况</w:t>
      </w:r>
    </w:p>
    <w:p>
      <w:pPr>
        <w:autoSpaceDE w:val="0"/>
        <w:autoSpaceDN w:val="0"/>
        <w:adjustRightInd w:val="0"/>
        <w:ind w:left="198" w:firstLine="640" w:firstLineChars="200"/>
        <w:jc w:val="left"/>
        <w:rPr>
          <w:rFonts w:ascii="Times New Roman" w:hAnsi="Times New Roman" w:eastAsia="仿宋" w:cs="仿宋"/>
          <w:sz w:val="32"/>
          <w:szCs w:val="32"/>
        </w:rPr>
      </w:pPr>
      <w:bookmarkStart w:id="7" w:name="_Toc471398468"/>
      <w:r>
        <w:rPr>
          <w:rFonts w:hint="eastAsia" w:ascii="Times New Roman" w:hAnsi="Times New Roman" w:eastAsia="仿宋" w:cs="仿宋"/>
          <w:sz w:val="32"/>
          <w:szCs w:val="32"/>
        </w:rPr>
        <w:t xml:space="preserve"> 2020年，我部门安排政府采购预算0万元。具体内容见下表。</w:t>
      </w:r>
      <w:bookmarkEnd w:id="7"/>
    </w:p>
    <w:p>
      <w:pPr>
        <w:ind w:firstLine="643" w:firstLineChars="200"/>
        <w:rPr>
          <w:rFonts w:ascii="黑体" w:hAnsi="黑体" w:eastAsia="黑体" w:cs="黑体"/>
          <w:b/>
          <w:bCs/>
          <w:sz w:val="32"/>
          <w:szCs w:val="32"/>
        </w:rPr>
      </w:pPr>
      <w:r>
        <w:rPr>
          <w:rFonts w:hint="eastAsia" w:ascii="黑体" w:hAnsi="黑体" w:eastAsia="黑体" w:cs="黑体"/>
          <w:b/>
          <w:bCs/>
          <w:sz w:val="32"/>
          <w:szCs w:val="32"/>
        </w:rPr>
        <w:t>七、国有资产信息</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无极县妇女联合会2019年末固定资产金额为7.3458万元（详见下表），本年度本单位（处室）不计划购置固定资产。</w:t>
      </w:r>
    </w:p>
    <w:tbl>
      <w:tblPr>
        <w:tblStyle w:val="7"/>
        <w:tblW w:w="13482" w:type="dxa"/>
        <w:tblInd w:w="-10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ind w:firstLine="643"/>
              <w:jc w:val="center"/>
              <w:rPr>
                <w:rFonts w:ascii="宋体" w:cs="Times New Roman"/>
                <w:b/>
                <w:bCs/>
                <w:kern w:val="0"/>
                <w:sz w:val="32"/>
                <w:szCs w:val="32"/>
              </w:rPr>
            </w:pPr>
            <w:r>
              <w:rPr>
                <w:rFonts w:hint="eastAsia" w:ascii="仿宋" w:hAnsi="仿宋" w:eastAsia="仿宋" w:cs="宋体"/>
                <w:b/>
                <w:bCs/>
                <w:kern w:val="0"/>
                <w:szCs w:val="32"/>
              </w:rPr>
              <w:t>无极县县直部门固定资产占用情况表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ind w:firstLine="640"/>
              <w:jc w:val="left"/>
              <w:rPr>
                <w:rFonts w:ascii="Times New Roman" w:hAnsi="Times New Roman" w:eastAsia="仿宋" w:cs="Times New Roman"/>
                <w:kern w:val="0"/>
                <w:sz w:val="22"/>
                <w:szCs w:val="22"/>
              </w:rPr>
            </w:pPr>
            <w:r>
              <w:rPr>
                <w:rFonts w:hint="eastAsia" w:ascii="仿宋" w:hAnsi="仿宋" w:eastAsia="仿宋" w:cs="宋体"/>
                <w:kern w:val="0"/>
                <w:szCs w:val="32"/>
              </w:rPr>
              <w:t>编制部门：无极县妇女联合会</w:t>
            </w:r>
          </w:p>
        </w:tc>
        <w:tc>
          <w:tcPr>
            <w:tcW w:w="5103" w:type="dxa"/>
            <w:tcBorders>
              <w:top w:val="nil"/>
              <w:left w:val="nil"/>
              <w:bottom w:val="nil"/>
              <w:right w:val="nil"/>
            </w:tcBorders>
            <w:vAlign w:val="center"/>
          </w:tcPr>
          <w:p>
            <w:pPr>
              <w:widowControl/>
              <w:ind w:firstLine="640"/>
              <w:jc w:val="left"/>
              <w:rPr>
                <w:rFonts w:ascii="Times New Roman" w:hAnsi="Times New Roman" w:eastAsia="仿宋" w:cs="Times New Roman"/>
                <w:kern w:val="0"/>
                <w:sz w:val="22"/>
                <w:szCs w:val="22"/>
              </w:rPr>
            </w:pPr>
            <w:r>
              <w:rPr>
                <w:rFonts w:hint="eastAsia" w:ascii="仿宋" w:hAnsi="仿宋" w:eastAsia="仿宋" w:cs="宋体"/>
                <w:kern w:val="0"/>
                <w:szCs w:val="32"/>
              </w:rPr>
              <w:t xml:space="preserve">截止时间：2019年12月31日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ind w:firstLine="643"/>
              <w:jc w:val="center"/>
              <w:rPr>
                <w:rFonts w:ascii="宋体" w:cs="Times New Roman"/>
                <w:b/>
                <w:bCs/>
                <w:kern w:val="0"/>
                <w:sz w:val="22"/>
                <w:szCs w:val="22"/>
              </w:rPr>
            </w:pPr>
            <w:r>
              <w:rPr>
                <w:rFonts w:hint="eastAsia" w:ascii="仿宋" w:hAnsi="仿宋" w:eastAsia="仿宋" w:cs="宋体"/>
                <w:b/>
                <w:bCs/>
                <w:kern w:val="0"/>
                <w:szCs w:val="32"/>
              </w:rPr>
              <w:t>项   目</w:t>
            </w:r>
          </w:p>
        </w:tc>
        <w:tc>
          <w:tcPr>
            <w:tcW w:w="3155" w:type="dxa"/>
            <w:tcBorders>
              <w:top w:val="single" w:color="auto" w:sz="4" w:space="0"/>
              <w:left w:val="nil"/>
              <w:bottom w:val="single" w:color="auto" w:sz="4" w:space="0"/>
              <w:right w:val="single" w:color="auto" w:sz="4" w:space="0"/>
            </w:tcBorders>
            <w:vAlign w:val="center"/>
          </w:tcPr>
          <w:p>
            <w:pPr>
              <w:widowControl/>
              <w:ind w:firstLine="643"/>
              <w:jc w:val="center"/>
              <w:rPr>
                <w:rFonts w:ascii="宋体" w:cs="Times New Roman"/>
                <w:b/>
                <w:bCs/>
                <w:kern w:val="0"/>
                <w:sz w:val="22"/>
                <w:szCs w:val="22"/>
              </w:rPr>
            </w:pPr>
            <w:r>
              <w:rPr>
                <w:rFonts w:hint="eastAsia" w:ascii="仿宋" w:hAnsi="仿宋" w:eastAsia="仿宋" w:cs="宋体"/>
                <w:b/>
                <w:bCs/>
                <w:kern w:val="0"/>
                <w:szCs w:val="32"/>
              </w:rPr>
              <w:t>数量</w:t>
            </w:r>
          </w:p>
        </w:tc>
        <w:tc>
          <w:tcPr>
            <w:tcW w:w="5103" w:type="dxa"/>
            <w:tcBorders>
              <w:top w:val="single" w:color="auto" w:sz="4" w:space="0"/>
              <w:left w:val="nil"/>
              <w:bottom w:val="single" w:color="auto" w:sz="4" w:space="0"/>
              <w:right w:val="single" w:color="auto" w:sz="4" w:space="0"/>
            </w:tcBorders>
            <w:vAlign w:val="center"/>
          </w:tcPr>
          <w:p>
            <w:pPr>
              <w:widowControl/>
              <w:ind w:firstLine="643"/>
              <w:jc w:val="center"/>
              <w:rPr>
                <w:rFonts w:ascii="宋体" w:cs="Times New Roman"/>
                <w:b/>
                <w:bCs/>
                <w:kern w:val="0"/>
                <w:sz w:val="22"/>
                <w:szCs w:val="22"/>
              </w:rPr>
            </w:pPr>
            <w:r>
              <w:rPr>
                <w:rFonts w:hint="eastAsia" w:ascii="仿宋" w:hAnsi="仿宋" w:eastAsia="仿宋" w:cs="宋体"/>
                <w:b/>
                <w:bCs/>
                <w:kern w:val="0"/>
                <w:szCs w:val="3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640"/>
              <w:jc w:val="center"/>
              <w:rPr>
                <w:rFonts w:ascii="Times New Roman" w:hAnsi="Times New Roman" w:eastAsia="仿宋" w:cs="Times New Roman"/>
                <w:kern w:val="0"/>
                <w:sz w:val="22"/>
                <w:szCs w:val="22"/>
              </w:rPr>
            </w:pPr>
            <w:r>
              <w:rPr>
                <w:rFonts w:hint="eastAsia" w:ascii="仿宋" w:hAnsi="仿宋" w:eastAsia="仿宋" w:cs="宋体"/>
                <w:kern w:val="0"/>
                <w:szCs w:val="32"/>
              </w:rPr>
              <w:t>资产总额</w:t>
            </w:r>
          </w:p>
        </w:tc>
        <w:tc>
          <w:tcPr>
            <w:tcW w:w="3155" w:type="dxa"/>
            <w:tcBorders>
              <w:top w:val="nil"/>
              <w:left w:val="nil"/>
              <w:bottom w:val="single" w:color="auto" w:sz="4" w:space="0"/>
              <w:right w:val="single" w:color="auto" w:sz="4" w:space="0"/>
            </w:tcBorders>
            <w:vAlign w:val="center"/>
          </w:tcPr>
          <w:p>
            <w:pPr>
              <w:widowControl/>
              <w:ind w:firstLine="640"/>
              <w:jc w:val="center"/>
              <w:rPr>
                <w:rFonts w:ascii="Times New Roman" w:hAnsi="Times New Roman" w:eastAsia="仿宋" w:cs="Times New Roman"/>
                <w:kern w:val="0"/>
                <w:sz w:val="22"/>
                <w:szCs w:val="22"/>
              </w:rPr>
            </w:pPr>
            <w:r>
              <w:rPr>
                <w:rFonts w:hint="eastAsia" w:ascii="仿宋" w:hAnsi="仿宋" w:eastAsia="仿宋" w:cs="宋体"/>
                <w:kern w:val="0"/>
                <w:szCs w:val="32"/>
              </w:rPr>
              <w:t>——</w:t>
            </w:r>
          </w:p>
        </w:tc>
        <w:tc>
          <w:tcPr>
            <w:tcW w:w="5103" w:type="dxa"/>
            <w:tcBorders>
              <w:top w:val="nil"/>
              <w:left w:val="nil"/>
              <w:bottom w:val="single" w:color="auto" w:sz="4" w:space="0"/>
              <w:right w:val="single" w:color="auto" w:sz="4" w:space="0"/>
            </w:tcBorders>
            <w:vAlign w:val="center"/>
          </w:tcPr>
          <w:p>
            <w:pPr>
              <w:widowControl/>
              <w:ind w:firstLine="640"/>
              <w:jc w:val="center"/>
              <w:rPr>
                <w:rFonts w:ascii="Times New Roman" w:hAnsi="Times New Roman" w:eastAsia="仿宋" w:cs="Times New Roman"/>
                <w:color w:val="FF0000"/>
                <w:kern w:val="0"/>
                <w:sz w:val="22"/>
                <w:szCs w:val="22"/>
              </w:rPr>
            </w:pPr>
            <w:r>
              <w:rPr>
                <w:rFonts w:hint="eastAsia" w:ascii="仿宋" w:hAnsi="仿宋" w:eastAsia="仿宋" w:cs="宋体"/>
                <w:kern w:val="0"/>
                <w:szCs w:val="32"/>
              </w:rPr>
              <w:t>7.3458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640"/>
              <w:jc w:val="left"/>
              <w:rPr>
                <w:rFonts w:ascii="Times New Roman" w:hAnsi="Times New Roman" w:eastAsia="仿宋" w:cs="Times New Roman"/>
                <w:kern w:val="0"/>
                <w:sz w:val="22"/>
                <w:szCs w:val="22"/>
              </w:rPr>
            </w:pPr>
            <w:r>
              <w:rPr>
                <w:rFonts w:hint="eastAsia" w:ascii="仿宋" w:hAnsi="仿宋" w:eastAsia="仿宋" w:cs="宋体"/>
                <w:kern w:val="0"/>
                <w:szCs w:val="32"/>
              </w:rPr>
              <w:t>1、房屋（平方米）</w:t>
            </w:r>
          </w:p>
        </w:tc>
        <w:tc>
          <w:tcPr>
            <w:tcW w:w="3155" w:type="dxa"/>
            <w:tcBorders>
              <w:top w:val="nil"/>
              <w:left w:val="nil"/>
              <w:bottom w:val="single" w:color="auto" w:sz="4" w:space="0"/>
              <w:right w:val="single" w:color="auto" w:sz="4" w:space="0"/>
            </w:tcBorders>
            <w:vAlign w:val="center"/>
          </w:tcPr>
          <w:p>
            <w:pPr>
              <w:widowControl/>
              <w:ind w:firstLine="640"/>
              <w:jc w:val="center"/>
              <w:rPr>
                <w:rFonts w:ascii="Times New Roman" w:hAnsi="Times New Roman" w:eastAsia="仿宋" w:cs="Times New Roman"/>
                <w:kern w:val="0"/>
                <w:sz w:val="22"/>
                <w:szCs w:val="22"/>
              </w:rPr>
            </w:pPr>
            <w:r>
              <w:rPr>
                <w:rFonts w:hint="eastAsia" w:ascii="仿宋" w:hAnsi="仿宋" w:eastAsia="仿宋" w:cs="宋体"/>
                <w:kern w:val="0"/>
                <w:szCs w:val="32"/>
              </w:rPr>
              <w:t>——</w:t>
            </w:r>
          </w:p>
        </w:tc>
        <w:tc>
          <w:tcPr>
            <w:tcW w:w="5103" w:type="dxa"/>
            <w:tcBorders>
              <w:top w:val="nil"/>
              <w:left w:val="nil"/>
              <w:bottom w:val="single" w:color="auto" w:sz="4" w:space="0"/>
              <w:right w:val="single" w:color="auto" w:sz="4" w:space="0"/>
            </w:tcBorders>
            <w:vAlign w:val="center"/>
          </w:tcPr>
          <w:p>
            <w:pPr>
              <w:widowControl/>
              <w:ind w:firstLine="640"/>
              <w:jc w:val="center"/>
              <w:rPr>
                <w:rFonts w:ascii="Times New Roman" w:hAnsi="Times New Roman" w:eastAsia="仿宋" w:cs="Times New Roman"/>
                <w:kern w:val="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nil"/>
              <w:right w:val="single" w:color="auto" w:sz="4" w:space="0"/>
            </w:tcBorders>
            <w:vAlign w:val="center"/>
          </w:tcPr>
          <w:p>
            <w:pPr>
              <w:widowControl/>
              <w:ind w:firstLine="640"/>
              <w:jc w:val="left"/>
              <w:rPr>
                <w:rFonts w:ascii="Times New Roman" w:hAnsi="Times New Roman" w:eastAsia="仿宋" w:cs="Times New Roman"/>
                <w:kern w:val="0"/>
                <w:sz w:val="22"/>
                <w:szCs w:val="22"/>
              </w:rPr>
            </w:pPr>
            <w:r>
              <w:rPr>
                <w:rFonts w:hint="eastAsia" w:ascii="仿宋" w:hAnsi="仿宋" w:eastAsia="仿宋" w:cs="宋体"/>
                <w:kern w:val="0"/>
                <w:szCs w:val="32"/>
              </w:rPr>
              <w:t xml:space="preserve">  其中：办公用房（平方米）</w:t>
            </w:r>
          </w:p>
        </w:tc>
        <w:tc>
          <w:tcPr>
            <w:tcW w:w="3155" w:type="dxa"/>
            <w:tcBorders>
              <w:top w:val="nil"/>
              <w:left w:val="nil"/>
              <w:bottom w:val="nil"/>
              <w:right w:val="single" w:color="auto" w:sz="4" w:space="0"/>
            </w:tcBorders>
            <w:vAlign w:val="center"/>
          </w:tcPr>
          <w:p>
            <w:pPr>
              <w:widowControl/>
              <w:ind w:firstLine="640"/>
              <w:jc w:val="center"/>
              <w:rPr>
                <w:rFonts w:ascii="Times New Roman" w:hAnsi="Times New Roman" w:eastAsia="仿宋" w:cs="Times New Roman"/>
                <w:kern w:val="0"/>
                <w:sz w:val="22"/>
                <w:szCs w:val="22"/>
              </w:rPr>
            </w:pPr>
            <w:r>
              <w:rPr>
                <w:rFonts w:hint="eastAsia" w:ascii="仿宋" w:hAnsi="仿宋" w:eastAsia="仿宋" w:cs="宋体"/>
                <w:kern w:val="0"/>
                <w:szCs w:val="32"/>
              </w:rPr>
              <w:t>——</w:t>
            </w:r>
          </w:p>
        </w:tc>
        <w:tc>
          <w:tcPr>
            <w:tcW w:w="5103" w:type="dxa"/>
            <w:tcBorders>
              <w:top w:val="nil"/>
              <w:left w:val="nil"/>
              <w:bottom w:val="nil"/>
              <w:right w:val="single" w:color="auto" w:sz="4" w:space="0"/>
            </w:tcBorders>
            <w:vAlign w:val="center"/>
          </w:tcPr>
          <w:p>
            <w:pPr>
              <w:widowControl/>
              <w:ind w:firstLine="640"/>
              <w:jc w:val="center"/>
              <w:rPr>
                <w:rFonts w:ascii="Times New Roman" w:hAnsi="Times New Roman" w:eastAsia="仿宋" w:cs="Times New Roman"/>
                <w:kern w:val="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nil"/>
              <w:right w:val="single" w:color="auto" w:sz="4" w:space="0"/>
            </w:tcBorders>
            <w:vAlign w:val="center"/>
          </w:tcPr>
          <w:p>
            <w:pPr>
              <w:widowControl/>
              <w:ind w:firstLine="640"/>
              <w:jc w:val="left"/>
              <w:rPr>
                <w:rFonts w:ascii="仿宋" w:hAnsi="仿宋" w:eastAsia="仿宋" w:cs="宋体"/>
                <w:kern w:val="0"/>
                <w:szCs w:val="32"/>
              </w:rPr>
            </w:pPr>
            <w:r>
              <w:rPr>
                <w:rFonts w:hint="eastAsia" w:ascii="仿宋" w:hAnsi="仿宋" w:eastAsia="仿宋" w:cs="宋体"/>
                <w:kern w:val="0"/>
                <w:szCs w:val="32"/>
              </w:rPr>
              <w:t>2、车辆（台、辆）</w:t>
            </w:r>
          </w:p>
        </w:tc>
        <w:tc>
          <w:tcPr>
            <w:tcW w:w="3155" w:type="dxa"/>
            <w:tcBorders>
              <w:top w:val="nil"/>
              <w:left w:val="nil"/>
              <w:bottom w:val="nil"/>
              <w:right w:val="single" w:color="auto" w:sz="4" w:space="0"/>
            </w:tcBorders>
            <w:vAlign w:val="center"/>
          </w:tcPr>
          <w:p>
            <w:pPr>
              <w:widowControl/>
              <w:ind w:firstLine="640"/>
              <w:jc w:val="center"/>
              <w:rPr>
                <w:rFonts w:ascii="仿宋" w:hAnsi="仿宋" w:eastAsia="仿宋" w:cs="宋体"/>
                <w:kern w:val="0"/>
                <w:szCs w:val="32"/>
              </w:rPr>
            </w:pPr>
            <w:r>
              <w:rPr>
                <w:rFonts w:hint="eastAsia" w:ascii="仿宋" w:hAnsi="仿宋" w:eastAsia="仿宋" w:cs="宋体"/>
                <w:kern w:val="0"/>
                <w:szCs w:val="32"/>
              </w:rPr>
              <w:t>——</w:t>
            </w:r>
          </w:p>
        </w:tc>
        <w:tc>
          <w:tcPr>
            <w:tcW w:w="5103" w:type="dxa"/>
            <w:tcBorders>
              <w:top w:val="nil"/>
              <w:left w:val="nil"/>
              <w:bottom w:val="nil"/>
              <w:right w:val="single" w:color="auto" w:sz="4" w:space="0"/>
            </w:tcBorders>
            <w:vAlign w:val="center"/>
          </w:tcPr>
          <w:p>
            <w:pPr>
              <w:widowControl/>
              <w:ind w:firstLine="640"/>
              <w:jc w:val="center"/>
              <w:rPr>
                <w:rFonts w:ascii="仿宋" w:hAnsi="仿宋" w:eastAsia="仿宋" w:cs="宋体"/>
                <w:kern w:val="0"/>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nil"/>
              <w:right w:val="single" w:color="auto" w:sz="4" w:space="0"/>
            </w:tcBorders>
            <w:vAlign w:val="center"/>
          </w:tcPr>
          <w:p>
            <w:pPr>
              <w:widowControl/>
              <w:ind w:firstLine="640"/>
              <w:jc w:val="left"/>
              <w:rPr>
                <w:rFonts w:ascii="仿宋" w:hAnsi="仿宋" w:eastAsia="仿宋" w:cs="宋体"/>
                <w:kern w:val="0"/>
                <w:szCs w:val="32"/>
              </w:rPr>
            </w:pPr>
            <w:r>
              <w:rPr>
                <w:rFonts w:hint="eastAsia" w:ascii="仿宋" w:hAnsi="仿宋" w:eastAsia="仿宋" w:cs="宋体"/>
                <w:kern w:val="0"/>
                <w:szCs w:val="32"/>
              </w:rPr>
              <w:t>3、单价在20万元以上设备</w:t>
            </w:r>
          </w:p>
        </w:tc>
        <w:tc>
          <w:tcPr>
            <w:tcW w:w="3155" w:type="dxa"/>
            <w:tcBorders>
              <w:top w:val="nil"/>
              <w:left w:val="nil"/>
              <w:bottom w:val="nil"/>
              <w:right w:val="single" w:color="auto" w:sz="4" w:space="0"/>
            </w:tcBorders>
            <w:vAlign w:val="center"/>
          </w:tcPr>
          <w:p>
            <w:pPr>
              <w:widowControl/>
              <w:ind w:firstLine="640"/>
              <w:jc w:val="center"/>
              <w:rPr>
                <w:rFonts w:ascii="仿宋" w:hAnsi="仿宋" w:eastAsia="仿宋" w:cs="宋体"/>
                <w:kern w:val="0"/>
                <w:szCs w:val="32"/>
              </w:rPr>
            </w:pPr>
            <w:r>
              <w:rPr>
                <w:rFonts w:hint="eastAsia" w:ascii="仿宋" w:hAnsi="仿宋" w:eastAsia="仿宋" w:cs="宋体"/>
                <w:kern w:val="0"/>
                <w:szCs w:val="32"/>
              </w:rPr>
              <w:t>——</w:t>
            </w:r>
          </w:p>
        </w:tc>
        <w:tc>
          <w:tcPr>
            <w:tcW w:w="5103" w:type="dxa"/>
            <w:tcBorders>
              <w:top w:val="nil"/>
              <w:left w:val="nil"/>
              <w:bottom w:val="nil"/>
              <w:right w:val="single" w:color="auto" w:sz="4" w:space="0"/>
            </w:tcBorders>
            <w:vAlign w:val="center"/>
          </w:tcPr>
          <w:p>
            <w:pPr>
              <w:widowControl/>
              <w:ind w:firstLine="640"/>
              <w:jc w:val="center"/>
              <w:rPr>
                <w:rFonts w:ascii="仿宋" w:hAnsi="仿宋" w:eastAsia="仿宋" w:cs="宋体"/>
                <w:kern w:val="0"/>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640"/>
              <w:jc w:val="left"/>
              <w:rPr>
                <w:rFonts w:ascii="仿宋" w:hAnsi="仿宋" w:eastAsia="仿宋" w:cs="宋体"/>
                <w:kern w:val="0"/>
                <w:szCs w:val="32"/>
              </w:rPr>
            </w:pPr>
            <w:r>
              <w:rPr>
                <w:rFonts w:hint="eastAsia" w:ascii="仿宋" w:hAnsi="仿宋" w:eastAsia="仿宋" w:cs="宋体"/>
                <w:kern w:val="0"/>
                <w:szCs w:val="32"/>
              </w:rPr>
              <w:t>4、其他固定资产</w:t>
            </w:r>
          </w:p>
        </w:tc>
        <w:tc>
          <w:tcPr>
            <w:tcW w:w="3155" w:type="dxa"/>
            <w:tcBorders>
              <w:top w:val="nil"/>
              <w:left w:val="nil"/>
              <w:bottom w:val="single" w:color="auto" w:sz="4" w:space="0"/>
              <w:right w:val="single" w:color="auto" w:sz="4" w:space="0"/>
            </w:tcBorders>
            <w:vAlign w:val="center"/>
          </w:tcPr>
          <w:p>
            <w:pPr>
              <w:widowControl/>
              <w:ind w:firstLine="640"/>
              <w:jc w:val="center"/>
              <w:rPr>
                <w:rFonts w:ascii="仿宋" w:hAnsi="仿宋" w:eastAsia="仿宋" w:cs="宋体"/>
                <w:kern w:val="0"/>
                <w:szCs w:val="32"/>
              </w:rPr>
            </w:pPr>
            <w:r>
              <w:rPr>
                <w:rFonts w:hint="eastAsia" w:ascii="仿宋" w:hAnsi="仿宋" w:eastAsia="仿宋" w:cs="宋体"/>
                <w:kern w:val="0"/>
                <w:szCs w:val="32"/>
              </w:rPr>
              <w:t>——</w:t>
            </w:r>
          </w:p>
        </w:tc>
        <w:tc>
          <w:tcPr>
            <w:tcW w:w="5103" w:type="dxa"/>
            <w:tcBorders>
              <w:top w:val="nil"/>
              <w:left w:val="nil"/>
              <w:bottom w:val="single" w:color="auto" w:sz="4" w:space="0"/>
              <w:right w:val="single" w:color="auto" w:sz="4" w:space="0"/>
            </w:tcBorders>
            <w:vAlign w:val="center"/>
          </w:tcPr>
          <w:p>
            <w:pPr>
              <w:widowControl/>
              <w:ind w:firstLine="640"/>
              <w:jc w:val="center"/>
              <w:rPr>
                <w:rFonts w:ascii="仿宋" w:hAnsi="仿宋" w:eastAsia="仿宋" w:cs="宋体"/>
                <w:kern w:val="0"/>
                <w:szCs w:val="32"/>
              </w:rPr>
            </w:pPr>
            <w:r>
              <w:rPr>
                <w:rFonts w:hint="eastAsia" w:ascii="仿宋" w:hAnsi="仿宋" w:eastAsia="仿宋" w:cs="宋体"/>
                <w:kern w:val="0"/>
                <w:szCs w:val="32"/>
              </w:rPr>
              <w:t>7.3458</w:t>
            </w:r>
          </w:p>
        </w:tc>
      </w:tr>
    </w:tbl>
    <w:p>
      <w:pPr>
        <w:ind w:firstLine="643" w:firstLineChars="200"/>
        <w:rPr>
          <w:rFonts w:ascii="黑体" w:hAnsi="黑体" w:eastAsia="黑体" w:cs="黑体"/>
          <w:b/>
          <w:bCs/>
          <w:sz w:val="32"/>
          <w:szCs w:val="32"/>
        </w:rPr>
      </w:pPr>
      <w:r>
        <w:rPr>
          <w:rFonts w:hint="eastAsia" w:ascii="黑体" w:hAnsi="黑体" w:eastAsia="黑体" w:cs="黑体"/>
          <w:b/>
          <w:bCs/>
          <w:sz w:val="32"/>
          <w:szCs w:val="32"/>
        </w:rPr>
        <w:t>八、名词解释</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1、一般公共预算拨款收入：指省级财政当年拨付的资金。</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2、事业收入：指事业单位开展专业业务活动及辅助活动所取得的收入。</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3、其他收入：指除“一般公共预算拨款收入”、“事业收入”等以外的收入。主要是按规定动用的租房收入、存款利息收入等。</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4、基本支出：指为保障机构正常运转、完成日常工作任务而发生的人员支出和公用支出。</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5、项目支出：指在基本支出之外为完成特定行政任务和事业发展目标所发生的支出。</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6、上缴上级支出：指下级单位上缴上级的支出。</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9、上年结转：指以前年度尚未完成、结转到本年仍按原规定用途继续使用的资金。</w:t>
      </w:r>
    </w:p>
    <w:p>
      <w:pPr>
        <w:autoSpaceDE w:val="0"/>
        <w:autoSpaceDN w:val="0"/>
        <w:adjustRightInd w:val="0"/>
        <w:ind w:left="198" w:firstLine="640" w:firstLineChars="200"/>
        <w:jc w:val="left"/>
        <w:rPr>
          <w:rFonts w:ascii="仿宋_GB2312" w:hAnsi="仿宋_GB2312" w:eastAsia="仿宋_GB2312" w:cs="仿宋_GB2312"/>
          <w:sz w:val="32"/>
          <w:szCs w:val="32"/>
        </w:rPr>
      </w:pPr>
      <w:r>
        <w:rPr>
          <w:rFonts w:hint="eastAsia" w:ascii="Times New Roman" w:hAnsi="Times New Roman" w:eastAsia="仿宋" w:cs="仿宋"/>
          <w:sz w:val="32"/>
          <w:szCs w:val="32"/>
        </w:rPr>
        <w:t>10、事业单位经营支出：指事业单位在专业业务活动及其辅助活动之外开展非独立核算经营活动发生的支出。</w:t>
      </w:r>
    </w:p>
    <w:p>
      <w:pPr>
        <w:ind w:firstLine="643" w:firstLineChars="200"/>
        <w:rPr>
          <w:rFonts w:ascii="黑体" w:hAnsi="黑体" w:eastAsia="黑体" w:cs="黑体"/>
          <w:b/>
          <w:bCs/>
          <w:sz w:val="32"/>
          <w:szCs w:val="32"/>
        </w:rPr>
      </w:pPr>
      <w:r>
        <w:rPr>
          <w:rFonts w:hint="eastAsia" w:ascii="黑体" w:hAnsi="黑体" w:eastAsia="黑体" w:cs="黑体"/>
          <w:b/>
          <w:bCs/>
          <w:sz w:val="32"/>
          <w:szCs w:val="32"/>
        </w:rPr>
        <w:t>九、其他需要说明的事项</w:t>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auto"/>
    <w:pitch w:val="default"/>
    <w:sig w:usb0="00000000" w:usb1="00000000" w:usb2="00082016" w:usb3="00000000" w:csb0="00040001"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33F302E4"/>
    <w:rsid w:val="37076C24"/>
    <w:rsid w:val="4DAB2E9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footer"/>
    <w:basedOn w:val="1"/>
    <w:link w:val="10"/>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1"/>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uiPriority w:val="0"/>
    <w:rPr>
      <w:rFonts w:ascii="Times New Roman" w:hAnsi="Times New Roman" w:cs="Times New Roman"/>
    </w:rPr>
  </w:style>
  <w:style w:type="paragraph" w:styleId="5">
    <w:name w:val="footnote text"/>
    <w:basedOn w:val="1"/>
    <w:link w:val="12"/>
    <w:uiPriority w:val="0"/>
    <w:pPr>
      <w:snapToGrid w:val="0"/>
      <w:jc w:val="left"/>
    </w:pPr>
    <w:rPr>
      <w:rFonts w:ascii="Calibri" w:hAnsi="Calibri" w:cs="Calibri"/>
      <w:sz w:val="18"/>
      <w:szCs w:val="18"/>
    </w:rPr>
  </w:style>
  <w:style w:type="paragraph" w:styleId="6">
    <w:name w:val="toc 2"/>
    <w:basedOn w:val="1"/>
    <w:next w:val="1"/>
    <w:uiPriority w:val="0"/>
    <w:pPr>
      <w:ind w:left="420" w:leftChars="200"/>
    </w:pPr>
    <w:rPr>
      <w:rFonts w:ascii="Times New Roman" w:hAnsi="Times New Roman" w:cs="Times New Roman"/>
    </w:rPr>
  </w:style>
  <w:style w:type="character" w:styleId="9">
    <w:name w:val="footnote reference"/>
    <w:basedOn w:val="8"/>
    <w:uiPriority w:val="0"/>
    <w:rPr>
      <w:vertAlign w:val="superscript"/>
    </w:rPr>
  </w:style>
  <w:style w:type="character" w:customStyle="1" w:styleId="10">
    <w:name w:val="页脚 Char"/>
    <w:basedOn w:val="8"/>
    <w:link w:val="2"/>
    <w:semiHidden/>
    <w:uiPriority w:val="0"/>
    <w:rPr>
      <w:rFonts w:ascii="Times New Roman" w:hAnsi="Times New Roman" w:eastAsia="宋体" w:cs="Times New Roman"/>
      <w:sz w:val="18"/>
      <w:szCs w:val="18"/>
    </w:rPr>
  </w:style>
  <w:style w:type="character" w:customStyle="1" w:styleId="11">
    <w:name w:val="页眉 Char"/>
    <w:basedOn w:val="8"/>
    <w:link w:val="3"/>
    <w:semiHidden/>
    <w:uiPriority w:val="0"/>
    <w:rPr>
      <w:rFonts w:ascii="Times New Roman" w:hAnsi="Times New Roman" w:eastAsia="宋体" w:cs="Times New Roman"/>
      <w:sz w:val="18"/>
      <w:szCs w:val="18"/>
    </w:rPr>
  </w:style>
  <w:style w:type="character" w:customStyle="1" w:styleId="12">
    <w:name w:val="脚注文本 Char"/>
    <w:basedOn w:val="8"/>
    <w:link w:val="5"/>
    <w:semiHidden/>
    <w:uiPriority w:val="0"/>
    <w:rPr>
      <w:rFonts w:ascii="Calibri" w:hAnsi="Calibri" w:cs="Calibri"/>
      <w:sz w:val="18"/>
      <w:szCs w:val="18"/>
    </w:rPr>
  </w:style>
  <w:style w:type="paragraph" w:customStyle="1" w:styleId="13">
    <w:name w:val="Char"/>
    <w:basedOn w:val="1"/>
    <w:uiPriority w:val="0"/>
    <w:rPr>
      <w:rFonts w:ascii="Times New Roman" w:hAnsi="Times New Roman" w:cs="Times New Roman"/>
    </w:rPr>
  </w:style>
  <w:style w:type="character" w:customStyle="1" w:styleId="14">
    <w:name w:val="页码1"/>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6067</Words>
  <Characters>912</Characters>
  <Lines>7</Lines>
  <Paragraphs>13</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2017-01-24T17:29:00Z</dcterms:created>
  <dc:creator>guest</dc:creator>
  <cp:lastModifiedBy>Administrator</cp:lastModifiedBy>
  <cp:lastPrinted>2020-01-11T15:53:00Z</cp:lastPrinted>
  <dcterms:modified xsi:type="dcterms:W3CDTF">2024-03-27T03:03:42Z</dcterms:modified>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1BA4E1994B8846ACBD23C08FE80500BB</vt:lpwstr>
  </property>
</Properties>
</file>