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hint="eastAsia" w:ascii="宋体" w:hAnsi="宋体" w:eastAsia="宋体" w:cs="宋体"/>
          <w:sz w:val="24"/>
          <w:szCs w:val="24"/>
          <w:lang w:val="en-US" w:eastAsia="zh-CN"/>
        </w:rPr>
      </w:pPr>
    </w:p>
    <w:p>
      <w:pPr>
        <w:jc w:val="both"/>
        <w:rPr>
          <w:rFonts w:hint="eastAsia" w:ascii="宋体" w:hAnsi="宋体" w:eastAsia="宋体" w:cs="宋体"/>
          <w:sz w:val="24"/>
          <w:szCs w:val="24"/>
          <w:lang w:val="en-US" w:eastAsia="zh-CN"/>
        </w:rPr>
      </w:pPr>
    </w:p>
    <w:p>
      <w:pPr>
        <w:jc w:val="both"/>
        <w:rPr>
          <w:rFonts w:hint="eastAsia" w:ascii="宋体" w:hAnsi="宋体" w:eastAsia="宋体" w:cs="宋体"/>
          <w:sz w:val="24"/>
          <w:szCs w:val="24"/>
          <w:lang w:val="en-US" w:eastAsia="zh-CN"/>
        </w:rPr>
      </w:pPr>
    </w:p>
    <w:p>
      <w:pPr>
        <w:jc w:val="both"/>
        <w:rPr>
          <w:rFonts w:hint="eastAsia" w:ascii="宋体" w:hAnsi="宋体" w:eastAsia="宋体" w:cs="宋体"/>
          <w:sz w:val="24"/>
          <w:szCs w:val="24"/>
          <w:lang w:val="en-US" w:eastAsia="zh-CN"/>
        </w:rPr>
      </w:pPr>
    </w:p>
    <w:p>
      <w:pPr>
        <w:jc w:val="both"/>
        <w:rPr>
          <w:rFonts w:hint="eastAsia" w:ascii="宋体" w:hAnsi="宋体" w:eastAsia="宋体" w:cs="宋体"/>
          <w:sz w:val="24"/>
          <w:szCs w:val="24"/>
          <w:lang w:val="en-US" w:eastAsia="zh-CN"/>
        </w:rPr>
      </w:pPr>
    </w:p>
    <w:p>
      <w:pPr>
        <w:jc w:val="right"/>
        <w:rPr>
          <w:rFonts w:hint="eastAsia" w:ascii="仿宋_GB2312" w:hAnsi="仿宋_GB2312" w:eastAsia="仿宋_GB2312" w:cs="仿宋_GB2312"/>
          <w:b/>
          <w:bCs/>
          <w:sz w:val="32"/>
          <w:szCs w:val="32"/>
          <w:lang w:val="en-US" w:eastAsia="zh-CN"/>
        </w:rPr>
      </w:pPr>
      <w:r>
        <w:rPr>
          <w:rFonts w:hint="eastAsia" w:ascii="宋体" w:hAnsi="宋体" w:eastAsia="宋体" w:cs="宋体"/>
          <w:sz w:val="24"/>
          <w:szCs w:val="24"/>
          <w:lang w:val="en-US" w:eastAsia="zh-CN"/>
        </w:rPr>
        <w:t xml:space="preserve">                                </w:t>
      </w:r>
      <w:r>
        <w:rPr>
          <w:rFonts w:hint="eastAsia" w:ascii="仿宋_GB2312" w:hAnsi="仿宋_GB2312" w:eastAsia="仿宋_GB2312" w:cs="仿宋_GB2312"/>
          <w:sz w:val="32"/>
          <w:szCs w:val="32"/>
        </w:rPr>
        <w:t>无</w:t>
      </w:r>
      <w:r>
        <w:rPr>
          <w:rFonts w:hint="eastAsia" w:ascii="仿宋_GB2312" w:hAnsi="仿宋_GB2312" w:eastAsia="仿宋_GB2312" w:cs="仿宋_GB2312"/>
          <w:sz w:val="32"/>
          <w:szCs w:val="32"/>
          <w:lang w:val="en-US" w:eastAsia="zh-CN"/>
        </w:rPr>
        <w:t>行审委经开</w:t>
      </w:r>
      <w:r>
        <w:rPr>
          <w:rFonts w:hint="eastAsia" w:ascii="仿宋_GB2312" w:hAnsi="仿宋_GB2312" w:eastAsia="仿宋_GB2312" w:cs="仿宋_GB2312"/>
          <w:sz w:val="32"/>
          <w:szCs w:val="32"/>
        </w:rPr>
        <w:t>环批〔202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号</w:t>
      </w:r>
    </w:p>
    <w:p>
      <w:pPr>
        <w:jc w:val="center"/>
        <w:rPr>
          <w:rFonts w:hint="eastAsia" w:eastAsia="宋体" w:cs="宋体" w:asciiTheme="minorAscii" w:hAnsiTheme="minorAscii"/>
          <w:b/>
          <w:bCs/>
          <w:sz w:val="44"/>
          <w:szCs w:val="44"/>
          <w:lang w:val="en-US" w:eastAsia="zh-CN"/>
        </w:rPr>
      </w:pPr>
    </w:p>
    <w:p>
      <w:pPr>
        <w:jc w:val="center"/>
        <w:rPr>
          <w:rFonts w:hint="eastAsia" w:eastAsia="宋体" w:cs="宋体" w:asciiTheme="minorAscii" w:hAnsiTheme="minorAscii"/>
          <w:b/>
          <w:bCs/>
          <w:sz w:val="44"/>
          <w:szCs w:val="44"/>
          <w:lang w:val="en-US" w:eastAsia="zh-CN"/>
        </w:rPr>
      </w:pPr>
      <w:r>
        <w:rPr>
          <w:rFonts w:hint="eastAsia" w:eastAsia="宋体" w:cs="宋体" w:asciiTheme="minorAscii" w:hAnsiTheme="minorAscii"/>
          <w:b/>
          <w:bCs/>
          <w:sz w:val="44"/>
          <w:szCs w:val="44"/>
          <w:lang w:val="en-US" w:eastAsia="zh-CN"/>
        </w:rPr>
        <w:t>河北无极经济开发区管委会</w:t>
      </w:r>
    </w:p>
    <w:p>
      <w:pPr>
        <w:jc w:val="center"/>
        <w:rPr>
          <w:rFonts w:hint="default" w:eastAsia="宋体" w:cs="宋体" w:asciiTheme="minorAscii" w:hAnsiTheme="minorAscii"/>
          <w:b/>
          <w:bCs/>
          <w:sz w:val="44"/>
          <w:szCs w:val="44"/>
        </w:rPr>
      </w:pPr>
      <w:r>
        <w:rPr>
          <w:rFonts w:hint="default" w:eastAsia="宋体" w:cs="宋体" w:asciiTheme="minorAscii" w:hAnsiTheme="minorAscii"/>
          <w:b/>
          <w:bCs/>
          <w:sz w:val="44"/>
          <w:szCs w:val="44"/>
        </w:rPr>
        <w:t>关于</w:t>
      </w:r>
      <w:r>
        <w:rPr>
          <w:rFonts w:hint="default" w:eastAsia="宋体" w:cs="宋体" w:asciiTheme="minorAscii" w:hAnsiTheme="minorAscii"/>
          <w:b/>
          <w:bCs/>
          <w:sz w:val="44"/>
          <w:szCs w:val="44"/>
          <w:lang w:eastAsia="zh-CN"/>
        </w:rPr>
        <w:t>石家庄曦之装饰材料有限公司套装门生产项目</w:t>
      </w:r>
      <w:r>
        <w:rPr>
          <w:rFonts w:hint="default" w:eastAsia="宋体" w:cs="宋体" w:asciiTheme="minorAscii" w:hAnsiTheme="minorAscii"/>
          <w:b/>
          <w:bCs/>
          <w:sz w:val="44"/>
          <w:szCs w:val="44"/>
        </w:rPr>
        <w:t>环境影响报告表</w:t>
      </w:r>
    </w:p>
    <w:p>
      <w:pPr>
        <w:jc w:val="center"/>
        <w:rPr>
          <w:rFonts w:hint="default" w:eastAsia="宋体" w:cs="宋体" w:asciiTheme="minorAscii" w:hAnsiTheme="minorAscii"/>
          <w:b/>
          <w:bCs/>
          <w:sz w:val="44"/>
          <w:szCs w:val="44"/>
        </w:rPr>
      </w:pPr>
      <w:r>
        <w:rPr>
          <w:rFonts w:hint="default" w:eastAsia="宋体" w:cs="宋体" w:asciiTheme="minorAscii" w:hAnsiTheme="minorAscii"/>
          <w:b/>
          <w:bCs/>
          <w:sz w:val="44"/>
          <w:szCs w:val="44"/>
        </w:rPr>
        <w:t>的批复意见</w:t>
      </w:r>
    </w:p>
    <w:p>
      <w:pPr>
        <w:jc w:val="center"/>
        <w:rPr>
          <w:rFonts w:hint="default" w:eastAsia="宋体" w:cs="宋体" w:asciiTheme="minorAscii" w:hAnsiTheme="minorAscii"/>
          <w:b/>
          <w:bCs/>
          <w:sz w:val="44"/>
          <w:szCs w:val="44"/>
        </w:rPr>
      </w:pP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石家庄曦之装饰材料有限公司</w:t>
      </w:r>
      <w:r>
        <w:rPr>
          <w:rFonts w:hint="eastAsia" w:ascii="仿宋_GB2312" w:hAnsi="仿宋_GB2312" w:eastAsia="仿宋_GB2312" w:cs="仿宋_GB2312"/>
          <w:sz w:val="32"/>
          <w:szCs w:val="32"/>
        </w:rPr>
        <w:t xml:space="preserve">： </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你单位所报《</w:t>
      </w:r>
      <w:r>
        <w:rPr>
          <w:rFonts w:hint="eastAsia" w:ascii="仿宋_GB2312" w:hAnsi="仿宋_GB2312" w:eastAsia="仿宋_GB2312" w:cs="仿宋_GB2312"/>
          <w:sz w:val="32"/>
          <w:szCs w:val="32"/>
          <w:lang w:eastAsia="zh-CN"/>
        </w:rPr>
        <w:t>石家庄曦之装饰材料有限公司套装门生产项目</w:t>
      </w:r>
      <w:r>
        <w:rPr>
          <w:rFonts w:hint="eastAsia" w:ascii="仿宋_GB2312" w:hAnsi="仿宋_GB2312" w:eastAsia="仿宋_GB2312" w:cs="仿宋_GB2312"/>
          <w:sz w:val="32"/>
          <w:szCs w:val="32"/>
        </w:rPr>
        <w:t>》（以下简称报告表）及有关材料收悉。</w:t>
      </w:r>
      <w:r>
        <w:rPr>
          <w:rFonts w:hint="eastAsia" w:ascii="仿宋_GB2312" w:hAnsi="仿宋_GB2312" w:eastAsia="仿宋_GB2312" w:cs="仿宋_GB2312"/>
          <w:sz w:val="32"/>
          <w:szCs w:val="32"/>
          <w:u w:val="none"/>
        </w:rPr>
        <w:t>经研究</w:t>
      </w:r>
      <w:r>
        <w:rPr>
          <w:rFonts w:hint="eastAsia" w:ascii="仿宋_GB2312" w:hAnsi="仿宋_GB2312" w:eastAsia="仿宋_GB2312" w:cs="仿宋_GB2312"/>
          <w:sz w:val="32"/>
          <w:szCs w:val="32"/>
        </w:rPr>
        <w:t>， 同意该项目按照环境影响报告表中所列内容进行建设，现批复如下：</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黑体" w:hAnsi="黑体" w:eastAsia="黑体" w:cs="黑体"/>
          <w:sz w:val="32"/>
          <w:szCs w:val="32"/>
        </w:rPr>
        <w:t>一、</w:t>
      </w:r>
      <w:r>
        <w:rPr>
          <w:rFonts w:hint="eastAsia" w:ascii="仿宋_GB2312" w:hAnsi="仿宋_GB2312" w:eastAsia="仿宋_GB2312" w:cs="仿宋_GB2312"/>
          <w:sz w:val="32"/>
          <w:szCs w:val="32"/>
        </w:rPr>
        <w:t>：项目位于</w:t>
      </w:r>
      <w:r>
        <w:rPr>
          <w:rFonts w:hint="eastAsia" w:ascii="仿宋_GB2312" w:hAnsi="仿宋_GB2312" w:eastAsia="仿宋_GB2312" w:cs="仿宋_GB2312"/>
          <w:sz w:val="32"/>
          <w:szCs w:val="32"/>
          <w:highlight w:val="none"/>
        </w:rPr>
        <w:t>无极县鸿瑞装饰材料园区有限公司院内，</w:t>
      </w:r>
      <w:r>
        <w:rPr>
          <w:rFonts w:hint="eastAsia" w:ascii="仿宋_GB2312" w:hAnsi="仿宋_GB2312" w:eastAsia="仿宋_GB2312" w:cs="仿宋_GB2312"/>
          <w:sz w:val="32"/>
          <w:szCs w:val="32"/>
        </w:rPr>
        <w:t>项目中心地理坐标为东经114°5</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39.981</w:t>
      </w:r>
      <w:r>
        <w:rPr>
          <w:rFonts w:hint="eastAsia" w:ascii="仿宋_GB2312" w:hAnsi="仿宋_GB2312" w:eastAsia="仿宋_GB2312" w:cs="仿宋_GB2312"/>
          <w:sz w:val="32"/>
          <w:szCs w:val="32"/>
        </w:rPr>
        <w:t>″，北纬38°</w:t>
      </w: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45.522</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项目西、北侧为闲置车间，东侧为园区道路，隔路为在建厂房，南侧为石家庄林松门业有限公司，</w:t>
      </w:r>
      <w:r>
        <w:rPr>
          <w:rFonts w:hint="eastAsia" w:ascii="仿宋_GB2312" w:hAnsi="仿宋_GB2312" w:eastAsia="仿宋_GB2312" w:cs="仿宋_GB2312"/>
          <w:sz w:val="32"/>
          <w:szCs w:val="32"/>
        </w:rPr>
        <w:t>距离项目最近的敏感点为厂界</w:t>
      </w:r>
      <w:r>
        <w:rPr>
          <w:rFonts w:hint="eastAsia" w:ascii="仿宋_GB2312" w:hAnsi="仿宋_GB2312" w:eastAsia="仿宋_GB2312" w:cs="仿宋_GB2312"/>
          <w:sz w:val="32"/>
          <w:szCs w:val="32"/>
          <w:lang w:eastAsia="zh-CN"/>
        </w:rPr>
        <w:t>东北</w:t>
      </w:r>
      <w:r>
        <w:rPr>
          <w:rFonts w:hint="eastAsia" w:ascii="仿宋_GB2312" w:hAnsi="仿宋_GB2312" w:eastAsia="仿宋_GB2312" w:cs="仿宋_GB2312"/>
          <w:sz w:val="32"/>
          <w:szCs w:val="32"/>
        </w:rPr>
        <w:t>侧</w:t>
      </w:r>
      <w:r>
        <w:rPr>
          <w:rFonts w:hint="eastAsia" w:ascii="仿宋_GB2312" w:hAnsi="仿宋_GB2312" w:eastAsia="仿宋_GB2312" w:cs="仿宋_GB2312"/>
          <w:sz w:val="32"/>
          <w:szCs w:val="32"/>
          <w:lang w:val="en-US" w:eastAsia="zh-CN"/>
        </w:rPr>
        <w:t>476</w:t>
      </w:r>
      <w:r>
        <w:rPr>
          <w:rFonts w:hint="eastAsia" w:ascii="仿宋_GB2312" w:hAnsi="仿宋_GB2312" w:eastAsia="仿宋_GB2312" w:cs="仿宋_GB2312"/>
          <w:sz w:val="32"/>
          <w:szCs w:val="32"/>
        </w:rPr>
        <w:t>m处的</w:t>
      </w:r>
      <w:r>
        <w:rPr>
          <w:rFonts w:hint="eastAsia" w:ascii="仿宋_GB2312" w:hAnsi="仿宋_GB2312" w:eastAsia="仿宋_GB2312" w:cs="仿宋_GB2312"/>
          <w:sz w:val="32"/>
          <w:szCs w:val="32"/>
          <w:lang w:eastAsia="zh-CN"/>
        </w:rPr>
        <w:t>南沙窝村</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购买现有闲置生产车间，企业购置封边机、精密锯、冷压机、立铣机、十字锯、空压机、多片锯、角锯等生产设备等生产设备等并配套建设辅助生产设施，项目建成后，年产烤漆门门板、门套</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000套/年，墙板</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000平方米/年，生态门门板、门套4000套/年生产。</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二、建设单位要认真落实环境影响报告表规定的各项污染防治措施，确保各种污染物稳定达标排放。</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楷体" w:hAnsi="楷体" w:eastAsia="楷体" w:cs="楷体"/>
          <w:sz w:val="32"/>
          <w:szCs w:val="32"/>
        </w:rPr>
      </w:pPr>
      <w:r>
        <w:rPr>
          <w:rFonts w:hint="eastAsia" w:ascii="楷体" w:hAnsi="楷体" w:eastAsia="楷体" w:cs="楷体"/>
          <w:sz w:val="32"/>
          <w:szCs w:val="32"/>
        </w:rPr>
        <w:t>（一）废水治理措施</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default"/>
          <w:highlight w:val="none"/>
          <w:lang w:val="en-US" w:eastAsia="zh-CN"/>
        </w:rPr>
      </w:pPr>
      <w:r>
        <w:rPr>
          <w:rFonts w:hint="eastAsia" w:ascii="仿宋_GB2312" w:hAnsi="仿宋_GB2312" w:eastAsia="仿宋_GB2312" w:cs="仿宋_GB2312"/>
          <w:sz w:val="32"/>
          <w:szCs w:val="32"/>
          <w:highlight w:val="none"/>
          <w:lang w:val="en-US" w:eastAsia="zh-CN"/>
        </w:rPr>
        <w:t>本项目废水主要为职工生活污水以及生产废水，其中生活污水排入园区防渗旱厕，定期清掏不外排。生产废水为水帘、气旋柜废水，水帘、气旋柜废水暂存于危废间，定期交由有危废资质单位处置。</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黑体" w:hAnsi="黑体" w:eastAsia="黑体" w:cs="黑体"/>
          <w:sz w:val="32"/>
          <w:szCs w:val="32"/>
          <w:highlight w:val="none"/>
        </w:rPr>
      </w:pPr>
      <w:r>
        <w:rPr>
          <w:rFonts w:hint="eastAsia" w:ascii="楷体" w:hAnsi="楷体" w:eastAsia="楷体" w:cs="楷体"/>
          <w:sz w:val="32"/>
          <w:szCs w:val="32"/>
          <w:highlight w:val="none"/>
        </w:rPr>
        <w:t>（二）废气治理措施</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本项目有组织废气主要为</w:t>
      </w:r>
      <w:r>
        <w:rPr>
          <w:rFonts w:hint="eastAsia" w:ascii="仿宋_GB2312" w:hAnsi="仿宋_GB2312" w:eastAsia="仿宋_GB2312" w:cs="仿宋_GB2312"/>
          <w:sz w:val="32"/>
          <w:szCs w:val="32"/>
          <w:highlight w:val="none"/>
          <w:lang w:val="en-US" w:eastAsia="zh-CN"/>
        </w:rPr>
        <w:t>下料、裁门、打磨、打孔、涂胶、封边、喷漆</w:t>
      </w:r>
      <w:r>
        <w:rPr>
          <w:rFonts w:hint="eastAsia" w:ascii="仿宋_GB2312" w:hAnsi="仿宋_GB2312" w:eastAsia="仿宋_GB2312" w:cs="仿宋_GB2312"/>
          <w:sz w:val="32"/>
          <w:szCs w:val="32"/>
          <w:highlight w:val="none"/>
          <w:lang w:eastAsia="zh-CN"/>
        </w:rPr>
        <w:t>废气。无组织废气</w:t>
      </w:r>
      <w:r>
        <w:rPr>
          <w:rFonts w:hint="eastAsia" w:ascii="仿宋_GB2312" w:hAnsi="仿宋_GB2312" w:eastAsia="仿宋_GB2312" w:cs="仿宋_GB2312"/>
          <w:sz w:val="32"/>
          <w:szCs w:val="32"/>
          <w:highlight w:val="none"/>
          <w:lang w:val="en-US" w:eastAsia="zh-CN"/>
        </w:rPr>
        <w:t>为未被集气罩收集的废气</w:t>
      </w:r>
      <w:r>
        <w:rPr>
          <w:rFonts w:hint="eastAsia" w:ascii="仿宋_GB2312" w:hAnsi="仿宋_GB2312" w:eastAsia="仿宋_GB2312" w:cs="仿宋_GB2312"/>
          <w:sz w:val="32"/>
          <w:szCs w:val="32"/>
          <w:highlight w:val="none"/>
          <w:lang w:eastAsia="zh-CN"/>
        </w:rPr>
        <w:t>。</w:t>
      </w:r>
    </w:p>
    <w:p>
      <w:pPr>
        <w:pStyle w:val="20"/>
        <w:keepNext w:val="0"/>
        <w:keepLines w:val="0"/>
        <w:pageBreakBefore w:val="0"/>
        <w:widowControl w:val="0"/>
        <w:kinsoku/>
        <w:wordWrap/>
        <w:overflowPunct/>
        <w:topLinePunct w:val="0"/>
        <w:autoSpaceDE w:val="0"/>
        <w:autoSpaceDN w:val="0"/>
        <w:bidi w:val="0"/>
        <w:adjustRightInd w:val="0"/>
        <w:snapToGrid/>
        <w:spacing w:line="500" w:lineRule="exact"/>
        <w:ind w:firstLine="640" w:firstLineChars="200"/>
        <w:textAlignment w:val="baseline"/>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1.有组织废气</w:t>
      </w:r>
    </w:p>
    <w:p>
      <w:pPr>
        <w:pStyle w:val="23"/>
        <w:keepNext w:val="0"/>
        <w:keepLines w:val="0"/>
        <w:pageBreakBefore w:val="0"/>
        <w:widowControl w:val="0"/>
        <w:kinsoku/>
        <w:wordWrap/>
        <w:overflowPunct/>
        <w:topLinePunct w:val="0"/>
        <w:autoSpaceDE/>
        <w:autoSpaceDN/>
        <w:bidi w:val="0"/>
        <w:adjustRightInd/>
        <w:snapToGrid/>
        <w:spacing w:line="500" w:lineRule="exact"/>
        <w:ind w:firstLine="567"/>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highlight w:val="none"/>
          <w:lang w:val="en-US" w:eastAsia="zh-CN" w:bidi="ar-SA"/>
        </w:rPr>
        <w:t>本项目有组织废气主要为</w:t>
      </w:r>
      <w:r>
        <w:rPr>
          <w:rFonts w:hint="eastAsia" w:ascii="仿宋_GB2312" w:hAnsi="仿宋_GB2312" w:eastAsia="仿宋_GB2312" w:cs="仿宋_GB2312"/>
          <w:sz w:val="32"/>
          <w:szCs w:val="32"/>
          <w:highlight w:val="none"/>
          <w:lang w:eastAsia="zh-CN"/>
        </w:rPr>
        <w:t>下料、</w:t>
      </w:r>
      <w:r>
        <w:rPr>
          <w:rFonts w:hint="eastAsia" w:ascii="仿宋_GB2312" w:hAnsi="仿宋_GB2312" w:eastAsia="仿宋_GB2312" w:cs="仿宋_GB2312"/>
          <w:sz w:val="32"/>
          <w:szCs w:val="32"/>
          <w:highlight w:val="none"/>
          <w:lang w:val="en-US" w:eastAsia="zh-CN"/>
        </w:rPr>
        <w:t>裁门、打磨、打孔、涂胶、封边、喷漆</w:t>
      </w:r>
      <w:r>
        <w:rPr>
          <w:rFonts w:hint="eastAsia" w:ascii="仿宋_GB2312" w:hAnsi="仿宋_GB2312" w:eastAsia="仿宋_GB2312" w:cs="仿宋_GB2312"/>
          <w:color w:val="auto"/>
          <w:kern w:val="2"/>
          <w:sz w:val="32"/>
          <w:szCs w:val="32"/>
          <w:highlight w:val="none"/>
          <w:lang w:val="en-US" w:eastAsia="zh-CN" w:bidi="ar-SA"/>
        </w:rPr>
        <w:t>废气，污染物主要为颗粒物、非甲烷总烃、甲苯、二甲苯，其中下料、裁门、打孔废气经集气罩收集后通过“袋式除尘器”（TA001）处理后，经23m高排气筒（DA001）排放。涂胶、封边废气经集气罩收集，喷漆废气经负压系统收集通过“水帘+气旋柜”处理后，以上两股废气经“干式过滤器+活性炭吸附脱附+催化燃烧一体机装置”（TA002）处理后经23m高排气筒DA002排放</w:t>
      </w:r>
      <w:r>
        <w:rPr>
          <w:rFonts w:hint="eastAsia" w:ascii="仿宋_GB2312" w:hAnsi="仿宋_GB2312" w:eastAsia="仿宋_GB2312" w:cs="仿宋_GB2312"/>
          <w:color w:val="auto"/>
          <w:kern w:val="2"/>
          <w:sz w:val="32"/>
          <w:szCs w:val="32"/>
          <w:lang w:val="en-US" w:eastAsia="zh-CN" w:bidi="ar-SA"/>
        </w:rPr>
        <w:t>。打磨废气经集气系统收集后通过“袋式除尘器”（TA003）处理后，经23m高排气筒（DA003）排放。</w:t>
      </w:r>
    </w:p>
    <w:p>
      <w:pPr>
        <w:pStyle w:val="23"/>
        <w:keepNext w:val="0"/>
        <w:keepLines w:val="0"/>
        <w:pageBreakBefore w:val="0"/>
        <w:widowControl w:val="0"/>
        <w:kinsoku/>
        <w:wordWrap/>
        <w:overflowPunct/>
        <w:topLinePunct w:val="0"/>
        <w:autoSpaceDE/>
        <w:autoSpaceDN/>
        <w:bidi w:val="0"/>
        <w:adjustRightInd/>
        <w:snapToGrid/>
        <w:spacing w:line="500" w:lineRule="exact"/>
        <w:ind w:firstLine="567"/>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DA002排气筒有组织非甲烷总烃和甲苯与二甲苯合计排放满足《工业企业挥发性有机物排放控制标准》（DB13/2322-2016）表1表面涂装业标准。颗</w:t>
      </w:r>
      <w:r>
        <w:rPr>
          <w:rFonts w:hint="eastAsia" w:ascii="仿宋_GB2312" w:hAnsi="仿宋_GB2312" w:eastAsia="仿宋_GB2312" w:cs="仿宋_GB2312"/>
          <w:color w:val="auto"/>
          <w:kern w:val="2"/>
          <w:sz w:val="32"/>
          <w:szCs w:val="32"/>
          <w:highlight w:val="none"/>
          <w:lang w:val="en-US" w:eastAsia="zh-CN" w:bidi="ar-SA"/>
        </w:rPr>
        <w:t>粒物排放执行《大气污染物综合排放标准》（GB16297-1996）表2二级标准。</w:t>
      </w:r>
    </w:p>
    <w:p>
      <w:pPr>
        <w:pStyle w:val="23"/>
        <w:keepNext w:val="0"/>
        <w:keepLines w:val="0"/>
        <w:pageBreakBefore w:val="0"/>
        <w:widowControl w:val="0"/>
        <w:kinsoku/>
        <w:wordWrap/>
        <w:overflowPunct/>
        <w:topLinePunct w:val="0"/>
        <w:autoSpaceDE/>
        <w:autoSpaceDN/>
        <w:bidi w:val="0"/>
        <w:adjustRightInd/>
        <w:snapToGrid/>
        <w:spacing w:line="500" w:lineRule="exact"/>
        <w:ind w:firstLine="567"/>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2.无组织废气</w:t>
      </w:r>
    </w:p>
    <w:p>
      <w:pPr>
        <w:pStyle w:val="2"/>
        <w:ind w:left="0" w:leftChars="0" w:firstLine="640" w:firstLineChars="200"/>
        <w:rPr>
          <w:rFonts w:hint="default" w:ascii="仿宋_GB2312" w:hAnsi="仿宋_GB2312" w:eastAsia="仿宋_GB2312" w:cs="仿宋_GB2312"/>
          <w:color w:val="000000"/>
          <w:kern w:val="2"/>
          <w:sz w:val="32"/>
          <w:szCs w:val="32"/>
          <w:lang w:val="en-US" w:eastAsia="zh-CN" w:bidi="ar-SA"/>
        </w:rPr>
      </w:pPr>
      <w:r>
        <w:rPr>
          <w:rFonts w:hint="default" w:ascii="仿宋_GB2312" w:hAnsi="仿宋_GB2312" w:eastAsia="仿宋_GB2312" w:cs="仿宋_GB2312"/>
          <w:color w:val="000000"/>
          <w:kern w:val="2"/>
          <w:sz w:val="32"/>
          <w:szCs w:val="32"/>
          <w:lang w:val="en-US" w:eastAsia="zh-CN" w:bidi="ar-SA"/>
        </w:rPr>
        <w:t>未被集气罩收集的废气无组织排放。</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default" w:ascii="仿宋_GB2312" w:hAnsi="仿宋_GB2312" w:eastAsia="仿宋_GB2312" w:cs="仿宋_GB2312"/>
          <w:color w:val="000000"/>
          <w:kern w:val="2"/>
          <w:sz w:val="32"/>
          <w:szCs w:val="32"/>
          <w:lang w:val="en-US" w:eastAsia="zh-CN" w:bidi="ar-SA"/>
        </w:rPr>
      </w:pPr>
      <w:r>
        <w:rPr>
          <w:rFonts w:hint="default" w:ascii="仿宋_GB2312" w:hAnsi="仿宋_GB2312" w:eastAsia="仿宋_GB2312" w:cs="仿宋_GB2312"/>
          <w:color w:val="000000"/>
          <w:kern w:val="2"/>
          <w:sz w:val="32"/>
          <w:szCs w:val="32"/>
          <w:lang w:val="en-US" w:eastAsia="zh-CN" w:bidi="ar-SA"/>
        </w:rPr>
        <w:t>无组织厂界非甲烷总烃、甲苯、二甲苯无组织排放执行《工业企业挥发性有机物排放控制标准》（DB13/2322-2016）表2其他企业边界大气污染物浓度限值；厂区内非甲烷总烃执行《挥发性有机物无组织排放控制标准》（GB37822-2019）附录A中表A.1中标准要求；颗粒物排放执行《大气污染物综合排放标准》（GB16297-1996）表2颗粒物（染料尘）二级标准及无组织排放标准；</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（三）噪声治理措施</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本项目运营期厂界噪声</w:t>
      </w:r>
      <w:r>
        <w:rPr>
          <w:rFonts w:hint="eastAsia" w:ascii="仿宋_GB2312" w:hAnsi="仿宋_GB2312" w:eastAsia="仿宋_GB2312" w:cs="仿宋_GB2312"/>
          <w:sz w:val="32"/>
          <w:szCs w:val="32"/>
          <w:highlight w:val="none"/>
        </w:rPr>
        <w:t>执行</w:t>
      </w:r>
      <w:r>
        <w:rPr>
          <w:rFonts w:hint="eastAsia" w:ascii="仿宋_GB2312" w:hAnsi="仿宋_GB2312" w:eastAsia="仿宋_GB2312" w:cs="仿宋_GB2312"/>
          <w:sz w:val="32"/>
          <w:szCs w:val="32"/>
        </w:rPr>
        <w:t>《工业企业厂界环境噪声排放标准》（GB12348-2008）表1中3类标准，即昼间≤65dB(A)，夜间≤55dB(A)。</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（四）固废治理措施</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lang w:val="en-US" w:eastAsia="zh-CN" w:bidi="ar-SA"/>
        </w:rPr>
        <w:t>一般固</w:t>
      </w:r>
      <w:r>
        <w:rPr>
          <w:rFonts w:hint="eastAsia" w:ascii="仿宋_GB2312" w:hAnsi="仿宋_GB2312" w:eastAsia="仿宋_GB2312" w:cs="仿宋_GB2312"/>
          <w:kern w:val="2"/>
          <w:sz w:val="32"/>
          <w:szCs w:val="32"/>
          <w:highlight w:val="none"/>
          <w:lang w:val="en-US" w:eastAsia="zh-CN" w:bidi="ar-SA"/>
        </w:rPr>
        <w:t>体废物执行《一般工业固体废物贮存和填埋污染控制标准》（GB18599-2020）要求；危险废物贮存执行《危险废物贮存污染控制标准》（GB18597-2023）要求。</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3" w:firstLineChars="200"/>
        <w:jc w:val="both"/>
        <w:textAlignment w:val="auto"/>
        <w:rPr>
          <w:rFonts w:hint="eastAsia" w:ascii="微软雅黑 Light" w:hAnsi="微软雅黑 Light" w:eastAsia="微软雅黑 Light" w:cs="微软雅黑 Light"/>
          <w:sz w:val="28"/>
          <w:szCs w:val="28"/>
        </w:rPr>
      </w:pPr>
      <w:r>
        <w:rPr>
          <w:rFonts w:hint="eastAsia" w:ascii="黑体" w:hAnsi="黑体" w:eastAsia="黑体" w:cs="黑体"/>
          <w:b/>
          <w:bCs/>
          <w:sz w:val="32"/>
          <w:szCs w:val="32"/>
          <w:lang w:val="en-US" w:eastAsia="zh-CN"/>
        </w:rPr>
        <w:t>三、</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本项目环评文件经批准后，建设单位必须认真按照报告表中所列建设内容、平面布局、建设规模、污染防治措施进行建设，不得擅自改变。如果建设项目的性质、规模、地点、采用的生产工艺或者防止污染、防止生态破坏的措施发生重大变动的，建设单位应当重新报批环评文件。</w:t>
      </w:r>
      <w:r>
        <w:rPr>
          <w:rFonts w:hint="eastAsia" w:ascii="微软雅黑 Light" w:hAnsi="微软雅黑 Light" w:eastAsia="微软雅黑 Light" w:cs="微软雅黑 Light"/>
          <w:sz w:val="28"/>
          <w:szCs w:val="28"/>
        </w:rPr>
        <w:t xml:space="preserve"> </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黑体" w:hAnsi="黑体" w:eastAsia="黑体" w:cs="黑体"/>
          <w:sz w:val="32"/>
          <w:szCs w:val="32"/>
          <w:lang w:val="en-US" w:eastAsia="zh-CN"/>
        </w:rPr>
        <w:t>四</w:t>
      </w:r>
      <w:r>
        <w:rPr>
          <w:rFonts w:hint="eastAsia" w:ascii="黑体" w:hAnsi="黑体" w:eastAsia="黑体" w:cs="黑体"/>
          <w:sz w:val="32"/>
          <w:szCs w:val="32"/>
        </w:rPr>
        <w:t>、</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项目建设应严格执行“三同时”管理制度，项目建成投产（投入使用）前，应当办理排污许可手续，并按照规定完成环境 保护验收。</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五、</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该项目环境影响报告表及批复意见一并作为工程设计和环境管理的依据</w:t>
      </w:r>
      <w:r>
        <w:rPr>
          <w:rFonts w:hint="eastAsia" w:ascii="黑体" w:hAnsi="黑体" w:eastAsia="黑体" w:cs="黑体"/>
          <w:sz w:val="32"/>
          <w:szCs w:val="32"/>
        </w:rPr>
        <w:t>。</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黑体" w:hAnsi="黑体" w:eastAsia="黑体" w:cs="黑体"/>
          <w:sz w:val="32"/>
          <w:szCs w:val="32"/>
          <w:lang w:val="en-US" w:eastAsia="zh-CN"/>
        </w:rPr>
        <w:t>六、</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依据环保部《关于印发建设项目环境保护事中事后监督 管理办法(试行)的通知》(环发(2015)163 号)要求，该项目的日常环境监督管理工作由属地生态环境主管部门负责。</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eastAsiaTheme="minorEastAsia"/>
          <w:lang w:val="en-US" w:eastAsia="zh-CN"/>
        </w:rPr>
      </w:pPr>
      <w:r>
        <w:rPr>
          <w:rFonts w:hint="eastAsia" w:ascii="黑体" w:hAnsi="黑体" w:eastAsia="黑体" w:cs="黑体"/>
          <w:sz w:val="32"/>
          <w:szCs w:val="32"/>
          <w:lang w:val="en-US" w:eastAsia="zh-CN"/>
        </w:rPr>
        <w:t>七、</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请你单位接到批复后 3 个工作日内，将报告表及批复意见（原件）报送石家庄市生态环境局无极县分局。</w:t>
      </w:r>
    </w:p>
    <w:p>
      <w:pPr>
        <w:pStyle w:val="17"/>
        <w:rPr>
          <w:rFonts w:hint="eastAsia"/>
          <w:lang w:val="en-US" w:eastAsia="zh-CN"/>
        </w:rPr>
      </w:pPr>
      <w:r>
        <w:rPr>
          <w:rFonts w:hint="eastAsia"/>
          <w:lang w:val="en-US" w:eastAsia="zh-CN"/>
        </w:rPr>
        <w:t xml:space="preserve">       </w:t>
      </w:r>
    </w:p>
    <w:p>
      <w:pPr>
        <w:rPr>
          <w:rFonts w:hint="eastAsia"/>
          <w:lang w:val="en-US" w:eastAsia="zh-CN"/>
        </w:rPr>
      </w:pPr>
      <w:r>
        <w:rPr>
          <w:rFonts w:hint="eastAsia"/>
        </w:rPr>
        <w:drawing>
          <wp:inline distT="0" distB="0" distL="114300" distR="114300">
            <wp:extent cx="2864485" cy="1188085"/>
            <wp:effectExtent l="0" t="0" r="12065" b="12065"/>
            <wp:docPr id="1" name="图片 1" descr="wordml://03000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wordml://03000001.png"/>
                    <pic:cNvPicPr>
                      <a:picLocks noChangeAspect="1"/>
                    </pic:cNvPicPr>
                  </pic:nvPicPr>
                  <pic:blipFill>
                    <a:blip r:embed="rId4"/>
                    <a:stretch>
                      <a:fillRect/>
                    </a:stretch>
                  </pic:blipFill>
                  <pic:spPr>
                    <a:xfrm>
                      <a:off x="0" y="0"/>
                      <a:ext cx="2864485" cy="1188085"/>
                    </a:xfrm>
                    <a:prstGeom prst="rect">
                      <a:avLst/>
                    </a:prstGeom>
                    <a:noFill/>
                    <a:ln>
                      <a:noFill/>
                    </a:ln>
                  </pic:spPr>
                </pic:pic>
              </a:graphicData>
            </a:graphic>
          </wp:inline>
        </w:drawing>
      </w:r>
    </w:p>
    <w:p>
      <w:pPr>
        <w:pStyle w:val="20"/>
        <w:rPr>
          <w:rFonts w:hint="eastAsia"/>
          <w:lang w:val="en-US" w:eastAsia="zh-CN"/>
        </w:rPr>
      </w:pPr>
      <w:r>
        <w:rPr>
          <w:rFonts w:hint="eastAsia"/>
          <w:lang w:val="en-US" w:eastAsia="zh-CN"/>
        </w:rPr>
        <w:t xml:space="preserve">      </w:t>
      </w:r>
    </w:p>
    <w:p>
      <w:pPr>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0" w:beforeAutospacing="0" w:after="0" w:afterAutospacing="0" w:line="560" w:lineRule="exact"/>
        <w:ind w:right="0" w:rightChars="0" w:firstLine="3920" w:firstLineChars="1400"/>
        <w:jc w:val="right"/>
        <w:textAlignment w:val="auto"/>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河北无极经济开发区管理委员会</w:t>
      </w:r>
    </w:p>
    <w:p>
      <w:pPr>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0" w:beforeAutospacing="0" w:after="0" w:afterAutospacing="0" w:line="560" w:lineRule="exact"/>
        <w:ind w:right="0" w:rightChars="0" w:firstLine="5320" w:firstLineChars="1900"/>
        <w:jc w:val="both"/>
        <w:textAlignment w:val="auto"/>
        <w:rPr>
          <w:rFonts w:hint="eastAsia" w:ascii="微软雅黑 Light" w:hAnsi="微软雅黑 Light" w:eastAsia="微软雅黑 Light" w:cs="微软雅黑 Light"/>
          <w:sz w:val="28"/>
          <w:szCs w:val="28"/>
          <w:lang w:eastAsia="zh-CN"/>
        </w:rPr>
      </w:pPr>
      <w:r>
        <w:rPr>
          <w:rFonts w:hint="eastAsia" w:ascii="楷体" w:hAnsi="楷体" w:eastAsia="楷体" w:cs="楷体"/>
          <w:sz w:val="28"/>
          <w:szCs w:val="28"/>
          <w:lang w:val="en-US" w:eastAsia="zh-CN"/>
        </w:rPr>
        <w:t>2024年5月11</w:t>
      </w:r>
      <w:bookmarkStart w:id="0" w:name="_GoBack"/>
      <w:bookmarkEnd w:id="0"/>
      <w:r>
        <w:rPr>
          <w:rFonts w:hint="eastAsia" w:ascii="楷体" w:hAnsi="楷体" w:eastAsia="楷体" w:cs="楷体"/>
          <w:sz w:val="28"/>
          <w:szCs w:val="28"/>
          <w:lang w:val="en-US" w:eastAsia="zh-CN"/>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Light">
    <w:panose1 w:val="020B0502040204020203"/>
    <w:charset w:val="86"/>
    <w:family w:val="auto"/>
    <w:pitch w:val="default"/>
    <w:sig w:usb0="80000287" w:usb1="2ACF001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CB9E9D3"/>
    <w:multiLevelType w:val="singleLevel"/>
    <w:tmpl w:val="4CB9E9D3"/>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U1MjkwMGY2ZDhlMzNkZTJmZGEyYzkwNGI2NDU5NWMifQ=="/>
  </w:docVars>
  <w:rsids>
    <w:rsidRoot w:val="00000000"/>
    <w:rsid w:val="003B0B30"/>
    <w:rsid w:val="035248AA"/>
    <w:rsid w:val="0381685A"/>
    <w:rsid w:val="04F76D59"/>
    <w:rsid w:val="05277012"/>
    <w:rsid w:val="0A647B94"/>
    <w:rsid w:val="0AF93BB9"/>
    <w:rsid w:val="117D7C75"/>
    <w:rsid w:val="11EF10A0"/>
    <w:rsid w:val="127A7363"/>
    <w:rsid w:val="128F4AEF"/>
    <w:rsid w:val="12993BC0"/>
    <w:rsid w:val="13031039"/>
    <w:rsid w:val="14641AA7"/>
    <w:rsid w:val="16E67BED"/>
    <w:rsid w:val="171D7719"/>
    <w:rsid w:val="18C82B09"/>
    <w:rsid w:val="19647974"/>
    <w:rsid w:val="19FF49EF"/>
    <w:rsid w:val="1A2F2491"/>
    <w:rsid w:val="208F215E"/>
    <w:rsid w:val="2155348B"/>
    <w:rsid w:val="242B0063"/>
    <w:rsid w:val="2B0C53CC"/>
    <w:rsid w:val="2DF724A8"/>
    <w:rsid w:val="2F9F7270"/>
    <w:rsid w:val="32C15418"/>
    <w:rsid w:val="32CA5BFD"/>
    <w:rsid w:val="34A75871"/>
    <w:rsid w:val="376A274F"/>
    <w:rsid w:val="37951F41"/>
    <w:rsid w:val="379E11AD"/>
    <w:rsid w:val="3B295F7D"/>
    <w:rsid w:val="3CB7686D"/>
    <w:rsid w:val="3F7E1A6B"/>
    <w:rsid w:val="3FBE7F13"/>
    <w:rsid w:val="418B0ABC"/>
    <w:rsid w:val="42D57A4D"/>
    <w:rsid w:val="46690BD8"/>
    <w:rsid w:val="4886168F"/>
    <w:rsid w:val="49AD5195"/>
    <w:rsid w:val="4C0672CD"/>
    <w:rsid w:val="4E265601"/>
    <w:rsid w:val="510936E3"/>
    <w:rsid w:val="52B616FE"/>
    <w:rsid w:val="53F51CFD"/>
    <w:rsid w:val="554E7535"/>
    <w:rsid w:val="55900B16"/>
    <w:rsid w:val="581A51FB"/>
    <w:rsid w:val="585F1DDA"/>
    <w:rsid w:val="59142C25"/>
    <w:rsid w:val="59596019"/>
    <w:rsid w:val="5B53657E"/>
    <w:rsid w:val="5E7B6C21"/>
    <w:rsid w:val="5FD72BFF"/>
    <w:rsid w:val="6568465B"/>
    <w:rsid w:val="672A5D0A"/>
    <w:rsid w:val="69525D78"/>
    <w:rsid w:val="6C72552B"/>
    <w:rsid w:val="6CD96208"/>
    <w:rsid w:val="6FDC0E21"/>
    <w:rsid w:val="702F613F"/>
    <w:rsid w:val="71702B15"/>
    <w:rsid w:val="719C4727"/>
    <w:rsid w:val="74A13623"/>
    <w:rsid w:val="79BD160C"/>
    <w:rsid w:val="7A051EAB"/>
    <w:rsid w:val="7A261A6C"/>
    <w:rsid w:val="7AF910C6"/>
    <w:rsid w:val="7BB45CAA"/>
    <w:rsid w:val="7C0C39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qFormat="1"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autoRedefine/>
    <w:qFormat/>
    <w:uiPriority w:val="0"/>
    <w:pPr>
      <w:spacing w:before="100" w:beforeAutospacing="1" w:after="100" w:afterAutospacing="1"/>
      <w:jc w:val="left"/>
      <w:outlineLvl w:val="0"/>
    </w:pPr>
    <w:rPr>
      <w:rFonts w:hint="eastAsia" w:ascii="宋体" w:hAnsi="宋体" w:eastAsia="宋体" w:cs="宋体"/>
      <w:b/>
      <w:bCs/>
      <w:kern w:val="44"/>
      <w:sz w:val="48"/>
      <w:szCs w:val="48"/>
      <w:lang w:val="en-US" w:eastAsia="zh-CN" w:bidi="ar"/>
    </w:rPr>
  </w:style>
  <w:style w:type="paragraph" w:styleId="5">
    <w:name w:val="heading 4"/>
    <w:basedOn w:val="1"/>
    <w:next w:val="1"/>
    <w:autoRedefine/>
    <w:unhideWhenUsed/>
    <w:qFormat/>
    <w:uiPriority w:val="0"/>
    <w:pPr>
      <w:keepNext/>
      <w:keepLines/>
      <w:spacing w:before="280" w:after="290" w:line="376" w:lineRule="auto"/>
      <w:outlineLvl w:val="3"/>
    </w:pPr>
    <w:rPr>
      <w:rFonts w:ascii="Cambria" w:hAnsi="Cambria"/>
      <w:b/>
      <w:bCs/>
      <w:sz w:val="28"/>
      <w:szCs w:val="28"/>
    </w:rPr>
  </w:style>
  <w:style w:type="character" w:default="1" w:styleId="19">
    <w:name w:val="Default Paragraph Font"/>
    <w:autoRedefine/>
    <w:semiHidden/>
    <w:qFormat/>
    <w:uiPriority w:val="0"/>
  </w:style>
  <w:style w:type="table" w:default="1" w:styleId="18">
    <w:name w:val="Normal Table"/>
    <w:autoRedefine/>
    <w:semiHidden/>
    <w:qFormat/>
    <w:uiPriority w:val="0"/>
    <w:tblPr>
      <w:tblCellMar>
        <w:top w:w="0" w:type="dxa"/>
        <w:left w:w="108" w:type="dxa"/>
        <w:bottom w:w="0" w:type="dxa"/>
        <w:right w:w="108" w:type="dxa"/>
      </w:tblCellMar>
    </w:tblPr>
  </w:style>
  <w:style w:type="paragraph" w:styleId="2">
    <w:name w:val="Normal Indent"/>
    <w:basedOn w:val="1"/>
    <w:next w:val="3"/>
    <w:autoRedefine/>
    <w:qFormat/>
    <w:uiPriority w:val="0"/>
    <w:pPr>
      <w:ind w:firstLine="420"/>
    </w:pPr>
  </w:style>
  <w:style w:type="paragraph" w:styleId="3">
    <w:name w:val="Body Text"/>
    <w:basedOn w:val="1"/>
    <w:autoRedefine/>
    <w:qFormat/>
    <w:uiPriority w:val="0"/>
    <w:pPr>
      <w:spacing w:line="360" w:lineRule="auto"/>
      <w:ind w:firstLine="400" w:firstLineChars="200"/>
    </w:pPr>
    <w:rPr>
      <w:rFonts w:ascii="宋体" w:hAnsi="宋体" w:cs="宋体"/>
      <w:sz w:val="24"/>
      <w:szCs w:val="24"/>
      <w:lang w:val="zh-CN" w:bidi="zh-CN"/>
    </w:rPr>
  </w:style>
  <w:style w:type="paragraph" w:styleId="6">
    <w:name w:val="E-mail Signature"/>
    <w:basedOn w:val="1"/>
    <w:next w:val="7"/>
    <w:autoRedefine/>
    <w:qFormat/>
    <w:uiPriority w:val="0"/>
    <w:pPr>
      <w:spacing w:line="460" w:lineRule="exact"/>
      <w:ind w:firstLine="200"/>
    </w:pPr>
    <w:rPr>
      <w:sz w:val="24"/>
    </w:rPr>
  </w:style>
  <w:style w:type="paragraph" w:customStyle="1" w:styleId="7">
    <w:name w:val="文章"/>
    <w:basedOn w:val="8"/>
    <w:next w:val="10"/>
    <w:autoRedefine/>
    <w:qFormat/>
    <w:uiPriority w:val="0"/>
    <w:pPr>
      <w:widowControl/>
      <w:ind w:firstLine="480"/>
      <w:jc w:val="center"/>
    </w:pPr>
    <w:rPr>
      <w:sz w:val="26"/>
    </w:rPr>
  </w:style>
  <w:style w:type="paragraph" w:styleId="8">
    <w:name w:val="Body Text Indent"/>
    <w:basedOn w:val="1"/>
    <w:next w:val="9"/>
    <w:autoRedefine/>
    <w:qFormat/>
    <w:uiPriority w:val="0"/>
    <w:pPr>
      <w:snapToGrid w:val="0"/>
      <w:ind w:firstLine="498"/>
    </w:pPr>
    <w:rPr>
      <w:rFonts w:ascii="宋体"/>
      <w:sz w:val="24"/>
    </w:rPr>
  </w:style>
  <w:style w:type="paragraph" w:styleId="9">
    <w:name w:val="Body Text First Indent 2"/>
    <w:basedOn w:val="8"/>
    <w:next w:val="1"/>
    <w:autoRedefine/>
    <w:qFormat/>
    <w:uiPriority w:val="0"/>
    <w:pPr>
      <w:ind w:firstLine="420" w:firstLineChars="200"/>
    </w:pPr>
  </w:style>
  <w:style w:type="paragraph" w:styleId="10">
    <w:name w:val="List"/>
    <w:basedOn w:val="1"/>
    <w:next w:val="11"/>
    <w:autoRedefine/>
    <w:unhideWhenUsed/>
    <w:qFormat/>
    <w:uiPriority w:val="0"/>
    <w:pPr>
      <w:ind w:left="200" w:hanging="200" w:hangingChars="200"/>
      <w:contextualSpacing/>
    </w:pPr>
  </w:style>
  <w:style w:type="paragraph" w:styleId="11">
    <w:name w:val="List Bullet 2"/>
    <w:basedOn w:val="1"/>
    <w:next w:val="12"/>
    <w:autoRedefine/>
    <w:qFormat/>
    <w:uiPriority w:val="0"/>
    <w:pPr>
      <w:numPr>
        <w:ilvl w:val="0"/>
        <w:numId w:val="1"/>
      </w:numPr>
    </w:pPr>
  </w:style>
  <w:style w:type="paragraph" w:customStyle="1" w:styleId="12">
    <w:name w:val="xl70"/>
    <w:basedOn w:val="1"/>
    <w:next w:val="13"/>
    <w:autoRedefine/>
    <w:qFormat/>
    <w:uiPriority w:val="0"/>
    <w:pPr>
      <w:widowControl/>
      <w:spacing w:before="280" w:after="280" w:line="240" w:lineRule="auto"/>
    </w:pPr>
    <w:rPr>
      <w:rFonts w:ascii="宋体"/>
    </w:rPr>
  </w:style>
  <w:style w:type="paragraph" w:customStyle="1" w:styleId="13">
    <w:name w:val="正文缩进1"/>
    <w:basedOn w:val="1"/>
    <w:next w:val="14"/>
    <w:autoRedefine/>
    <w:qFormat/>
    <w:uiPriority w:val="0"/>
    <w:pPr>
      <w:ind w:firstLine="420"/>
    </w:pPr>
  </w:style>
  <w:style w:type="paragraph" w:customStyle="1" w:styleId="14">
    <w:name w:val="td1"/>
    <w:basedOn w:val="1"/>
    <w:next w:val="1"/>
    <w:autoRedefine/>
    <w:qFormat/>
    <w:uiPriority w:val="0"/>
    <w:pPr>
      <w:widowControl/>
      <w:spacing w:before="280" w:after="280" w:line="300" w:lineRule="atLeast"/>
      <w:ind w:firstLine="200"/>
    </w:pPr>
    <w:rPr>
      <w:color w:val="000000"/>
      <w:sz w:val="18"/>
    </w:rPr>
  </w:style>
  <w:style w:type="paragraph" w:styleId="15">
    <w:name w:val="annotation text"/>
    <w:basedOn w:val="1"/>
    <w:autoRedefine/>
    <w:qFormat/>
    <w:uiPriority w:val="0"/>
    <w:pPr>
      <w:jc w:val="left"/>
    </w:pPr>
  </w:style>
  <w:style w:type="paragraph" w:styleId="16">
    <w:name w:val="toc 1"/>
    <w:basedOn w:val="1"/>
    <w:next w:val="1"/>
    <w:autoRedefine/>
    <w:qFormat/>
    <w:uiPriority w:val="0"/>
    <w:pPr>
      <w:tabs>
        <w:tab w:val="right" w:leader="dot" w:pos="8290"/>
      </w:tabs>
      <w:spacing w:before="60" w:after="60" w:line="460" w:lineRule="exact"/>
      <w:ind w:firstLine="0" w:firstLineChars="0"/>
    </w:pPr>
    <w:rPr>
      <w:rFonts w:ascii="Times New Roman" w:hAnsi="Times New Roman" w:eastAsia="宋体" w:cs="Times New Roman"/>
      <w:sz w:val="28"/>
      <w:szCs w:val="28"/>
    </w:rPr>
  </w:style>
  <w:style w:type="paragraph" w:styleId="17">
    <w:name w:val="toc 2"/>
    <w:basedOn w:val="1"/>
    <w:next w:val="6"/>
    <w:autoRedefine/>
    <w:qFormat/>
    <w:uiPriority w:val="0"/>
    <w:pPr>
      <w:ind w:left="210"/>
      <w:jc w:val="left"/>
    </w:pPr>
    <w:rPr>
      <w:rFonts w:ascii="等线" w:eastAsia="等线"/>
      <w:smallCaps/>
      <w:sz w:val="20"/>
      <w:szCs w:val="20"/>
    </w:rPr>
  </w:style>
  <w:style w:type="paragraph" w:customStyle="1" w:styleId="20">
    <w:name w:val="Default"/>
    <w:basedOn w:val="21"/>
    <w:autoRedefine/>
    <w:unhideWhenUsed/>
    <w:qFormat/>
    <w:uiPriority w:val="0"/>
    <w:pPr>
      <w:widowControl w:val="0"/>
      <w:autoSpaceDE w:val="0"/>
      <w:autoSpaceDN w:val="0"/>
      <w:adjustRightInd w:val="0"/>
    </w:pPr>
    <w:rPr>
      <w:rFonts w:ascii="宋体" w:hAnsi="宋体"/>
      <w:color w:val="000000"/>
      <w:sz w:val="24"/>
      <w:lang w:val="en-US" w:eastAsia="zh-CN" w:bidi="ar-SA"/>
    </w:rPr>
  </w:style>
  <w:style w:type="paragraph" w:customStyle="1" w:styleId="21">
    <w:name w:val="纯文本1"/>
    <w:basedOn w:val="1"/>
    <w:autoRedefine/>
    <w:qFormat/>
    <w:uiPriority w:val="0"/>
    <w:pPr>
      <w:adjustRightInd w:val="0"/>
    </w:pPr>
    <w:rPr>
      <w:rFonts w:ascii="宋体" w:hAnsi="Courier New"/>
      <w:szCs w:val="20"/>
    </w:rPr>
  </w:style>
  <w:style w:type="paragraph" w:customStyle="1" w:styleId="22">
    <w:name w:val="样式 正文文本 + 首行缩进:  2 字符"/>
    <w:basedOn w:val="3"/>
    <w:next w:val="1"/>
    <w:autoRedefine/>
    <w:qFormat/>
    <w:uiPriority w:val="99"/>
    <w:pPr>
      <w:spacing w:after="200" w:line="480" w:lineRule="exact"/>
      <w:ind w:firstLine="480" w:firstLineChars="200"/>
    </w:pPr>
    <w:rPr>
      <w:rFonts w:ascii="宋体" w:hAnsi="宋体" w:eastAsia="宋体" w:cs="Times New Roman"/>
      <w:sz w:val="24"/>
      <w:lang w:val="en-US" w:eastAsia="zh-CN" w:bidi="ar-SA"/>
    </w:rPr>
  </w:style>
  <w:style w:type="paragraph" w:customStyle="1" w:styleId="23">
    <w:name w:val="样式35"/>
    <w:basedOn w:val="24"/>
    <w:next w:val="25"/>
    <w:autoRedefine/>
    <w:qFormat/>
    <w:uiPriority w:val="0"/>
    <w:pPr>
      <w:tabs>
        <w:tab w:val="left" w:pos="0"/>
        <w:tab w:val="left" w:pos="360"/>
        <w:tab w:val="left" w:pos="540"/>
        <w:tab w:val="left" w:pos="567"/>
        <w:tab w:val="center" w:pos="4153"/>
        <w:tab w:val="right" w:pos="8306"/>
      </w:tabs>
      <w:spacing w:line="312" w:lineRule="auto"/>
      <w:ind w:firstLine="567"/>
    </w:pPr>
    <w:rPr>
      <w:rFonts w:ascii="宋体"/>
    </w:rPr>
  </w:style>
  <w:style w:type="paragraph" w:customStyle="1" w:styleId="24">
    <w:name w:val="表 内容"/>
    <w:basedOn w:val="1"/>
    <w:autoRedefine/>
    <w:qFormat/>
    <w:uiPriority w:val="0"/>
    <w:pPr>
      <w:spacing w:line="240" w:lineRule="atLeast"/>
      <w:jc w:val="center"/>
    </w:pPr>
    <w:rPr>
      <w:sz w:val="21"/>
      <w:szCs w:val="21"/>
    </w:rPr>
  </w:style>
  <w:style w:type="paragraph" w:customStyle="1" w:styleId="25">
    <w:name w:val="font6"/>
    <w:basedOn w:val="1"/>
    <w:next w:val="17"/>
    <w:autoRedefine/>
    <w:qFormat/>
    <w:uiPriority w:val="0"/>
    <w:pPr>
      <w:widowControl/>
      <w:spacing w:before="280" w:after="280"/>
      <w:ind w:firstLine="0"/>
    </w:pPr>
    <w:rPr>
      <w:sz w:val="21"/>
    </w:rPr>
  </w:style>
  <w:style w:type="paragraph" w:customStyle="1" w:styleId="26">
    <w:name w:val="1正文"/>
    <w:basedOn w:val="1"/>
    <w:next w:val="3"/>
    <w:autoRedefine/>
    <w:qFormat/>
    <w:uiPriority w:val="0"/>
    <w:pPr>
      <w:spacing w:line="440" w:lineRule="exact"/>
      <w:ind w:firstLine="200" w:firstLineChars="200"/>
    </w:pPr>
    <w:rPr>
      <w:snapToGrid w:val="0"/>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1348</Words>
  <Characters>1424</Characters>
  <Lines>0</Lines>
  <Paragraphs>0</Paragraphs>
  <TotalTime>0</TotalTime>
  <ScaleCrop>false</ScaleCrop>
  <LinksUpToDate>false</LinksUpToDate>
  <CharactersWithSpaces>1569</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2023-08-02T02:27:00Z</dcterms:created>
  <dc:creator>Administrator</dc:creator>
  <cp:lastModifiedBy>不错</cp:lastModifiedBy>
  <cp:lastPrinted>2024-04-23T03:05:00Z</cp:lastPrinted>
  <dcterms:modified xsi:type="dcterms:W3CDTF">2024-05-11T07:32:12Z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BF16B1F8AB1F4852B3D81EED8E1FD65B_13</vt:lpwstr>
  </property>
</Properties>
</file>