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w:t>
      </w:r>
      <w:r>
        <w:rPr>
          <w:rFonts w:hint="eastAsia" w:ascii="黑体" w:hAnsi="宋体" w:eastAsia="黑体"/>
          <w:color w:val="002060"/>
          <w:sz w:val="84"/>
          <w:szCs w:val="84"/>
          <w:lang w:val="en-US" w:eastAsia="zh-CN"/>
        </w:rPr>
        <w:t>6</w:t>
      </w:r>
      <w:r>
        <w:rPr>
          <w:rFonts w:hint="eastAsia" w:ascii="黑体" w:hAnsi="宋体" w:eastAsia="黑体"/>
          <w:color w:val="002060"/>
          <w:sz w:val="84"/>
          <w:szCs w:val="84"/>
        </w:rPr>
        <w:t>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无极县农业综合开发办公室</w:t>
      </w:r>
    </w:p>
    <w:p>
      <w:pPr>
        <w:widowControl/>
        <w:jc w:val="center"/>
        <w:rPr>
          <w:rFonts w:ascii="宋体" w:hAnsi="宋体"/>
          <w:b/>
          <w:sz w:val="44"/>
          <w:szCs w:val="44"/>
        </w:rPr>
      </w:pPr>
      <w:r>
        <w:rPr>
          <w:rFonts w:hint="eastAsia" w:ascii="宋体" w:hAnsi="宋体"/>
          <w:b/>
          <w:sz w:val="44"/>
          <w:szCs w:val="44"/>
        </w:rPr>
        <w:t>201</w:t>
      </w:r>
      <w:r>
        <w:rPr>
          <w:rFonts w:hint="eastAsia" w:ascii="宋体" w:hAnsi="宋体"/>
          <w:b/>
          <w:sz w:val="44"/>
          <w:szCs w:val="44"/>
          <w:lang w:val="en-US" w:eastAsia="zh-CN"/>
        </w:rPr>
        <w:t>7</w:t>
      </w:r>
      <w:r>
        <w:rPr>
          <w:rFonts w:hint="eastAsia" w:ascii="宋体" w:hAnsi="宋体"/>
          <w:b/>
          <w:sz w:val="44"/>
          <w:szCs w:val="44"/>
        </w:rPr>
        <w:t>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ascii="黑体" w:hAnsi="宋体" w:eastAsia="黑体" w:cs="黑体"/>
          <w:sz w:val="32"/>
          <w:szCs w:val="32"/>
        </w:rPr>
        <w:t>农业综合开发办公室</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农业综合开发办公室</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农业综合开发办公室</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hint="eastAsia" w:eastAsia="仿宋_GB2312"/>
          <w:sz w:val="32"/>
          <w:szCs w:val="32"/>
        </w:rPr>
        <w:t>1</w:t>
      </w:r>
      <w:r>
        <w:rPr>
          <w:rFonts w:eastAsia="仿宋_GB2312"/>
          <w:sz w:val="32"/>
          <w:szCs w:val="32"/>
        </w:rPr>
        <w:t>. 机关运行经费情况</w:t>
      </w:r>
    </w:p>
    <w:p>
      <w:pPr>
        <w:widowControl/>
        <w:spacing w:line="580" w:lineRule="exact"/>
        <w:ind w:left="640" w:firstLine="1344" w:firstLineChars="420"/>
        <w:rPr>
          <w:rFonts w:eastAsia="仿宋_GB2312"/>
          <w:sz w:val="32"/>
          <w:szCs w:val="32"/>
        </w:rPr>
      </w:pPr>
      <w:r>
        <w:rPr>
          <w:rFonts w:hint="eastAsia" w:eastAsia="仿宋_GB2312"/>
          <w:sz w:val="32"/>
          <w:szCs w:val="32"/>
        </w:rPr>
        <w:t>2.</w:t>
      </w:r>
      <w:r>
        <w:rPr>
          <w:rFonts w:eastAsia="仿宋_GB2312"/>
          <w:sz w:val="32"/>
          <w:szCs w:val="32"/>
        </w:rPr>
        <w:t>政府采购情况</w:t>
      </w:r>
    </w:p>
    <w:p>
      <w:pPr>
        <w:widowControl/>
        <w:spacing w:line="580" w:lineRule="exact"/>
        <w:ind w:left="640" w:firstLine="1344" w:firstLineChars="420"/>
        <w:rPr>
          <w:rFonts w:eastAsia="仿宋_GB2312"/>
          <w:sz w:val="32"/>
          <w:szCs w:val="32"/>
        </w:rPr>
      </w:pPr>
      <w:r>
        <w:rPr>
          <w:rFonts w:hint="eastAsia" w:eastAsia="仿宋_GB2312"/>
          <w:sz w:val="32"/>
          <w:szCs w:val="32"/>
        </w:rPr>
        <w:t>3</w:t>
      </w:r>
      <w:r>
        <w:rPr>
          <w:rFonts w:eastAsia="仿宋_GB2312"/>
          <w:sz w:val="32"/>
          <w:szCs w:val="32"/>
        </w:rPr>
        <w:t>.国有资产占用情况</w:t>
      </w:r>
    </w:p>
    <w:p>
      <w:pPr>
        <w:widowControl/>
        <w:spacing w:line="580" w:lineRule="exact"/>
        <w:ind w:left="640" w:firstLine="1344" w:firstLineChars="420"/>
        <w:rPr>
          <w:rFonts w:eastAsia="仿宋_GB2312"/>
          <w:sz w:val="32"/>
          <w:szCs w:val="32"/>
        </w:rPr>
      </w:pPr>
      <w:r>
        <w:rPr>
          <w:rFonts w:hint="eastAsia" w:eastAsia="仿宋_GB2312"/>
          <w:sz w:val="32"/>
          <w:szCs w:val="32"/>
        </w:rPr>
        <w:t>4</w:t>
      </w:r>
      <w:r>
        <w:rPr>
          <w:rFonts w:eastAsia="仿宋_GB2312"/>
          <w:sz w:val="32"/>
          <w:szCs w:val="32"/>
        </w:rPr>
        <w:t>.其他需要说明的情况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pStyle w:val="23"/>
        <w:ind w:firstLine="640"/>
        <w:rPr>
          <w:rFonts w:ascii="仿宋" w:hAnsi="仿宋" w:eastAsia="仿宋" w:cs="宋体"/>
          <w:sz w:val="32"/>
          <w:szCs w:val="32"/>
        </w:rPr>
      </w:pPr>
      <w:r>
        <w:rPr>
          <w:rFonts w:hint="eastAsia" w:ascii="仿宋" w:hAnsi="仿宋" w:eastAsia="仿宋" w:cs="宋体"/>
          <w:sz w:val="32"/>
          <w:szCs w:val="32"/>
        </w:rPr>
        <w:t>1.负责贯彻落实国家及省市的农业综合开发政策。</w:t>
      </w:r>
    </w:p>
    <w:p>
      <w:pPr>
        <w:pStyle w:val="23"/>
        <w:ind w:firstLine="0" w:firstLineChars="0"/>
        <w:rPr>
          <w:rFonts w:ascii="仿宋" w:hAnsi="仿宋" w:eastAsia="仿宋" w:cs="宋体"/>
          <w:sz w:val="32"/>
          <w:szCs w:val="32"/>
        </w:rPr>
      </w:pPr>
      <w:r>
        <w:rPr>
          <w:rFonts w:hint="eastAsia" w:ascii="仿宋" w:hAnsi="仿宋" w:eastAsia="仿宋" w:cs="宋体"/>
          <w:sz w:val="32"/>
          <w:szCs w:val="32"/>
        </w:rPr>
        <w:t xml:space="preserve">    2.负责无极县农业综合开发项目的申请、立项。</w:t>
      </w:r>
    </w:p>
    <w:p>
      <w:pPr>
        <w:pStyle w:val="23"/>
        <w:ind w:firstLine="0" w:firstLineChars="0"/>
        <w:rPr>
          <w:rFonts w:ascii="仿宋" w:hAnsi="仿宋" w:eastAsia="仿宋" w:cs="宋体"/>
          <w:sz w:val="32"/>
          <w:szCs w:val="32"/>
        </w:rPr>
      </w:pPr>
      <w:r>
        <w:rPr>
          <w:rFonts w:hint="eastAsia" w:ascii="仿宋" w:hAnsi="仿宋" w:eastAsia="仿宋" w:cs="宋体"/>
          <w:sz w:val="32"/>
          <w:szCs w:val="32"/>
        </w:rPr>
        <w:t xml:space="preserve">    3.负责组织无极县土地治理项目物资、工程的招投标工作。</w:t>
      </w:r>
    </w:p>
    <w:p>
      <w:pPr>
        <w:pStyle w:val="23"/>
        <w:ind w:firstLine="0" w:firstLineChars="0"/>
        <w:rPr>
          <w:rFonts w:ascii="仿宋" w:hAnsi="仿宋" w:eastAsia="仿宋" w:cs="宋体"/>
          <w:sz w:val="32"/>
          <w:szCs w:val="32"/>
        </w:rPr>
      </w:pPr>
      <w:r>
        <w:rPr>
          <w:rFonts w:hint="eastAsia" w:ascii="仿宋" w:hAnsi="仿宋" w:eastAsia="仿宋" w:cs="宋体"/>
          <w:sz w:val="32"/>
          <w:szCs w:val="32"/>
        </w:rPr>
        <w:t xml:space="preserve">    4.负责无极县农业综合开发项目的监督实施、检查验收工作。</w:t>
      </w:r>
    </w:p>
    <w:p>
      <w:pPr>
        <w:pStyle w:val="23"/>
        <w:ind w:firstLine="0" w:firstLineChars="0"/>
        <w:rPr>
          <w:rFonts w:ascii="仿宋" w:hAnsi="仿宋" w:eastAsia="仿宋" w:cs="宋体"/>
          <w:sz w:val="32"/>
          <w:szCs w:val="32"/>
        </w:rPr>
      </w:pPr>
      <w:r>
        <w:rPr>
          <w:rFonts w:hint="eastAsia" w:ascii="仿宋" w:hAnsi="仿宋" w:eastAsia="仿宋" w:cs="宋体"/>
          <w:sz w:val="32"/>
          <w:szCs w:val="32"/>
        </w:rPr>
        <w:t xml:space="preserve">    5.负责无极县农业综合开发项目资金的管理工作。</w:t>
      </w:r>
    </w:p>
    <w:p>
      <w:pPr>
        <w:pStyle w:val="3"/>
        <w:numPr>
          <w:ilvl w:val="0"/>
          <w:numId w:val="1"/>
        </w:numPr>
        <w:spacing w:before="0" w:after="0" w:line="560" w:lineRule="exact"/>
        <w:ind w:firstLine="640" w:firstLineChars="200"/>
        <w:rPr>
          <w:rFonts w:ascii="仿宋" w:hAnsi="仿宋" w:eastAsia="仿宋" w:cs="宋体"/>
          <w:b w:val="0"/>
          <w:bCs w:val="0"/>
        </w:rPr>
      </w:pPr>
      <w:r>
        <w:rPr>
          <w:rFonts w:hint="eastAsia" w:ascii="仿宋" w:hAnsi="仿宋" w:eastAsia="仿宋" w:cs="宋体"/>
          <w:b w:val="0"/>
          <w:bCs w:val="0"/>
        </w:rPr>
        <w:t>负责无极县县委、县政府安排的日常工作及其他事务。</w:t>
      </w:r>
    </w:p>
    <w:p>
      <w:pPr>
        <w:pStyle w:val="3"/>
        <w:spacing w:before="0" w:after="0" w:line="560" w:lineRule="exact"/>
        <w:rPr>
          <w:rFonts w:ascii="黑体" w:hAnsi="Cambria" w:eastAsia="黑体"/>
          <w:kern w:val="0"/>
        </w:rPr>
      </w:pPr>
      <w:r>
        <w:rPr>
          <w:rFonts w:hint="eastAsia" w:ascii="黑体" w:hAnsi="Cambria" w:eastAsia="黑体"/>
          <w:kern w:val="0"/>
        </w:rPr>
        <w:t xml:space="preserve">   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w:t>
      </w:r>
      <w:r>
        <w:rPr>
          <w:rFonts w:hint="eastAsia" w:ascii="仿宋_GB2312" w:hAnsi="Cambria" w:eastAsia="仿宋_GB2312" w:cs="ArialUnicodeMS"/>
          <w:kern w:val="0"/>
          <w:sz w:val="32"/>
          <w:szCs w:val="32"/>
          <w:lang w:val="en-US" w:eastAsia="zh-CN"/>
        </w:rPr>
        <w:t>6</w:t>
      </w:r>
      <w:r>
        <w:rPr>
          <w:rFonts w:hint="eastAsia" w:ascii="仿宋_GB2312" w:hAnsi="Cambria" w:eastAsia="仿宋_GB2312" w:cs="ArialUnicodeMS"/>
          <w:kern w:val="0"/>
          <w:sz w:val="32"/>
          <w:szCs w:val="32"/>
        </w:rPr>
        <w:t xml:space="preserve"> 年度，纳入本部门决算汇编范围的独立核算单位</w:t>
      </w:r>
    </w:p>
    <w:p>
      <w:pPr>
        <w:autoSpaceDE w:val="0"/>
        <w:autoSpaceDN w:val="0"/>
        <w:adjustRightInd w:val="0"/>
        <w:spacing w:after="0" w:line="560" w:lineRule="exact"/>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（以下简称“单位”）共 1个，分别是无极县农业综合开发办公室，单位基本性质为全额事业单位，预算管理级次为一级预算单位，执行事业单位会计制度，较上年无增减变化。</w:t>
      </w:r>
    </w:p>
    <w:p>
      <w:pPr>
        <w:widowControl/>
        <w:spacing w:line="560" w:lineRule="exact"/>
        <w:rPr>
          <w:rFonts w:ascii="黑体" w:hAnsi="Cambria" w:eastAsia="黑体" w:cs="MS-UIGothic,Bold"/>
          <w:bCs/>
          <w:kern w:val="0"/>
          <w:sz w:val="52"/>
          <w:szCs w:val="52"/>
        </w:rPr>
      </w:pPr>
    </w:p>
    <w:p>
      <w:pPr>
        <w:widowControl/>
        <w:spacing w:line="560" w:lineRule="exact"/>
        <w:rPr>
          <w:rFonts w:ascii="黑体" w:hAnsi="Cambria" w:eastAsia="黑体" w:cs="MS-UIGothic,Bold"/>
          <w:bCs/>
          <w:kern w:val="0"/>
          <w:sz w:val="52"/>
          <w:szCs w:val="52"/>
        </w:rPr>
      </w:pPr>
    </w:p>
    <w:p>
      <w:pPr>
        <w:widowControl/>
        <w:spacing w:line="560" w:lineRule="exact"/>
        <w:rPr>
          <w:rFonts w:ascii="黑体" w:hAnsi="Cambria" w:eastAsia="黑体" w:cs="MS-UIGothic,Bold"/>
          <w:bCs/>
          <w:kern w:val="0"/>
          <w:sz w:val="52"/>
          <w:szCs w:val="52"/>
        </w:rPr>
      </w:pPr>
    </w:p>
    <w:p>
      <w:pPr>
        <w:widowControl/>
        <w:spacing w:line="560" w:lineRule="exact"/>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（详见附件）</w:t>
      </w:r>
    </w:p>
    <w:p>
      <w:pPr>
        <w:ind w:firstLine="643"/>
        <w:jc w:val="lef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一、收入支出决算总表</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二、收入决算表</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三、支出决算表 </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四、财政拨款收入支出决算总表</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五、一般公共预算财政拨款支出决算表</w:t>
      </w:r>
    </w:p>
    <w:p>
      <w:pPr>
        <w:ind w:firstLine="622"/>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六、一般公共预算财政拨款基本支出决算表</w:t>
      </w:r>
    </w:p>
    <w:p>
      <w:pPr>
        <w:ind w:firstLine="622"/>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七、政府性基金预算财政拨款收入支出决算表 </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八、国有资本经营预算财政拨款收入支出决算表</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九、“三公”经费及相关信息统计表</w:t>
      </w:r>
    </w:p>
    <w:p>
      <w:pPr>
        <w:ind w:firstLine="64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十、政府采购情况表</w:t>
      </w:r>
    </w:p>
    <w:p>
      <w:pPr>
        <w:pStyle w:val="2"/>
        <w:spacing w:line="560" w:lineRule="exact"/>
        <w:rPr>
          <w:rFonts w:ascii="宋体" w:hAnsi="宋体" w:cs="ArialUnicodeMS"/>
          <w:color w:val="000000"/>
          <w:kern w:val="0"/>
        </w:rPr>
      </w:pPr>
    </w:p>
    <w:p/>
    <w:p>
      <w:pPr>
        <w:pStyle w:val="2"/>
        <w:spacing w:line="560" w:lineRule="exact"/>
        <w:jc w:val="center"/>
        <w:rPr>
          <w:rFonts w:ascii="宋体" w:hAnsi="宋体" w:cs="ArialUnicodeMS"/>
          <w:color w:val="000000"/>
          <w:spacing w:val="-20"/>
          <w:kern w:val="0"/>
        </w:rPr>
      </w:pPr>
      <w:r>
        <w:rPr>
          <w:rFonts w:hint="eastAsia" w:ascii="宋体" w:hAnsi="宋体" w:cs="ArialUnicodeMS"/>
          <w:color w:val="000000"/>
          <w:spacing w:val="-2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年度收入</w:t>
      </w:r>
      <w:r>
        <w:rPr>
          <w:rFonts w:hint="eastAsia" w:ascii="仿宋_GB2312" w:eastAsia="仿宋_GB2312" w:cs="DengXian-Regular"/>
          <w:sz w:val="32"/>
          <w:szCs w:val="32"/>
          <w:lang w:val="en-US" w:eastAsia="zh-CN"/>
        </w:rPr>
        <w:t>156.26</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154.26</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万元。与2016年度决算相比，本年收入增加</w:t>
      </w:r>
      <w:r>
        <w:rPr>
          <w:rFonts w:hint="eastAsia" w:ascii="仿宋_GB2312" w:eastAsia="仿宋_GB2312" w:cs="DengXian-Regular"/>
          <w:sz w:val="32"/>
          <w:szCs w:val="32"/>
          <w:lang w:val="en-US" w:eastAsia="zh-CN"/>
        </w:rPr>
        <w:t>9.58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6.5</w:t>
      </w:r>
      <w:r>
        <w:rPr>
          <w:rFonts w:hint="eastAsia" w:ascii="仿宋_GB2312" w:eastAsia="仿宋_GB2312" w:cs="DengXian-Regular"/>
          <w:sz w:val="32"/>
          <w:szCs w:val="32"/>
        </w:rPr>
        <w:t>%，主要是项目资金增加；本年支出增加</w:t>
      </w:r>
      <w:r>
        <w:rPr>
          <w:rFonts w:hint="eastAsia" w:ascii="仿宋_GB2312" w:eastAsia="仿宋_GB2312" w:cs="DengXian-Regular"/>
          <w:sz w:val="32"/>
          <w:szCs w:val="32"/>
          <w:lang w:val="en-US" w:eastAsia="zh-CN"/>
        </w:rPr>
        <w:t>7.5</w:t>
      </w:r>
      <w:r>
        <w:rPr>
          <w:rFonts w:hint="eastAsia" w:ascii="仿宋_GB2312" w:eastAsia="仿宋_GB2312" w:cs="DengXian-Regular"/>
          <w:sz w:val="32"/>
          <w:szCs w:val="32"/>
        </w:rPr>
        <w:t>8万元，增长</w:t>
      </w:r>
      <w:r>
        <w:rPr>
          <w:rFonts w:hint="eastAsia" w:ascii="仿宋_GB2312" w:eastAsia="仿宋_GB2312" w:cs="DengXian-Regular"/>
          <w:sz w:val="32"/>
          <w:szCs w:val="32"/>
          <w:lang w:val="en-US" w:eastAsia="zh-CN"/>
        </w:rPr>
        <w:t>5.16</w:t>
      </w:r>
      <w:r>
        <w:rPr>
          <w:rFonts w:hint="eastAsia" w:ascii="仿宋_GB2312" w:eastAsia="仿宋_GB2312" w:cs="DengXian-Regular"/>
          <w:sz w:val="32"/>
          <w:szCs w:val="32"/>
        </w:rPr>
        <w:t>%，主要是项目资金支出增加。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rPr>
          <w:rFonts w:ascii="仿宋_GB2312" w:eastAsia="仿宋_GB2312" w:cs="DengXian-Regular"/>
          <w:sz w:val="32"/>
          <w:szCs w:val="32"/>
        </w:rPr>
      </w:pPr>
      <w:r>
        <w:rPr>
          <w:rFonts w:hint="eastAsia" w:ascii="仿宋_GB2312" w:eastAsia="仿宋_GB2312" w:cs="DengXian-Regular"/>
          <w:sz w:val="32"/>
          <w:szCs w:val="32"/>
        </w:rPr>
        <w:t xml:space="preserve">   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年度本年收入合计</w:t>
      </w:r>
      <w:r>
        <w:rPr>
          <w:rFonts w:hint="eastAsia" w:ascii="仿宋_GB2312" w:eastAsia="仿宋_GB2312" w:cs="DengXian-Regular"/>
          <w:sz w:val="32"/>
          <w:szCs w:val="32"/>
          <w:lang w:val="en-US" w:eastAsia="zh-CN"/>
        </w:rPr>
        <w:t>154.26</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154.26</w:t>
      </w:r>
      <w:r>
        <w:rPr>
          <w:rFonts w:hint="eastAsia" w:ascii="仿宋_GB2312" w:eastAsia="仿宋_GB2312" w:cs="DengXian-Regular"/>
          <w:sz w:val="32"/>
          <w:szCs w:val="32"/>
        </w:rPr>
        <w:t>万元，占100%。如图所示：</w:t>
      </w:r>
    </w:p>
    <w:p>
      <w:pPr>
        <w:adjustRightInd w:val="0"/>
        <w:snapToGrid w:val="0"/>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after="0" w:line="240" w:lineRule="auto"/>
        <w:rPr>
          <w:rFonts w:ascii="仿宋_GB2312" w:eastAsia="仿宋_GB2312" w:cs="DengXian-Regular"/>
          <w:sz w:val="32"/>
          <w:szCs w:val="32"/>
        </w:rPr>
      </w:pPr>
      <w:r>
        <w:pict>
          <v:shape id="_x0000_i1025" o:spt="75" type="#_x0000_t75" style="height:201pt;width:441.75pt;" filled="f" o:preferrelative="t" stroked="f" coordsize="21600,21600">
            <v:path/>
            <v:fill on="f" focussize="0,0"/>
            <v:stroke on="f" joinstyle="miter"/>
            <v:imagedata r:id="rId6"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年度本年支出合计</w:t>
      </w:r>
      <w:r>
        <w:rPr>
          <w:rFonts w:hint="eastAsia" w:ascii="仿宋_GB2312" w:eastAsia="仿宋_GB2312" w:cs="DengXian-Regular"/>
          <w:sz w:val="32"/>
          <w:szCs w:val="32"/>
          <w:lang w:val="en-US" w:eastAsia="zh-CN"/>
        </w:rPr>
        <w:t>152.26</w:t>
      </w:r>
      <w:r>
        <w:rPr>
          <w:rFonts w:hint="eastAsia" w:ascii="仿宋_GB2312" w:eastAsia="仿宋_GB2312" w:cs="DengXian-Regular"/>
          <w:sz w:val="32"/>
          <w:szCs w:val="32"/>
        </w:rPr>
        <w:t>万元，其中：基本支出15</w:t>
      </w:r>
      <w:r>
        <w:rPr>
          <w:rFonts w:hint="eastAsia" w:ascii="仿宋_GB2312" w:eastAsia="仿宋_GB2312" w:cs="DengXian-Regular"/>
          <w:sz w:val="32"/>
          <w:szCs w:val="32"/>
          <w:lang w:val="en-US" w:eastAsia="zh-CN"/>
        </w:rPr>
        <w:t>4.2</w:t>
      </w:r>
      <w:r>
        <w:rPr>
          <w:rFonts w:hint="eastAsia" w:ascii="仿宋_GB2312" w:eastAsia="仿宋_GB2312" w:cs="DengXian-Regular"/>
          <w:sz w:val="32"/>
          <w:szCs w:val="32"/>
        </w:rPr>
        <w:t>6万元，占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%如图所示：</w:t>
      </w:r>
    </w:p>
    <w:p>
      <w:pPr>
        <w:adjustRightInd w:val="0"/>
        <w:snapToGrid w:val="0"/>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after="0" w:line="240" w:lineRule="auto"/>
        <w:rPr>
          <w:rFonts w:ascii="仿宋_GB2312" w:eastAsia="仿宋_GB2312" w:cs="DengXian-Regular"/>
          <w:sz w:val="32"/>
          <w:szCs w:val="32"/>
        </w:rPr>
      </w:pPr>
      <w:r>
        <w:pict>
          <v:shape id="_x0000_i1027" o:spt="75" alt="" type="#_x0000_t75" style="height:201pt;width:441.75pt;" filled="f" o:preferrelative="t" stroked="f" coordsize="21600,21600">
            <v:path/>
            <v:fill on="f" focussize="0,0"/>
            <v:stroke on="f"/>
            <v:imagedata r:id="rId7"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w:t>
      </w:r>
      <w:r>
        <w:rPr>
          <w:rFonts w:hint="eastAsia" w:ascii="楷体_GB2312" w:eastAsia="楷体_GB2312" w:cs="DengXian-Bold"/>
          <w:b/>
          <w:bCs/>
          <w:sz w:val="32"/>
          <w:szCs w:val="32"/>
          <w:lang w:val="en-US" w:eastAsia="zh-CN"/>
        </w:rPr>
        <w:t>5</w:t>
      </w:r>
      <w:r>
        <w:rPr>
          <w:rFonts w:hint="eastAsia" w:ascii="楷体_GB2312" w:eastAsia="楷体_GB2312" w:cs="DengXian-Bold"/>
          <w:b/>
          <w:bCs/>
          <w:sz w:val="32"/>
          <w:szCs w:val="32"/>
        </w:rPr>
        <w:t xml:space="preserve">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年度财政拨款收支全部为一般公共预算财政拨款收支。本年收入1</w:t>
      </w:r>
      <w:r>
        <w:rPr>
          <w:rFonts w:hint="eastAsia" w:ascii="仿宋_GB2312" w:eastAsia="仿宋_GB2312" w:cs="DengXian-Regular"/>
          <w:sz w:val="32"/>
          <w:szCs w:val="32"/>
          <w:lang w:val="en-US" w:eastAsia="zh-CN"/>
        </w:rPr>
        <w:t>56.26</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154.26</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万元。与201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年度决算相比，一般公共预算财政拨款本年收入增加</w:t>
      </w:r>
      <w:r>
        <w:rPr>
          <w:rFonts w:hint="eastAsia" w:ascii="仿宋_GB2312" w:eastAsia="仿宋_GB2312" w:cs="DengXian-Regular"/>
          <w:sz w:val="32"/>
          <w:szCs w:val="32"/>
          <w:lang w:val="en-US" w:eastAsia="zh-CN"/>
        </w:rPr>
        <w:t>9.58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6.5</w:t>
      </w:r>
      <w:r>
        <w:rPr>
          <w:rFonts w:hint="eastAsia" w:ascii="仿宋_GB2312" w:eastAsia="仿宋_GB2312" w:cs="DengXian-Regular"/>
          <w:sz w:val="32"/>
          <w:szCs w:val="32"/>
        </w:rPr>
        <w:t>%，主要是项目资金增加；本年支出增加</w:t>
      </w:r>
      <w:r>
        <w:rPr>
          <w:rFonts w:hint="eastAsia" w:ascii="仿宋_GB2312" w:eastAsia="仿宋_GB2312" w:cs="DengXian-Regular"/>
          <w:sz w:val="32"/>
          <w:szCs w:val="32"/>
          <w:lang w:val="en-US" w:eastAsia="zh-CN"/>
        </w:rPr>
        <w:t>7.58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5.16</w:t>
      </w:r>
      <w:r>
        <w:rPr>
          <w:rFonts w:hint="eastAsia" w:ascii="仿宋_GB2312" w:eastAsia="仿宋_GB2312" w:cs="DengXian-Regular"/>
          <w:sz w:val="32"/>
          <w:szCs w:val="32"/>
        </w:rPr>
        <w:t>%，主要是项目资金支出增加。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年度一般公共预算财政拨款本年收入较201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年初预算增加</w:t>
      </w:r>
      <w:r>
        <w:rPr>
          <w:rFonts w:hint="eastAsia" w:ascii="仿宋_GB2312" w:eastAsia="仿宋_GB2312" w:cs="DengXian-Regular"/>
          <w:sz w:val="32"/>
          <w:szCs w:val="32"/>
          <w:lang w:val="en-US" w:eastAsia="zh-CN"/>
        </w:rPr>
        <w:t>9.58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6.5</w:t>
      </w:r>
      <w:r>
        <w:rPr>
          <w:rFonts w:hint="eastAsia" w:ascii="仿宋_GB2312" w:eastAsia="仿宋_GB2312" w:cs="DengXian-Regular"/>
          <w:sz w:val="32"/>
          <w:szCs w:val="32"/>
        </w:rPr>
        <w:t>%，主要是项目资金追加；本年支出</w:t>
      </w:r>
      <w:r>
        <w:rPr>
          <w:rFonts w:hint="eastAsia" w:ascii="仿宋_GB2312" w:eastAsia="仿宋_GB2312" w:cs="DengXian-Regular"/>
          <w:sz w:val="32"/>
          <w:szCs w:val="32"/>
          <w:lang w:val="en-US" w:eastAsia="zh-CN"/>
        </w:rPr>
        <w:t>增加7.58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5.16</w:t>
      </w:r>
      <w:r>
        <w:rPr>
          <w:rFonts w:hint="eastAsia" w:ascii="仿宋_GB2312" w:eastAsia="仿宋_GB2312" w:cs="DengXian-Regular"/>
          <w:sz w:val="32"/>
          <w:szCs w:val="32"/>
        </w:rPr>
        <w:t>%，主要是项目资金</w:t>
      </w:r>
      <w:r>
        <w:rPr>
          <w:rFonts w:hint="eastAsia" w:ascii="仿宋_GB2312" w:eastAsia="仿宋_GB2312" w:cs="DengXian-Regular"/>
          <w:sz w:val="32"/>
          <w:szCs w:val="32"/>
          <w:lang w:val="en-US" w:eastAsia="zh-CN"/>
        </w:rPr>
        <w:t>支出增大</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年度“三公”经费支出共计</w:t>
      </w:r>
      <w:r>
        <w:rPr>
          <w:rFonts w:hint="eastAsia" w:ascii="仿宋_GB2312" w:eastAsia="仿宋_GB2312" w:cs="DengXian-Regular"/>
          <w:sz w:val="32"/>
          <w:szCs w:val="32"/>
          <w:lang w:val="en-US" w:eastAsia="zh-CN"/>
        </w:rPr>
        <w:t>2.4</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0.51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17.5</w:t>
      </w:r>
      <w:r>
        <w:rPr>
          <w:rFonts w:hint="eastAsia" w:ascii="仿宋_GB2312" w:eastAsia="仿宋_GB2312" w:cs="DengXian-Regular"/>
          <w:sz w:val="32"/>
          <w:szCs w:val="32"/>
        </w:rPr>
        <w:t>%，主要是公务接待费和公车运行维护费减少；较201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年度决算减少</w:t>
      </w:r>
      <w:r>
        <w:rPr>
          <w:rFonts w:hint="eastAsia" w:ascii="仿宋_GB2312" w:eastAsia="仿宋_GB2312" w:cs="DengXian-Regular"/>
          <w:sz w:val="32"/>
          <w:szCs w:val="32"/>
          <w:lang w:val="en-US" w:eastAsia="zh-CN"/>
        </w:rPr>
        <w:t>0.1</w:t>
      </w:r>
      <w:r>
        <w:rPr>
          <w:rFonts w:hint="eastAsia" w:ascii="仿宋_GB2312" w:eastAsia="仿宋_GB2312" w:cs="DengXian-Regular"/>
          <w:sz w:val="32"/>
          <w:szCs w:val="32"/>
        </w:rPr>
        <w:t>万元，降低3%，主要是公务接待费和公车运行维护费减少。具体情况如下：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年度参加其他单位组织的因公出国（境）团组0个、共0人/无本单位组织的出国（境）团组。因公出国（境）费支出较年初预算无增减变化，较201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1.97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年度公务用车购置及运行维护费较年初预算减少</w:t>
      </w:r>
      <w:r>
        <w:rPr>
          <w:rFonts w:hint="eastAsia" w:ascii="仿宋_GB2312" w:eastAsia="仿宋_GB2312" w:cs="DengXian-Regular"/>
          <w:sz w:val="32"/>
          <w:szCs w:val="32"/>
          <w:lang w:val="en-US" w:eastAsia="zh-CN"/>
        </w:rPr>
        <w:t>0.53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21.2</w:t>
      </w:r>
      <w:r>
        <w:rPr>
          <w:rFonts w:hint="eastAsia" w:ascii="仿宋_GB2312" w:eastAsia="仿宋_GB2312" w:cs="DengXian-Regular"/>
          <w:sz w:val="32"/>
          <w:szCs w:val="32"/>
        </w:rPr>
        <w:t>%,主要是运行维护费减少；较201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年度决算减少</w:t>
      </w:r>
      <w:r>
        <w:rPr>
          <w:rFonts w:hint="eastAsia" w:ascii="仿宋_GB2312" w:eastAsia="仿宋_GB2312" w:cs="DengXian-Regular"/>
          <w:sz w:val="32"/>
          <w:szCs w:val="32"/>
          <w:lang w:val="en-US" w:eastAsia="zh-CN"/>
        </w:rPr>
        <w:t>0.53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21.2</w:t>
      </w:r>
      <w:r>
        <w:rPr>
          <w:rFonts w:hint="eastAsia" w:ascii="仿宋_GB2312" w:eastAsia="仿宋_GB2312" w:cs="DengXian-Regular"/>
          <w:sz w:val="32"/>
          <w:szCs w:val="32"/>
        </w:rPr>
        <w:t>%,主要是运行维护费减少。</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年度公务用车购置量0辆，未发生“公务用车购置”经费支出。公务用车购置费支出较年初预算无增减变化；较201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年度单位公务用车保有量1辆。公车运行维护费支出较年初预算减少0.</w:t>
      </w:r>
      <w:r>
        <w:rPr>
          <w:rFonts w:hint="eastAsia" w:ascii="仿宋_GB2312" w:eastAsia="仿宋_GB2312" w:cs="DengXian-Regular"/>
          <w:sz w:val="32"/>
          <w:szCs w:val="32"/>
          <w:lang w:val="en-US" w:eastAsia="zh-CN"/>
        </w:rPr>
        <w:t>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21.2</w:t>
      </w:r>
      <w:r>
        <w:rPr>
          <w:rFonts w:hint="eastAsia" w:ascii="仿宋_GB2312" w:eastAsia="仿宋_GB2312" w:cs="DengXian-Regular"/>
          <w:sz w:val="32"/>
          <w:szCs w:val="32"/>
        </w:rPr>
        <w:t>%,主要是运行维护费减少；较201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年度决算减少</w:t>
      </w:r>
      <w:r>
        <w:rPr>
          <w:rFonts w:hint="eastAsia" w:ascii="仿宋_GB2312" w:eastAsia="仿宋_GB2312" w:cs="DengXian-Regular"/>
          <w:sz w:val="32"/>
          <w:szCs w:val="32"/>
          <w:lang w:val="en-US" w:eastAsia="zh-CN"/>
        </w:rPr>
        <w:t>0.53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21.2</w:t>
      </w:r>
      <w:r>
        <w:rPr>
          <w:rFonts w:hint="eastAsia" w:ascii="仿宋_GB2312" w:eastAsia="仿宋_GB2312" w:cs="DengXian-Regular"/>
          <w:sz w:val="32"/>
          <w:szCs w:val="32"/>
        </w:rPr>
        <w:t>%,主要是运行维护费减少。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w:t>
      </w:r>
      <w:r>
        <w:rPr>
          <w:rFonts w:hint="eastAsia" w:ascii="楷体_GB2312" w:eastAsia="楷体_GB2312" w:cs="DengXian-Bold"/>
          <w:b/>
          <w:bCs/>
          <w:sz w:val="32"/>
          <w:szCs w:val="32"/>
          <w:lang w:val="en-US" w:eastAsia="zh-CN"/>
        </w:rPr>
        <w:t>.43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年度公务接待费支出较年初预算</w:t>
      </w:r>
      <w:r>
        <w:rPr>
          <w:rFonts w:hint="eastAsia" w:ascii="仿宋_GB2312" w:eastAsia="仿宋_GB2312" w:cs="DengXian-Regular"/>
          <w:sz w:val="32"/>
          <w:szCs w:val="32"/>
          <w:lang w:val="en-US" w:eastAsia="zh-CN"/>
        </w:rPr>
        <w:t>增加了</w:t>
      </w:r>
      <w:r>
        <w:rPr>
          <w:rFonts w:hint="eastAsia" w:ascii="仿宋_GB2312" w:eastAsia="仿宋_GB2312" w:cs="DengXian-Regular"/>
          <w:sz w:val="32"/>
          <w:szCs w:val="32"/>
        </w:rPr>
        <w:t>0.</w:t>
      </w:r>
      <w:r>
        <w:rPr>
          <w:rFonts w:hint="eastAsia" w:ascii="仿宋_GB2312" w:eastAsia="仿宋_GB2312" w:cs="DengXian-Regular"/>
          <w:sz w:val="32"/>
          <w:szCs w:val="32"/>
          <w:lang w:val="en-US" w:eastAsia="zh-CN"/>
        </w:rPr>
        <w:t>02</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增加5</w:t>
      </w:r>
      <w:r>
        <w:rPr>
          <w:rFonts w:hint="eastAsia" w:ascii="仿宋_GB2312" w:eastAsia="仿宋_GB2312" w:cs="DengXian-Regular"/>
          <w:sz w:val="32"/>
          <w:szCs w:val="32"/>
        </w:rPr>
        <w:t>%,主要是支出</w:t>
      </w:r>
      <w:r>
        <w:rPr>
          <w:rFonts w:hint="eastAsia" w:ascii="仿宋_GB2312" w:eastAsia="仿宋_GB2312" w:cs="DengXian-Regular"/>
          <w:sz w:val="32"/>
          <w:szCs w:val="32"/>
          <w:lang w:val="en-US" w:eastAsia="zh-CN"/>
        </w:rPr>
        <w:t>增大</w:t>
      </w:r>
      <w:r>
        <w:rPr>
          <w:rFonts w:hint="eastAsia" w:ascii="仿宋_GB2312" w:eastAsia="仿宋_GB2312" w:cs="DengXian-Regular"/>
          <w:sz w:val="32"/>
          <w:szCs w:val="32"/>
        </w:rPr>
        <w:t>；较201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年度决算</w:t>
      </w:r>
      <w:r>
        <w:rPr>
          <w:rFonts w:hint="eastAsia" w:ascii="仿宋_GB2312" w:eastAsia="仿宋_GB2312" w:cs="DengXian-Regular"/>
          <w:sz w:val="32"/>
          <w:szCs w:val="32"/>
          <w:lang w:val="en-US" w:eastAsia="zh-CN"/>
        </w:rPr>
        <w:t>增加了</w:t>
      </w:r>
      <w:r>
        <w:rPr>
          <w:rFonts w:hint="eastAsia" w:ascii="仿宋_GB2312" w:eastAsia="仿宋_GB2312" w:cs="DengXian-Regular"/>
          <w:sz w:val="32"/>
          <w:szCs w:val="32"/>
        </w:rPr>
        <w:t>0.</w:t>
      </w:r>
      <w:r>
        <w:rPr>
          <w:rFonts w:hint="eastAsia" w:ascii="仿宋_GB2312" w:eastAsia="仿宋_GB2312" w:cs="DengXian-Regular"/>
          <w:sz w:val="32"/>
          <w:szCs w:val="32"/>
          <w:lang w:val="en-US" w:eastAsia="zh-CN"/>
        </w:rPr>
        <w:t>02</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增加5</w:t>
      </w:r>
      <w:r>
        <w:rPr>
          <w:rFonts w:hint="eastAsia" w:ascii="仿宋_GB2312" w:eastAsia="仿宋_GB2312" w:cs="DengXian-Regular"/>
          <w:sz w:val="32"/>
          <w:szCs w:val="32"/>
        </w:rPr>
        <w:t>%,主要是支出</w:t>
      </w:r>
      <w:r>
        <w:rPr>
          <w:rFonts w:hint="eastAsia" w:ascii="仿宋_GB2312" w:eastAsia="仿宋_GB2312" w:cs="DengXian-Regular"/>
          <w:sz w:val="32"/>
          <w:szCs w:val="32"/>
          <w:lang w:val="en-US" w:eastAsia="zh-CN"/>
        </w:rPr>
        <w:t>增大</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ind w:firstLine="720" w:firstLineChars="225"/>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无</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720" w:firstLineChars="225"/>
      </w:pPr>
      <w:r>
        <w:rPr>
          <w:rFonts w:hint="eastAsia" w:ascii="仿宋_GB2312" w:eastAsia="仿宋_GB2312" w:cs="DengXian-Regular"/>
          <w:sz w:val="32"/>
          <w:szCs w:val="32"/>
        </w:rPr>
        <w:t>    </w:t>
      </w:r>
      <w:r>
        <w:rPr>
          <w:rFonts w:hint="eastAsia" w:ascii="仿宋_GB2312" w:eastAsia="仿宋_GB2312" w:cs="DengXian-Regular"/>
          <w:sz w:val="32"/>
          <w:szCs w:val="32"/>
          <w:lang w:val="en-US" w:eastAsia="zh-CN"/>
        </w:rPr>
        <w:t>无</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adjustRightInd w:val="0"/>
        <w:snapToGrid w:val="0"/>
        <w:spacing w:after="0" w:line="560" w:lineRule="exact"/>
        <w:ind w:firstLine="643" w:firstLineChars="200"/>
        <w:rPr>
          <w:rFonts w:ascii="楷体_GB2312" w:eastAsia="楷体_GB2312" w:cs="DengXian-Bold"/>
          <w:b/>
          <w:sz w:val="32"/>
          <w:szCs w:val="32"/>
        </w:rPr>
      </w:pPr>
      <w:r>
        <w:rPr>
          <w:rFonts w:hint="eastAsia" w:ascii="楷体_GB2312" w:eastAsia="楷体_GB2312" w:cs="DengXian-Bold"/>
          <w:b/>
          <w:sz w:val="32"/>
          <w:szCs w:val="32"/>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年度机关运行经费支出</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万元，比201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年度减少</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万元，减少</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%。主要原因是今年事业单位</w:t>
      </w:r>
      <w:r>
        <w:rPr>
          <w:rFonts w:hint="eastAsia" w:ascii="仿宋_GB2312" w:eastAsia="仿宋_GB2312" w:cs="DengXian-Regular"/>
          <w:sz w:val="32"/>
          <w:szCs w:val="32"/>
          <w:lang w:val="en-US" w:eastAsia="zh-CN"/>
        </w:rPr>
        <w:t>减少</w:t>
      </w:r>
      <w:r>
        <w:rPr>
          <w:rFonts w:hint="eastAsia" w:ascii="仿宋_GB2312" w:eastAsia="仿宋_GB2312" w:cs="DengXian-Regular"/>
          <w:sz w:val="32"/>
          <w:szCs w:val="32"/>
        </w:rPr>
        <w:t>机关运行经费，列支商品和服务支出</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万元，去年列到机关运行经费所致。</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pStyle w:val="4"/>
        <w:spacing w:before="0" w:after="0" w:line="560" w:lineRule="exact"/>
        <w:ind w:firstLine="640" w:firstLineChars="200"/>
        <w:rPr>
          <w:rFonts w:ascii="仿宋_GB2312" w:eastAsia="仿宋_GB2312" w:cs="DengXian-Regular"/>
          <w:b w:val="0"/>
          <w:bCs w:val="0"/>
        </w:rPr>
      </w:pPr>
      <w:r>
        <w:rPr>
          <w:rFonts w:hint="eastAsia" w:ascii="仿宋_GB2312" w:eastAsia="仿宋_GB2312" w:cs="DengXian-Regular"/>
          <w:b w:val="0"/>
          <w:bCs w:val="0"/>
          <w:lang w:val="en-US" w:eastAsia="zh-CN"/>
        </w:rPr>
        <w:t>无</w:t>
      </w:r>
      <w:r>
        <w:rPr>
          <w:rFonts w:hint="eastAsia" w:ascii="仿宋_GB2312" w:eastAsia="仿宋_GB2312" w:cs="DengXian-Regular"/>
          <w:b w:val="0"/>
          <w:bCs w:val="0"/>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年12月31日，本部门共有车辆1辆，其中，一般公务用车1辆；单位价值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年度政府性基金预算财政拨款和国有资本经营预算财政拨款无收支及结转结余情况，故政府性基金预算财政拨款收入支出决算表（公开07表）和国有资本经营预算财政拨款收入支出决算表（公开08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w:t>
      </w:r>
      <w:bookmarkStart w:id="0" w:name="_GoBack"/>
      <w:bookmarkEnd w:id="0"/>
      <w:r>
        <w:rPr>
          <w:rFonts w:hint="eastAsia" w:ascii="仿宋_GB2312" w:hAnsi="宋体" w:eastAsia="仿宋_GB2312"/>
          <w:color w:val="000000"/>
          <w:kern w:val="0"/>
          <w:sz w:val="32"/>
          <w:szCs w:val="32"/>
        </w:rPr>
        <w:t>（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singleLevel"/>
    <w:tmpl w:val="00000007"/>
    <w:lvl w:ilvl="0" w:tentative="0">
      <w:start w:val="6"/>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7318"/>
    <w:rsid w:val="00094FD0"/>
    <w:rsid w:val="00295687"/>
    <w:rsid w:val="004D11DD"/>
    <w:rsid w:val="00977318"/>
    <w:rsid w:val="00D36DFC"/>
    <w:rsid w:val="00F609CD"/>
    <w:rsid w:val="3E615C66"/>
    <w:rsid w:val="5F2D164B"/>
    <w:rsid w:val="762A6BB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uiPriority w:val="0"/>
    <w:pPr>
      <w:keepNext/>
      <w:keepLines/>
      <w:spacing w:before="260" w:after="260" w:line="416" w:lineRule="auto"/>
      <w:outlineLvl w:val="2"/>
    </w:pPr>
    <w:rPr>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uiPriority w:val="0"/>
    <w:rPr>
      <w:rFonts w:ascii="Calibri" w:hAnsi="Calibri" w:eastAsia="宋体" w:cs="黑体"/>
      <w:b/>
      <w:bCs/>
      <w:sz w:val="28"/>
      <w:szCs w:val="28"/>
    </w:rPr>
  </w:style>
  <w:style w:type="paragraph" w:customStyle="1" w:styleId="16">
    <w:name w:val="批注框文本1"/>
    <w:basedOn w:val="1"/>
    <w:link w:val="17"/>
    <w:uiPriority w:val="0"/>
    <w:rPr>
      <w:sz w:val="18"/>
      <w:szCs w:val="18"/>
    </w:rPr>
  </w:style>
  <w:style w:type="character" w:customStyle="1" w:styleId="17">
    <w:name w:val="批注框文本 Char"/>
    <w:basedOn w:val="11"/>
    <w:link w:val="16"/>
    <w:semiHidden/>
    <w:uiPriority w:val="0"/>
    <w:rPr>
      <w:rFonts w:ascii="Times New Roman" w:hAnsi="Times New Roman" w:eastAsia="宋体" w:cs="Times New Roman"/>
      <w:sz w:val="18"/>
      <w:szCs w:val="18"/>
    </w:rPr>
  </w:style>
  <w:style w:type="character" w:customStyle="1" w:styleId="18">
    <w:name w:val="页脚 Char"/>
    <w:basedOn w:val="11"/>
    <w:link w:val="6"/>
    <w:semiHidden/>
    <w:uiPriority w:val="0"/>
    <w:rPr>
      <w:sz w:val="18"/>
      <w:szCs w:val="18"/>
    </w:rPr>
  </w:style>
  <w:style w:type="character" w:customStyle="1" w:styleId="19">
    <w:name w:val="页眉 Char"/>
    <w:basedOn w:val="11"/>
    <w:link w:val="7"/>
    <w:semiHidden/>
    <w:qFormat/>
    <w:uiPriority w:val="0"/>
    <w:rPr>
      <w:sz w:val="18"/>
      <w:szCs w:val="18"/>
    </w:rPr>
  </w:style>
  <w:style w:type="character" w:customStyle="1" w:styleId="20">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2">
    <w:name w:val="无间隔1"/>
    <w:link w:val="24"/>
    <w:qFormat/>
    <w:uiPriority w:val="0"/>
    <w:pPr>
      <w:spacing w:after="160" w:line="480" w:lineRule="auto"/>
    </w:pPr>
    <w:rPr>
      <w:rFonts w:ascii="Times New Roman" w:hAnsi="Times New Roman" w:eastAsia="宋体" w:cs="Times New Roman"/>
      <w:sz w:val="22"/>
      <w:lang w:val="en-US" w:eastAsia="zh-CN" w:bidi="ar-SA"/>
    </w:rPr>
  </w:style>
  <w:style w:type="paragraph" w:customStyle="1" w:styleId="23">
    <w:name w:val="列出段落1"/>
    <w:basedOn w:val="1"/>
    <w:qFormat/>
    <w:uiPriority w:val="0"/>
    <w:pPr>
      <w:ind w:firstLine="420" w:firstLineChars="200"/>
    </w:pPr>
    <w:rPr>
      <w:rFonts w:ascii="Calibri" w:hAnsi="Calibri"/>
      <w:szCs w:val="22"/>
    </w:rPr>
  </w:style>
  <w:style w:type="character" w:customStyle="1" w:styleId="24">
    <w:name w:val="无间隔 Char"/>
    <w:basedOn w:val="11"/>
    <w:link w:val="22"/>
    <w:qFormat/>
    <w:uiPriority w:val="0"/>
    <w:rPr>
      <w:sz w:val="22"/>
      <w:lang w:val="en-US" w:eastAsia="zh-CN" w:bidi="ar-SA"/>
    </w:rPr>
  </w:style>
  <w:style w:type="character" w:customStyle="1" w:styleId="25">
    <w:name w:val="Style1"/>
    <w:basedOn w:val="11"/>
    <w:qFormat/>
    <w:uiPriority w:val="0"/>
    <w:rPr>
      <w:rFonts w:ascii="Cambria" w:hAnsi="黑体" w:eastAsia="黑体" w:cs="黑体"/>
      <w:sz w:val="22"/>
      <w:szCs w:val="22"/>
      <w:lang w:eastAsia="zh-CN"/>
    </w:rPr>
  </w:style>
  <w:style w:type="character" w:customStyle="1" w:styleId="26">
    <w:name w:val="Style2"/>
    <w:basedOn w:val="11"/>
    <w:qFormat/>
    <w:uiPriority w:val="0"/>
    <w:rPr>
      <w:rFonts w:ascii="Cambria" w:hAnsi="黑体" w:eastAsia="黑体" w:cs="黑体"/>
      <w:sz w:val="22"/>
      <w:szCs w:val="22"/>
      <w:lang w:eastAsia="zh-CN"/>
    </w:rPr>
  </w:style>
  <w:style w:type="character" w:customStyle="1" w:styleId="27">
    <w:name w:val="Style3"/>
    <w:basedOn w:val="11"/>
    <w:qFormat/>
    <w:uiPriority w:val="0"/>
    <w:rPr>
      <w:rFonts w:ascii="Cambria" w:hAnsi="黑体" w:eastAsia="黑体" w:cs="黑体"/>
      <w:szCs w:val="22"/>
      <w:lang w:eastAsia="zh-CN"/>
    </w:rPr>
  </w:style>
  <w:style w:type="character" w:customStyle="1" w:styleId="28">
    <w:name w:val="Style4"/>
    <w:basedOn w:val="11"/>
    <w:qFormat/>
    <w:uiPriority w:val="0"/>
    <w:rPr>
      <w:rFonts w:ascii="Cambria" w:hAnsi="黑体" w:eastAsia="黑体" w:cs="黑体"/>
      <w:szCs w:val="22"/>
      <w:lang w:eastAsia="zh-CN"/>
    </w:rPr>
  </w:style>
  <w:style w:type="character" w:customStyle="1" w:styleId="29">
    <w:name w:val="Style5"/>
    <w:basedOn w:val="11"/>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13</Pages>
  <Words>652</Words>
  <Characters>3721</Characters>
  <Lines>31</Lines>
  <Paragraphs>8</Paragraphs>
  <TotalTime>5</TotalTime>
  <ScaleCrop>false</ScaleCrop>
  <LinksUpToDate>false</LinksUpToDate>
  <CharactersWithSpaces>4365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2019-01-18T16:33:00Z</dcterms:created>
  <dc:creator>User</dc:creator>
  <cp:lastModifiedBy>Administrator</cp:lastModifiedBy>
  <dcterms:modified xsi:type="dcterms:W3CDTF">2024-06-21T01:19:25Z</dcterms:modified>
  <dc:subject>石家庄市xxx部门</dc:subject>
  <dc:title>2017年度部门决算</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43589CEBF6F048CB8C9A8EB023A2C0FD</vt:lpwstr>
  </property>
</Properties>
</file>