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D3213E">
      <w:pPr>
        <w:jc w:val="both"/>
        <w:rPr>
          <w:rFonts w:hint="eastAsia" w:ascii="宋体" w:hAnsi="宋体" w:eastAsia="宋体" w:cs="宋体"/>
          <w:sz w:val="24"/>
          <w:szCs w:val="24"/>
          <w:lang w:val="en-US" w:eastAsia="zh-CN"/>
        </w:rPr>
      </w:pPr>
    </w:p>
    <w:p w14:paraId="27C53127">
      <w:pPr>
        <w:jc w:val="both"/>
        <w:rPr>
          <w:rFonts w:hint="eastAsia" w:ascii="宋体" w:hAnsi="宋体" w:eastAsia="宋体" w:cs="宋体"/>
          <w:sz w:val="24"/>
          <w:szCs w:val="24"/>
          <w:lang w:val="en-US" w:eastAsia="zh-CN"/>
        </w:rPr>
      </w:pPr>
    </w:p>
    <w:p w14:paraId="42513A5D">
      <w:pPr>
        <w:jc w:val="both"/>
        <w:rPr>
          <w:rFonts w:hint="eastAsia" w:ascii="宋体" w:hAnsi="宋体" w:eastAsia="宋体" w:cs="宋体"/>
          <w:sz w:val="24"/>
          <w:szCs w:val="24"/>
          <w:lang w:val="en-US" w:eastAsia="zh-CN"/>
        </w:rPr>
      </w:pPr>
    </w:p>
    <w:p w14:paraId="36ADB372">
      <w:pPr>
        <w:jc w:val="both"/>
        <w:rPr>
          <w:rFonts w:hint="eastAsia" w:ascii="宋体" w:hAnsi="宋体" w:eastAsia="宋体" w:cs="宋体"/>
          <w:sz w:val="24"/>
          <w:szCs w:val="24"/>
          <w:lang w:val="en-US" w:eastAsia="zh-CN"/>
        </w:rPr>
      </w:pPr>
    </w:p>
    <w:p w14:paraId="5977E13B">
      <w:pPr>
        <w:jc w:val="both"/>
        <w:rPr>
          <w:rFonts w:hint="eastAsia" w:ascii="宋体" w:hAnsi="宋体" w:eastAsia="宋体" w:cs="宋体"/>
          <w:sz w:val="24"/>
          <w:szCs w:val="24"/>
          <w:lang w:val="en-US" w:eastAsia="zh-CN"/>
        </w:rPr>
      </w:pPr>
    </w:p>
    <w:p w14:paraId="33685C66">
      <w:pPr>
        <w:jc w:val="right"/>
        <w:rPr>
          <w:rFonts w:hint="eastAsia" w:ascii="仿宋_GB2312" w:hAnsi="仿宋_GB2312" w:eastAsia="仿宋_GB2312" w:cs="仿宋_GB2312"/>
          <w:b/>
          <w:bCs/>
          <w:sz w:val="32"/>
          <w:szCs w:val="32"/>
          <w:lang w:val="en-US" w:eastAsia="zh-CN"/>
        </w:rPr>
      </w:pPr>
      <w:r>
        <w:rPr>
          <w:rFonts w:hint="eastAsia" w:ascii="宋体" w:hAnsi="宋体" w:eastAsia="宋体" w:cs="宋体"/>
          <w:sz w:val="24"/>
          <w:szCs w:val="24"/>
          <w:lang w:val="en-US" w:eastAsia="zh-CN"/>
        </w:rPr>
        <w:t xml:space="preserve">                                </w:t>
      </w:r>
      <w:r>
        <w:rPr>
          <w:rFonts w:hint="eastAsia" w:ascii="仿宋_GB2312" w:hAnsi="仿宋_GB2312" w:eastAsia="仿宋_GB2312" w:cs="仿宋_GB2312"/>
          <w:sz w:val="32"/>
          <w:szCs w:val="32"/>
        </w:rPr>
        <w:t>无</w:t>
      </w:r>
      <w:r>
        <w:rPr>
          <w:rFonts w:hint="eastAsia" w:ascii="仿宋_GB2312" w:hAnsi="仿宋_GB2312" w:eastAsia="仿宋_GB2312" w:cs="仿宋_GB2312"/>
          <w:sz w:val="32"/>
          <w:szCs w:val="32"/>
          <w:lang w:val="en-US" w:eastAsia="zh-CN"/>
        </w:rPr>
        <w:t>数政委经开</w:t>
      </w:r>
      <w:r>
        <w:rPr>
          <w:rFonts w:hint="eastAsia" w:ascii="仿宋_GB2312" w:hAnsi="仿宋_GB2312" w:eastAsia="仿宋_GB2312" w:cs="仿宋_GB2312"/>
          <w:sz w:val="32"/>
          <w:szCs w:val="32"/>
        </w:rPr>
        <w:t>环批〔202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号</w:t>
      </w:r>
    </w:p>
    <w:p w14:paraId="11EE1215">
      <w:pPr>
        <w:jc w:val="center"/>
        <w:rPr>
          <w:rFonts w:hint="eastAsia" w:eastAsia="宋体" w:cs="宋体" w:asciiTheme="minorAscii" w:hAnsiTheme="minorAscii"/>
          <w:b/>
          <w:bCs/>
          <w:sz w:val="44"/>
          <w:szCs w:val="44"/>
          <w:lang w:val="en-US" w:eastAsia="zh-CN"/>
        </w:rPr>
      </w:pPr>
    </w:p>
    <w:p w14:paraId="014AF235">
      <w:pPr>
        <w:jc w:val="center"/>
        <w:rPr>
          <w:rFonts w:hint="eastAsia" w:eastAsia="宋体" w:cs="宋体" w:asciiTheme="minorAscii" w:hAnsiTheme="minorAscii"/>
          <w:b/>
          <w:bCs/>
          <w:sz w:val="44"/>
          <w:szCs w:val="44"/>
          <w:lang w:val="en-US" w:eastAsia="zh-CN"/>
        </w:rPr>
      </w:pPr>
      <w:r>
        <w:rPr>
          <w:rFonts w:hint="eastAsia" w:eastAsia="宋体" w:cs="宋体" w:asciiTheme="minorAscii" w:hAnsiTheme="minorAscii"/>
          <w:b/>
          <w:bCs/>
          <w:sz w:val="44"/>
          <w:szCs w:val="44"/>
          <w:lang w:val="en-US" w:eastAsia="zh-CN"/>
        </w:rPr>
        <w:t>河北无极经济开发区管委会</w:t>
      </w:r>
    </w:p>
    <w:p w14:paraId="1957A006">
      <w:pPr>
        <w:jc w:val="center"/>
        <w:rPr>
          <w:rFonts w:hint="default" w:eastAsia="宋体" w:cs="宋体" w:asciiTheme="minorAscii" w:hAnsiTheme="minorAscii"/>
          <w:b/>
          <w:bCs/>
          <w:sz w:val="44"/>
          <w:szCs w:val="44"/>
        </w:rPr>
      </w:pPr>
      <w:r>
        <w:rPr>
          <w:rFonts w:hint="default" w:eastAsia="宋体" w:cs="宋体" w:asciiTheme="minorAscii" w:hAnsiTheme="minorAscii"/>
          <w:b/>
          <w:bCs/>
          <w:sz w:val="44"/>
          <w:szCs w:val="44"/>
        </w:rPr>
        <w:t>关于</w:t>
      </w:r>
      <w:r>
        <w:rPr>
          <w:rFonts w:hint="default" w:eastAsia="宋体" w:cs="宋体" w:asciiTheme="minorAscii" w:hAnsiTheme="minorAscii"/>
          <w:b/>
          <w:bCs/>
          <w:sz w:val="44"/>
          <w:szCs w:val="44"/>
          <w:lang w:val="en-US" w:eastAsia="zh-CN"/>
        </w:rPr>
        <w:t>无极县经投投资有限公司皮革后整扩建项目</w:t>
      </w:r>
      <w:r>
        <w:rPr>
          <w:rFonts w:hint="default" w:eastAsia="宋体" w:cs="宋体" w:asciiTheme="minorAscii" w:hAnsiTheme="minorAscii"/>
          <w:b/>
          <w:bCs/>
          <w:sz w:val="44"/>
          <w:szCs w:val="44"/>
        </w:rPr>
        <w:t>环境影响报告表的批复意见</w:t>
      </w:r>
    </w:p>
    <w:p w14:paraId="4786F63D">
      <w:pPr>
        <w:jc w:val="center"/>
        <w:rPr>
          <w:rFonts w:hint="default" w:eastAsia="宋体" w:cs="宋体" w:asciiTheme="minorAscii" w:hAnsiTheme="minorAscii"/>
          <w:b/>
          <w:bCs/>
          <w:sz w:val="44"/>
          <w:szCs w:val="44"/>
        </w:rPr>
      </w:pPr>
    </w:p>
    <w:p w14:paraId="62C1229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河北慕澜门窗科技有限公司</w:t>
      </w:r>
      <w:r>
        <w:rPr>
          <w:rFonts w:hint="eastAsia" w:ascii="仿宋_GB2312" w:hAnsi="仿宋_GB2312" w:eastAsia="仿宋_GB2312" w:cs="仿宋_GB2312"/>
          <w:sz w:val="32"/>
          <w:szCs w:val="32"/>
        </w:rPr>
        <w:t xml:space="preserve">： </w:t>
      </w:r>
    </w:p>
    <w:p w14:paraId="26948F3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你单位所报《</w:t>
      </w:r>
      <w:r>
        <w:rPr>
          <w:rFonts w:hint="eastAsia" w:ascii="仿宋_GB2312" w:hAnsi="仿宋_GB2312" w:eastAsia="仿宋_GB2312" w:cs="仿宋_GB2312"/>
          <w:sz w:val="32"/>
          <w:szCs w:val="32"/>
          <w:lang w:val="en-US" w:eastAsia="zh-CN"/>
        </w:rPr>
        <w:t>无极县经投投资有限公司皮革后整扩建项目</w:t>
      </w:r>
      <w:r>
        <w:rPr>
          <w:rFonts w:hint="eastAsia" w:ascii="仿宋_GB2312" w:hAnsi="仿宋_GB2312" w:eastAsia="仿宋_GB2312" w:cs="仿宋_GB2312"/>
          <w:sz w:val="32"/>
          <w:szCs w:val="32"/>
        </w:rPr>
        <w:t>环境影响报告表》（以下简称报告表）及有关材料收悉。</w:t>
      </w:r>
      <w:r>
        <w:rPr>
          <w:rFonts w:hint="eastAsia" w:ascii="仿宋_GB2312" w:hAnsi="仿宋_GB2312" w:eastAsia="仿宋_GB2312" w:cs="仿宋_GB2312"/>
          <w:sz w:val="32"/>
          <w:szCs w:val="32"/>
          <w:u w:val="none"/>
        </w:rPr>
        <w:t>经研究</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rPr>
        <w:t>同意该项目按照环境影响报告表中所列内容进行建设，现批复如下：</w:t>
      </w:r>
    </w:p>
    <w:p w14:paraId="13768766">
      <w:pPr>
        <w:keepNext w:val="0"/>
        <w:keepLines w:val="0"/>
        <w:pageBreakBefore w:val="0"/>
        <w:widowControl w:val="0"/>
        <w:numPr>
          <w:ilvl w:val="0"/>
          <w:numId w:val="2"/>
        </w:numPr>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项目位于河北省石家庄市无极县河北无极经济开发区南区，企业中心坐标为N38°7′50.587″，E114°59′16.458″。厂区东侧为无极县鑫光热力有限公司，南侧隔园区道路为空地（规划企业用地），西侧自北向南依次为无极县瑞德富皮革制品有限责任公司、无极九洲皮革有限公司及无极轩迪皮革有限公司，北侧隔园区道路自西向东分别为会展中心、无极县经投投资有限公司B区。项目在无极县皮革后整循环经济产业基地现有厂房内进行扩建，主要包括喷浆机、辊涂机、摔软转鼓、熨平机、绷板机、量革机、磨革机、打小样设备、墩光机、淋幕机、伸展机、挂胶机等生产设备，同时配套建设废气处理设施，废水处理设施依托现有无极县经投投资有限公司皮革后整项目。项目建成后，年新增皮革后整处理能力为70万张标牛皮。</w:t>
      </w:r>
    </w:p>
    <w:p w14:paraId="23BA359E">
      <w:pPr>
        <w:keepNext w:val="0"/>
        <w:keepLines w:val="0"/>
        <w:pageBreakBefore w:val="0"/>
        <w:widowControl w:val="0"/>
        <w:numPr>
          <w:ilvl w:val="0"/>
          <w:numId w:val="2"/>
        </w:numPr>
        <w:kinsoku/>
        <w:wordWrap/>
        <w:overflowPunct/>
        <w:topLinePunct w:val="0"/>
        <w:autoSpaceDE/>
        <w:autoSpaceDN/>
        <w:bidi w:val="0"/>
        <w:adjustRightInd/>
        <w:snapToGrid/>
        <w:spacing w:line="5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二、建设单位要认真落实环境影响报告表规定的各项污染防治措施，确保各种污染物稳定达标排放。</w:t>
      </w:r>
    </w:p>
    <w:p w14:paraId="0D42B0F2">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楷体" w:hAnsi="楷体" w:eastAsia="楷体" w:cs="楷体"/>
          <w:sz w:val="32"/>
          <w:szCs w:val="32"/>
        </w:rPr>
      </w:pPr>
      <w:r>
        <w:rPr>
          <w:rFonts w:hint="eastAsia" w:ascii="楷体" w:hAnsi="楷体" w:eastAsia="楷体" w:cs="楷体"/>
          <w:sz w:val="32"/>
          <w:szCs w:val="32"/>
        </w:rPr>
        <w:t>（一）废水治理措施</w:t>
      </w:r>
    </w:p>
    <w:p w14:paraId="26438B72">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项目废水主要为生产废水。生产废水包括喷淋塔洗涤废水、设备清洗废水、车间冲洗废水、淋幕水洗废水、浸泡废水和挤出废水。喷淋塔洗涤废水、设备清洗废水、车间冲洗废水排至厂区现有污水处理站处理达标后外排无极县制革废水集中处理厂。淋幕水洗废水、浸泡废水和挤出废</w:t>
      </w:r>
      <w:r>
        <w:rPr>
          <w:rFonts w:hint="eastAsia" w:ascii="仿宋_GB2312" w:hAnsi="仿宋_GB2312" w:eastAsia="仿宋_GB2312" w:cs="仿宋_GB2312"/>
          <w:sz w:val="32"/>
          <w:szCs w:val="32"/>
          <w:lang w:val="en-US" w:eastAsia="zh-CN"/>
        </w:rPr>
        <w:t>水经管道收集进入储存罐暂存，每15天清运一次，由无极县天长化工有限公司进行回收处理。项目不新增生活污水。</w:t>
      </w:r>
    </w:p>
    <w:p w14:paraId="20CAB184">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黑体" w:hAnsi="黑体" w:eastAsia="黑体" w:cs="黑体"/>
          <w:sz w:val="32"/>
          <w:szCs w:val="32"/>
          <w:highlight w:val="none"/>
        </w:rPr>
      </w:pPr>
      <w:r>
        <w:rPr>
          <w:rFonts w:hint="eastAsia" w:ascii="楷体" w:hAnsi="楷体" w:eastAsia="楷体" w:cs="楷体"/>
          <w:sz w:val="32"/>
          <w:szCs w:val="32"/>
          <w:highlight w:val="none"/>
        </w:rPr>
        <w:t>（二）废气治理措施</w:t>
      </w:r>
    </w:p>
    <w:p w14:paraId="5CB05D9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扩建项目有组织废气主要包含磨革废气，喷浆（含干燥）、辊涂（含干燥）、打小样、化料工序废气，配料、挂胶、烫平、淋幕工序废气。无组织废气主要包含摔软和振软工序无组织粉尘和排气筒未收集的废气。</w:t>
      </w:r>
    </w:p>
    <w:p w14:paraId="2A986B1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1.有组织废气</w:t>
      </w:r>
    </w:p>
    <w:p w14:paraId="43CDD6F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项目有组织废气主要为磨革、喷浆（含干燥）、辊涂（含干燥）、打小样、化料工序废气，配料、挂胶、烫平、淋幕工序废气，污染物主要为非甲烷总烃、颗粒物、甲苯及二甲苯，其中磨革工序产生的颗粒物通过各厂房集气罩收集，经各磨革机布袋除尘器处理后，分别经1根22m高排气筒DA043、DA044排放。喷浆（含干燥）、辊涂（含干燥）、打小样、化料等工序有组织废气经一级喷淋塔处理后（机器自带），采用“水喷淋塔+除湿（水气分离装置）+二级活性炭吸附+22m排气筒DA045、DA046”处理后排放；配料、挂胶、烫平、淋幕工序上方设置集气罩经1套活性炭吸附+催化燃烧装置（处理效率为90%），处理后由1根22m高排气筒DA047排放。</w:t>
      </w:r>
    </w:p>
    <w:p w14:paraId="2CC49D6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有组织非甲烷总烃、苯、甲苯及二甲苯排放均满足《工业企业挥发性有机物排放控制标准》（DB13/2322-2016）表1大气污染物排放限值（其他行业）。颗粒物排放执行《大气污染物综合排放标准》（GB16297-1996）表2新污染源大气污染物颗粒物排放标准。</w:t>
      </w:r>
    </w:p>
    <w:p w14:paraId="265146F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2.无组织废气</w:t>
      </w:r>
    </w:p>
    <w:p w14:paraId="037CC1B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项目摔软工序产生少量粉尘，摔软转鼓设备自带除尘滤袋，车间无组织排放，未被排气筒收集的废气无组织排放。</w:t>
      </w:r>
    </w:p>
    <w:p w14:paraId="18EFC67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无组织厂界非甲烷总烃无组织排放执行《工业企业挥发性有机物排放控制标准》（DB13/2322-2016）表2其他企业边界大气污染物浓度限值及《挥发性有机物无组织排放控制标准》（GB37822-2019）表A.1限值；颗粒物排放执行《大气污染物综合排放标准》（GB16297-1996）表2新污染源大气污染物排放限值无组织排放监控浓度限值</w:t>
      </w:r>
    </w:p>
    <w:p w14:paraId="35E7A15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（三）噪声治理措施</w:t>
      </w:r>
    </w:p>
    <w:p w14:paraId="1411CA9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本项目运营期厂界噪声执行《工业企业厂界环境噪声排放标准》（GB12348-2008）表1中3类标准，即昼间≤65dB(A)，夜间≤55dB(A)。</w:t>
      </w:r>
    </w:p>
    <w:p w14:paraId="41A34E5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（四）固废治理措施</w:t>
      </w:r>
    </w:p>
    <w:p w14:paraId="4155323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一般固体废物执行《一般工业固体废物贮存和填埋污染控制标准》（GB18599-2020）要求；危险废物贮存执行《危险废物贮存污染控制标准》（GB18597-2023）要求。</w:t>
      </w:r>
    </w:p>
    <w:p w14:paraId="24E630A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微软雅黑 Light" w:hAnsi="微软雅黑 Light" w:eastAsia="微软雅黑 Light" w:cs="微软雅黑 Light"/>
          <w:sz w:val="28"/>
          <w:szCs w:val="28"/>
        </w:rPr>
      </w:pPr>
      <w:r>
        <w:rPr>
          <w:rFonts w:hint="eastAsia" w:ascii="黑体" w:hAnsi="黑体" w:eastAsia="黑体" w:cs="黑体"/>
          <w:b/>
          <w:bCs/>
          <w:sz w:val="32"/>
          <w:szCs w:val="32"/>
          <w:lang w:val="en-US" w:eastAsia="zh-CN"/>
        </w:rPr>
        <w:t>三、</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本项目环评文件经批准后，建设单位必须认真按照报告表中所列建设内容、平面布局、建设规模、污染防治措施进行建设，不得擅自改变。如果建设项目的性质、规模、地点、采用的生产工艺或者防止污染、防止生态破坏的措施发生重大变动的，建设单位应当重新报批环评文件。</w:t>
      </w:r>
      <w:r>
        <w:rPr>
          <w:rFonts w:hint="eastAsia" w:ascii="微软雅黑 Light" w:hAnsi="微软雅黑 Light" w:eastAsia="微软雅黑 Light" w:cs="微软雅黑 Light"/>
          <w:sz w:val="28"/>
          <w:szCs w:val="28"/>
        </w:rPr>
        <w:t xml:space="preserve"> </w:t>
      </w:r>
    </w:p>
    <w:p w14:paraId="4C73275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黑体" w:hAnsi="黑体" w:eastAsia="黑体" w:cs="黑体"/>
          <w:sz w:val="32"/>
          <w:szCs w:val="32"/>
          <w:lang w:val="en-US" w:eastAsia="zh-CN"/>
        </w:rPr>
        <w:t>四</w:t>
      </w:r>
      <w:r>
        <w:rPr>
          <w:rFonts w:hint="eastAsia" w:ascii="黑体" w:hAnsi="黑体" w:eastAsia="黑体" w:cs="黑体"/>
          <w:sz w:val="32"/>
          <w:szCs w:val="32"/>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项目建设应严格执行“三同时”管理制度，项目建成投产（投入使用）前，应当办理排污许可手续，并按照规定完成环境 保护验收。</w:t>
      </w:r>
    </w:p>
    <w:p w14:paraId="3FFC3AB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五、</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该项目环境影响报告表及批复意见一并作为工程设计和环境管理的依据</w:t>
      </w:r>
      <w:r>
        <w:rPr>
          <w:rFonts w:hint="eastAsia" w:ascii="黑体" w:hAnsi="黑体" w:eastAsia="黑体" w:cs="黑体"/>
          <w:sz w:val="32"/>
          <w:szCs w:val="32"/>
        </w:rPr>
        <w:t>。</w:t>
      </w:r>
    </w:p>
    <w:p w14:paraId="0CD307F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黑体" w:hAnsi="黑体" w:eastAsia="黑体" w:cs="黑体"/>
          <w:sz w:val="32"/>
          <w:szCs w:val="32"/>
          <w:lang w:val="en-US" w:eastAsia="zh-CN"/>
        </w:rPr>
        <w:t>六、</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依据环保部《关于印发建设项目环境保护事中事后监督 管理办法(试行)的通知》(环发(2015)163 号)要求，该项目的日常环境监督管理工作由属地生态环境主管部门负责。</w:t>
      </w:r>
    </w:p>
    <w:p w14:paraId="21E1C68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eastAsiaTheme="minorEastAsia"/>
          <w:lang w:val="en-US" w:eastAsia="zh-CN"/>
        </w:rPr>
      </w:pPr>
      <w:r>
        <w:rPr>
          <w:rFonts w:hint="eastAsia" w:ascii="黑体" w:hAnsi="黑体" w:eastAsia="黑体" w:cs="黑体"/>
          <w:sz w:val="32"/>
          <w:szCs w:val="32"/>
          <w:lang w:val="en-US" w:eastAsia="zh-CN"/>
        </w:rPr>
        <w:t>七、</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请你单位接到批复后 3 个工作日内，将报告表及批复意见（原件）报送石家庄市生态环境局无极县分局。</w:t>
      </w:r>
    </w:p>
    <w:p w14:paraId="26CD63A4">
      <w:pPr>
        <w:pStyle w:val="17"/>
        <w:rPr>
          <w:rFonts w:hint="eastAsia"/>
          <w:lang w:val="en-US" w:eastAsia="zh-CN"/>
        </w:rPr>
      </w:pPr>
      <w:r>
        <w:rPr>
          <w:rFonts w:hint="eastAsia"/>
          <w:lang w:val="en-US" w:eastAsia="zh-CN"/>
        </w:rPr>
        <w:t xml:space="preserve">       </w:t>
      </w:r>
      <w:bookmarkStart w:id="0" w:name="_GoBack"/>
      <w:bookmarkEnd w:id="0"/>
    </w:p>
    <w:p w14:paraId="1324C210">
      <w:pPr>
        <w:rPr>
          <w:rFonts w:hint="eastAsia"/>
          <w:lang w:val="en-US" w:eastAsia="zh-CN"/>
        </w:rPr>
      </w:pPr>
      <w:r>
        <w:drawing>
          <wp:inline distT="0" distB="0" distL="114300" distR="114300">
            <wp:extent cx="2806065" cy="1186815"/>
            <wp:effectExtent l="0" t="0" r="0" b="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4"/>
                    <a:srcRect t="7931"/>
                    <a:stretch>
                      <a:fillRect/>
                    </a:stretch>
                  </pic:blipFill>
                  <pic:spPr>
                    <a:xfrm>
                      <a:off x="0" y="0"/>
                      <a:ext cx="2806065" cy="1186815"/>
                    </a:xfrm>
                    <a:prstGeom prst="rect">
                      <a:avLst/>
                    </a:prstGeom>
                    <a:noFill/>
                    <a:ln>
                      <a:noFill/>
                    </a:ln>
                  </pic:spPr>
                </pic:pic>
              </a:graphicData>
            </a:graphic>
          </wp:inline>
        </w:drawing>
      </w:r>
    </w:p>
    <w:p w14:paraId="6E9FD9F0">
      <w:pPr>
        <w:pStyle w:val="20"/>
        <w:rPr>
          <w:rFonts w:hint="eastAsia"/>
          <w:lang w:val="en-US" w:eastAsia="zh-CN"/>
        </w:rPr>
      </w:pPr>
      <w:r>
        <w:rPr>
          <w:rFonts w:hint="eastAsia"/>
          <w:lang w:val="en-US" w:eastAsia="zh-CN"/>
        </w:rPr>
        <w:t xml:space="preserve">      </w:t>
      </w:r>
    </w:p>
    <w:p w14:paraId="6F625617">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0" w:beforeAutospacing="0" w:after="0" w:afterAutospacing="0" w:line="560" w:lineRule="exact"/>
        <w:ind w:right="0" w:rightChars="0" w:firstLine="3920" w:firstLineChars="1400"/>
        <w:jc w:val="right"/>
        <w:textAlignment w:val="auto"/>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无极县数据和政务服务局</w:t>
      </w:r>
    </w:p>
    <w:p w14:paraId="6083FB86">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0" w:beforeAutospacing="0" w:after="0" w:afterAutospacing="0" w:line="560" w:lineRule="exact"/>
        <w:ind w:right="0" w:rightChars="0" w:firstLine="5600" w:firstLineChars="2000"/>
        <w:jc w:val="both"/>
        <w:textAlignment w:val="auto"/>
        <w:rPr>
          <w:rFonts w:hint="eastAsia" w:ascii="微软雅黑 Light" w:hAnsi="微软雅黑 Light" w:eastAsia="微软雅黑 Light" w:cs="微软雅黑 Light"/>
          <w:sz w:val="28"/>
          <w:szCs w:val="28"/>
          <w:lang w:eastAsia="zh-CN"/>
        </w:rPr>
      </w:pPr>
      <w:r>
        <w:rPr>
          <w:rFonts w:hint="eastAsia" w:ascii="楷体" w:hAnsi="楷体" w:eastAsia="楷体" w:cs="楷体"/>
          <w:sz w:val="28"/>
          <w:szCs w:val="28"/>
          <w:lang w:val="en-US" w:eastAsia="zh-CN"/>
        </w:rPr>
        <w:t>2024年9月29日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2"/>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Light">
    <w:panose1 w:val="020B0502040204020203"/>
    <w:charset w:val="86"/>
    <w:family w:val="auto"/>
    <w:pitch w:val="default"/>
    <w:sig w:usb0="80000287" w:usb1="2ACF001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0202DB"/>
    <w:multiLevelType w:val="singleLevel"/>
    <w:tmpl w:val="CD0202DB"/>
    <w:lvl w:ilvl="0" w:tentative="0">
      <w:start w:val="1"/>
      <w:numFmt w:val="chineseCounting"/>
      <w:suff w:val="nothing"/>
      <w:lvlText w:val="%1、"/>
      <w:lvlJc w:val="left"/>
      <w:rPr>
        <w:rFonts w:hint="eastAsia"/>
      </w:rPr>
    </w:lvl>
  </w:abstractNum>
  <w:abstractNum w:abstractNumId="1">
    <w:nsid w:val="4CB9E9D3"/>
    <w:multiLevelType w:val="singleLevel"/>
    <w:tmpl w:val="4CB9E9D3"/>
    <w:lvl w:ilvl="0" w:tentative="0">
      <w:start w:val="1"/>
      <w:numFmt w:val="bullet"/>
      <w:pStyle w:val="9"/>
      <w:lvlText w:val=""/>
      <w:lvlJc w:val="left"/>
      <w:pPr>
        <w:tabs>
          <w:tab w:val="left" w:pos="780"/>
        </w:tabs>
        <w:ind w:left="78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U4M2FmNmI0OTUxOThiMGI4MmU5Yjg4NjkzNDFiMzMifQ=="/>
  </w:docVars>
  <w:rsids>
    <w:rsidRoot w:val="00000000"/>
    <w:rsid w:val="003B0B30"/>
    <w:rsid w:val="02BE4C93"/>
    <w:rsid w:val="035248AA"/>
    <w:rsid w:val="0381685A"/>
    <w:rsid w:val="04F76D59"/>
    <w:rsid w:val="05277012"/>
    <w:rsid w:val="0A647B94"/>
    <w:rsid w:val="0AF93BB9"/>
    <w:rsid w:val="117D7C75"/>
    <w:rsid w:val="11EF10A0"/>
    <w:rsid w:val="127A7363"/>
    <w:rsid w:val="128F4AEF"/>
    <w:rsid w:val="12993BC0"/>
    <w:rsid w:val="13031039"/>
    <w:rsid w:val="14641AA7"/>
    <w:rsid w:val="14EA0703"/>
    <w:rsid w:val="16E67BED"/>
    <w:rsid w:val="171D7719"/>
    <w:rsid w:val="18C82B09"/>
    <w:rsid w:val="19647974"/>
    <w:rsid w:val="19FF49EF"/>
    <w:rsid w:val="1A2F2491"/>
    <w:rsid w:val="1D4F6CF3"/>
    <w:rsid w:val="208F215E"/>
    <w:rsid w:val="2155348B"/>
    <w:rsid w:val="21A9638C"/>
    <w:rsid w:val="242B0063"/>
    <w:rsid w:val="2A50389B"/>
    <w:rsid w:val="2B0C53CC"/>
    <w:rsid w:val="2DF724A8"/>
    <w:rsid w:val="2F9F7270"/>
    <w:rsid w:val="325F6C63"/>
    <w:rsid w:val="32C15418"/>
    <w:rsid w:val="32CA5BFD"/>
    <w:rsid w:val="34A75871"/>
    <w:rsid w:val="376A274F"/>
    <w:rsid w:val="37951F41"/>
    <w:rsid w:val="379E11AD"/>
    <w:rsid w:val="3B295F7D"/>
    <w:rsid w:val="3CB7686D"/>
    <w:rsid w:val="3D912530"/>
    <w:rsid w:val="3E144EC4"/>
    <w:rsid w:val="3F7E1A6B"/>
    <w:rsid w:val="3FBE7F13"/>
    <w:rsid w:val="418B0ABC"/>
    <w:rsid w:val="41FD30AD"/>
    <w:rsid w:val="42D57A4D"/>
    <w:rsid w:val="46690BD8"/>
    <w:rsid w:val="4886168F"/>
    <w:rsid w:val="49AD5195"/>
    <w:rsid w:val="4A812FB9"/>
    <w:rsid w:val="4C0672CD"/>
    <w:rsid w:val="4E265601"/>
    <w:rsid w:val="510936E3"/>
    <w:rsid w:val="52B616FE"/>
    <w:rsid w:val="53F51CFD"/>
    <w:rsid w:val="554E7535"/>
    <w:rsid w:val="55900B16"/>
    <w:rsid w:val="581A51FB"/>
    <w:rsid w:val="585F1DDA"/>
    <w:rsid w:val="59142C25"/>
    <w:rsid w:val="59596019"/>
    <w:rsid w:val="5B53657E"/>
    <w:rsid w:val="5E7B6C21"/>
    <w:rsid w:val="5FD72BFF"/>
    <w:rsid w:val="621D14A3"/>
    <w:rsid w:val="6568465B"/>
    <w:rsid w:val="672A5D0A"/>
    <w:rsid w:val="69525D78"/>
    <w:rsid w:val="6C72552B"/>
    <w:rsid w:val="6CD96208"/>
    <w:rsid w:val="6FDC0E21"/>
    <w:rsid w:val="702F613F"/>
    <w:rsid w:val="71702B15"/>
    <w:rsid w:val="719C4727"/>
    <w:rsid w:val="74A13623"/>
    <w:rsid w:val="78325D5C"/>
    <w:rsid w:val="79BD160C"/>
    <w:rsid w:val="7A051EAB"/>
    <w:rsid w:val="7A261A6C"/>
    <w:rsid w:val="7AF910C6"/>
    <w:rsid w:val="7BB45CAA"/>
    <w:rsid w:val="7C0C39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paragraph" w:styleId="3">
    <w:name w:val="heading 4"/>
    <w:basedOn w:val="1"/>
    <w:next w:val="1"/>
    <w:autoRedefine/>
    <w:unhideWhenUsed/>
    <w:qFormat/>
    <w:uiPriority w:val="0"/>
    <w:pPr>
      <w:keepNext/>
      <w:keepLines/>
      <w:spacing w:before="280" w:after="290" w:line="376" w:lineRule="auto"/>
      <w:outlineLvl w:val="3"/>
    </w:pPr>
    <w:rPr>
      <w:rFonts w:ascii="Cambria" w:hAnsi="Cambria"/>
      <w:b/>
      <w:bCs/>
      <w:sz w:val="28"/>
      <w:szCs w:val="28"/>
    </w:rPr>
  </w:style>
  <w:style w:type="character" w:default="1" w:styleId="19">
    <w:name w:val="Default Paragraph Font"/>
    <w:autoRedefine/>
    <w:semiHidden/>
    <w:qFormat/>
    <w:uiPriority w:val="0"/>
  </w:style>
  <w:style w:type="table" w:default="1" w:styleId="18">
    <w:name w:val="Normal Table"/>
    <w:autoRedefine/>
    <w:semiHidden/>
    <w:qFormat/>
    <w:uiPriority w:val="0"/>
    <w:tblPr>
      <w:tblCellMar>
        <w:top w:w="0" w:type="dxa"/>
        <w:left w:w="108" w:type="dxa"/>
        <w:bottom w:w="0" w:type="dxa"/>
        <w:right w:w="108" w:type="dxa"/>
      </w:tblCellMar>
    </w:tblPr>
  </w:style>
  <w:style w:type="paragraph" w:styleId="4">
    <w:name w:val="E-mail Signature"/>
    <w:basedOn w:val="1"/>
    <w:next w:val="5"/>
    <w:autoRedefine/>
    <w:qFormat/>
    <w:uiPriority w:val="0"/>
    <w:pPr>
      <w:spacing w:line="460" w:lineRule="exact"/>
      <w:ind w:firstLine="200"/>
    </w:pPr>
    <w:rPr>
      <w:sz w:val="24"/>
    </w:rPr>
  </w:style>
  <w:style w:type="paragraph" w:customStyle="1" w:styleId="5">
    <w:name w:val="文章"/>
    <w:basedOn w:val="6"/>
    <w:next w:val="8"/>
    <w:autoRedefine/>
    <w:qFormat/>
    <w:uiPriority w:val="0"/>
    <w:pPr>
      <w:widowControl/>
      <w:ind w:firstLine="480"/>
      <w:jc w:val="center"/>
    </w:pPr>
    <w:rPr>
      <w:sz w:val="26"/>
    </w:rPr>
  </w:style>
  <w:style w:type="paragraph" w:styleId="6">
    <w:name w:val="Body Text Indent"/>
    <w:basedOn w:val="1"/>
    <w:next w:val="7"/>
    <w:autoRedefine/>
    <w:qFormat/>
    <w:uiPriority w:val="0"/>
    <w:pPr>
      <w:snapToGrid w:val="0"/>
      <w:ind w:firstLine="498"/>
    </w:pPr>
    <w:rPr>
      <w:rFonts w:ascii="宋体"/>
      <w:sz w:val="24"/>
    </w:rPr>
  </w:style>
  <w:style w:type="paragraph" w:styleId="7">
    <w:name w:val="Body Text First Indent 2"/>
    <w:basedOn w:val="6"/>
    <w:next w:val="1"/>
    <w:autoRedefine/>
    <w:qFormat/>
    <w:uiPriority w:val="0"/>
    <w:pPr>
      <w:ind w:firstLine="420" w:firstLineChars="200"/>
    </w:pPr>
  </w:style>
  <w:style w:type="paragraph" w:styleId="8">
    <w:name w:val="List"/>
    <w:basedOn w:val="1"/>
    <w:next w:val="9"/>
    <w:autoRedefine/>
    <w:unhideWhenUsed/>
    <w:qFormat/>
    <w:uiPriority w:val="0"/>
    <w:pPr>
      <w:ind w:left="200" w:hanging="200" w:hangingChars="200"/>
      <w:contextualSpacing/>
    </w:pPr>
  </w:style>
  <w:style w:type="paragraph" w:styleId="9">
    <w:name w:val="List Bullet 2"/>
    <w:basedOn w:val="1"/>
    <w:next w:val="10"/>
    <w:autoRedefine/>
    <w:qFormat/>
    <w:uiPriority w:val="0"/>
    <w:pPr>
      <w:numPr>
        <w:ilvl w:val="0"/>
        <w:numId w:val="1"/>
      </w:numPr>
    </w:pPr>
  </w:style>
  <w:style w:type="paragraph" w:customStyle="1" w:styleId="10">
    <w:name w:val="xl70"/>
    <w:basedOn w:val="1"/>
    <w:next w:val="11"/>
    <w:autoRedefine/>
    <w:qFormat/>
    <w:uiPriority w:val="0"/>
    <w:pPr>
      <w:widowControl/>
      <w:spacing w:before="280" w:after="280" w:line="240" w:lineRule="auto"/>
    </w:pPr>
    <w:rPr>
      <w:rFonts w:ascii="宋体"/>
    </w:rPr>
  </w:style>
  <w:style w:type="paragraph" w:customStyle="1" w:styleId="11">
    <w:name w:val="正文缩进1"/>
    <w:basedOn w:val="1"/>
    <w:next w:val="12"/>
    <w:autoRedefine/>
    <w:qFormat/>
    <w:uiPriority w:val="0"/>
    <w:pPr>
      <w:ind w:firstLine="420"/>
    </w:pPr>
  </w:style>
  <w:style w:type="paragraph" w:customStyle="1" w:styleId="12">
    <w:name w:val="td1"/>
    <w:basedOn w:val="1"/>
    <w:next w:val="1"/>
    <w:autoRedefine/>
    <w:qFormat/>
    <w:uiPriority w:val="0"/>
    <w:pPr>
      <w:widowControl/>
      <w:spacing w:before="280" w:after="280" w:line="300" w:lineRule="atLeast"/>
      <w:ind w:firstLine="200"/>
    </w:pPr>
    <w:rPr>
      <w:color w:val="000000"/>
      <w:sz w:val="18"/>
    </w:rPr>
  </w:style>
  <w:style w:type="paragraph" w:styleId="13">
    <w:name w:val="Normal Indent"/>
    <w:basedOn w:val="1"/>
    <w:next w:val="1"/>
    <w:autoRedefine/>
    <w:qFormat/>
    <w:uiPriority w:val="0"/>
    <w:pPr>
      <w:ind w:firstLine="420"/>
    </w:pPr>
  </w:style>
  <w:style w:type="paragraph" w:styleId="14">
    <w:name w:val="annotation text"/>
    <w:basedOn w:val="1"/>
    <w:autoRedefine/>
    <w:qFormat/>
    <w:uiPriority w:val="0"/>
    <w:pPr>
      <w:jc w:val="left"/>
    </w:pPr>
  </w:style>
  <w:style w:type="paragraph" w:styleId="15">
    <w:name w:val="Body Text"/>
    <w:basedOn w:val="1"/>
    <w:autoRedefine/>
    <w:qFormat/>
    <w:uiPriority w:val="0"/>
    <w:pPr>
      <w:spacing w:line="360" w:lineRule="auto"/>
      <w:ind w:firstLine="400" w:firstLineChars="200"/>
    </w:pPr>
    <w:rPr>
      <w:rFonts w:ascii="宋体" w:hAnsi="宋体" w:cs="宋体"/>
      <w:sz w:val="24"/>
      <w:szCs w:val="24"/>
      <w:lang w:val="zh-CN" w:bidi="zh-CN"/>
    </w:rPr>
  </w:style>
  <w:style w:type="paragraph" w:styleId="16">
    <w:name w:val="toc 1"/>
    <w:basedOn w:val="1"/>
    <w:next w:val="1"/>
    <w:autoRedefine/>
    <w:qFormat/>
    <w:uiPriority w:val="0"/>
    <w:pPr>
      <w:tabs>
        <w:tab w:val="right" w:leader="dot" w:pos="8290"/>
      </w:tabs>
      <w:spacing w:before="60" w:after="60" w:line="460" w:lineRule="exact"/>
      <w:ind w:firstLine="0" w:firstLineChars="0"/>
    </w:pPr>
    <w:rPr>
      <w:rFonts w:ascii="Times New Roman" w:hAnsi="Times New Roman" w:eastAsia="宋体" w:cs="Times New Roman"/>
      <w:sz w:val="28"/>
      <w:szCs w:val="28"/>
    </w:rPr>
  </w:style>
  <w:style w:type="paragraph" w:styleId="17">
    <w:name w:val="toc 2"/>
    <w:basedOn w:val="1"/>
    <w:next w:val="4"/>
    <w:autoRedefine/>
    <w:qFormat/>
    <w:uiPriority w:val="0"/>
    <w:pPr>
      <w:ind w:left="210"/>
      <w:jc w:val="left"/>
    </w:pPr>
    <w:rPr>
      <w:rFonts w:ascii="等线" w:eastAsia="等线"/>
      <w:smallCaps/>
      <w:sz w:val="20"/>
      <w:szCs w:val="20"/>
    </w:rPr>
  </w:style>
  <w:style w:type="paragraph" w:customStyle="1" w:styleId="20">
    <w:name w:val="Default"/>
    <w:basedOn w:val="21"/>
    <w:autoRedefine/>
    <w:unhideWhenUsed/>
    <w:qFormat/>
    <w:uiPriority w:val="0"/>
    <w:pPr>
      <w:widowControl w:val="0"/>
      <w:autoSpaceDE w:val="0"/>
      <w:autoSpaceDN w:val="0"/>
      <w:adjustRightInd w:val="0"/>
    </w:pPr>
    <w:rPr>
      <w:rFonts w:ascii="宋体" w:hAnsi="宋体"/>
      <w:color w:val="000000"/>
      <w:sz w:val="24"/>
      <w:lang w:val="en-US" w:eastAsia="zh-CN" w:bidi="ar-SA"/>
    </w:rPr>
  </w:style>
  <w:style w:type="paragraph" w:customStyle="1" w:styleId="21">
    <w:name w:val="纯文本1"/>
    <w:basedOn w:val="1"/>
    <w:autoRedefine/>
    <w:qFormat/>
    <w:uiPriority w:val="0"/>
    <w:pPr>
      <w:adjustRightInd w:val="0"/>
    </w:pPr>
    <w:rPr>
      <w:rFonts w:ascii="宋体" w:hAnsi="Courier New"/>
      <w:szCs w:val="20"/>
    </w:rPr>
  </w:style>
  <w:style w:type="paragraph" w:customStyle="1" w:styleId="22">
    <w:name w:val="样式 正文文本 + 首行缩进:  2 字符"/>
    <w:basedOn w:val="15"/>
    <w:next w:val="1"/>
    <w:autoRedefine/>
    <w:qFormat/>
    <w:uiPriority w:val="99"/>
    <w:pPr>
      <w:spacing w:after="200" w:line="480" w:lineRule="exact"/>
      <w:ind w:firstLine="480" w:firstLineChars="200"/>
    </w:pPr>
    <w:rPr>
      <w:rFonts w:ascii="宋体" w:hAnsi="宋体" w:eastAsia="宋体" w:cs="Times New Roman"/>
      <w:sz w:val="24"/>
      <w:lang w:val="en-US" w:eastAsia="zh-CN" w:bidi="ar-SA"/>
    </w:rPr>
  </w:style>
  <w:style w:type="paragraph" w:customStyle="1" w:styleId="23">
    <w:name w:val="样式35"/>
    <w:basedOn w:val="24"/>
    <w:next w:val="25"/>
    <w:autoRedefine/>
    <w:qFormat/>
    <w:uiPriority w:val="0"/>
    <w:pPr>
      <w:tabs>
        <w:tab w:val="left" w:pos="0"/>
        <w:tab w:val="left" w:pos="360"/>
        <w:tab w:val="left" w:pos="540"/>
        <w:tab w:val="left" w:pos="567"/>
        <w:tab w:val="center" w:pos="4153"/>
        <w:tab w:val="right" w:pos="8306"/>
      </w:tabs>
      <w:spacing w:line="312" w:lineRule="auto"/>
      <w:ind w:firstLine="567"/>
    </w:pPr>
    <w:rPr>
      <w:rFonts w:ascii="宋体"/>
    </w:rPr>
  </w:style>
  <w:style w:type="paragraph" w:customStyle="1" w:styleId="24">
    <w:name w:val="表 内容"/>
    <w:basedOn w:val="1"/>
    <w:autoRedefine/>
    <w:qFormat/>
    <w:uiPriority w:val="0"/>
    <w:pPr>
      <w:spacing w:line="240" w:lineRule="atLeast"/>
      <w:jc w:val="center"/>
    </w:pPr>
    <w:rPr>
      <w:sz w:val="21"/>
      <w:szCs w:val="21"/>
    </w:rPr>
  </w:style>
  <w:style w:type="paragraph" w:customStyle="1" w:styleId="25">
    <w:name w:val="font6"/>
    <w:basedOn w:val="1"/>
    <w:next w:val="17"/>
    <w:autoRedefine/>
    <w:qFormat/>
    <w:uiPriority w:val="0"/>
    <w:pPr>
      <w:widowControl/>
      <w:spacing w:before="280" w:after="280"/>
      <w:ind w:firstLine="0"/>
    </w:pPr>
    <w:rPr>
      <w:sz w:val="21"/>
    </w:rPr>
  </w:style>
  <w:style w:type="paragraph" w:customStyle="1" w:styleId="26">
    <w:name w:val="1正文"/>
    <w:basedOn w:val="1"/>
    <w:next w:val="15"/>
    <w:autoRedefine/>
    <w:qFormat/>
    <w:uiPriority w:val="0"/>
    <w:pPr>
      <w:spacing w:line="440" w:lineRule="exact"/>
      <w:ind w:firstLine="200" w:firstLineChars="200"/>
    </w:pPr>
    <w:rPr>
      <w:snapToGrid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1559</Words>
  <Characters>1749</Characters>
  <Lines>0</Lines>
  <Paragraphs>0</Paragraphs>
  <TotalTime>1</TotalTime>
  <ScaleCrop>false</ScaleCrop>
  <LinksUpToDate>false</LinksUpToDate>
  <CharactersWithSpaces>1801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2023-08-02T02:27:00Z</dcterms:created>
  <dc:creator>Administrator</dc:creator>
  <cp:lastModifiedBy>不错</cp:lastModifiedBy>
  <cp:lastPrinted>2024-04-23T03:05:00Z</cp:lastPrinted>
  <dcterms:modified xsi:type="dcterms:W3CDTF">2024-09-29T01:14:29Z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BF16B1F8AB1F4852B3D81EED8E1FD65B_13</vt:lpwstr>
  </property>
</Properties>
</file>