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6B97C96">
      <w:pPr>
        <w:pStyle w:val="5"/>
        <w:jc w:val="both"/>
        <w:rPr>
          <w:rFonts w:hint="eastAsia" w:ascii="黑体" w:hAnsi="黑体" w:eastAsia="黑体" w:cs="黑体"/>
          <w:color w:val="000000"/>
          <w:kern w:val="0"/>
          <w:sz w:val="32"/>
          <w:szCs w:val="32"/>
          <w:lang w:val="en-US" w:eastAsia="zh-CN" w:bidi="ar-SA"/>
        </w:rPr>
      </w:pPr>
      <w:r>
        <w:rPr>
          <w:rFonts w:hint="eastAsia" w:ascii="黑体" w:hAnsi="黑体" w:eastAsia="黑体" w:cs="黑体"/>
          <w:color w:val="000000"/>
          <w:kern w:val="0"/>
          <w:sz w:val="32"/>
          <w:szCs w:val="32"/>
          <w:lang w:val="en-US" w:eastAsia="zh-CN" w:bidi="ar-SA"/>
        </w:rPr>
        <w:t>附件8</w:t>
      </w:r>
    </w:p>
    <w:p w14:paraId="0D6F4A42">
      <w:pPr>
        <w:pStyle w:val="2"/>
        <w:bidi w:val="0"/>
        <w:rPr>
          <w:rFonts w:hint="eastAsia"/>
          <w:lang w:val="en-US" w:eastAsia="zh-CN"/>
        </w:rPr>
      </w:pPr>
    </w:p>
    <w:p w14:paraId="29D9F3C8">
      <w:pPr>
        <w:pStyle w:val="2"/>
        <w:bidi w:val="0"/>
        <w:rPr>
          <w:rFonts w:hint="eastAsia"/>
          <w:lang w:val="en-US" w:eastAsia="zh-CN"/>
        </w:rPr>
      </w:pPr>
      <w:bookmarkStart w:id="0" w:name="_Toc1096"/>
      <w:r>
        <w:rPr>
          <w:rFonts w:hint="eastAsia"/>
          <w:lang w:val="en-US" w:eastAsia="zh-CN"/>
        </w:rPr>
        <w:t>2025年中央粮油规模种植主体单产提升行动项目储备指南</w:t>
      </w:r>
      <w:bookmarkEnd w:id="0"/>
    </w:p>
    <w:p w14:paraId="4988251F">
      <w:pPr>
        <w:pageBreakBefore w:val="0"/>
        <w:widowControl w:val="0"/>
        <w:kinsoku/>
        <w:wordWrap/>
        <w:overflowPunct/>
        <w:topLinePunct w:val="0"/>
        <w:bidi w:val="0"/>
        <w:spacing w:line="560" w:lineRule="exact"/>
        <w:textAlignment w:val="auto"/>
        <w:rPr>
          <w:rFonts w:hint="eastAsia" w:ascii="仿宋_GB2312" w:eastAsia="仿宋_GB2312"/>
          <w:color w:val="000000"/>
          <w:sz w:val="32"/>
          <w:szCs w:val="32"/>
          <w:highlight w:val="none"/>
        </w:rPr>
      </w:pPr>
    </w:p>
    <w:p w14:paraId="2701511A">
      <w:pPr>
        <w:pageBreakBefore w:val="0"/>
        <w:widowControl w:val="0"/>
        <w:kinsoku/>
        <w:wordWrap/>
        <w:overflowPunct/>
        <w:topLinePunct w:val="0"/>
        <w:bidi w:val="0"/>
        <w:spacing w:line="560" w:lineRule="exact"/>
        <w:ind w:leftChars="0" w:firstLine="640" w:firstLineChars="200"/>
        <w:textAlignment w:val="auto"/>
        <w:rPr>
          <w:rFonts w:ascii="仿宋_GB2312" w:eastAsia="仿宋_GB2312"/>
          <w:color w:val="000000"/>
          <w:sz w:val="32"/>
          <w:szCs w:val="32"/>
          <w:highlight w:val="none"/>
        </w:rPr>
      </w:pPr>
      <w:r>
        <w:rPr>
          <w:rFonts w:hint="eastAsia" w:ascii="仿宋_GB2312" w:eastAsia="仿宋_GB2312"/>
          <w:color w:val="000000"/>
          <w:sz w:val="32"/>
          <w:szCs w:val="32"/>
          <w:highlight w:val="none"/>
        </w:rPr>
        <w:t>为做好我省</w:t>
      </w:r>
      <w:r>
        <w:rPr>
          <w:rFonts w:hint="eastAsia" w:ascii="仿宋_GB2312" w:eastAsia="仿宋_GB2312"/>
          <w:color w:val="000000"/>
          <w:sz w:val="32"/>
          <w:szCs w:val="32"/>
          <w:highlight w:val="none"/>
          <w:lang w:val="en-US" w:eastAsia="zh-CN"/>
        </w:rPr>
        <w:t>2025</w:t>
      </w:r>
      <w:r>
        <w:rPr>
          <w:rFonts w:hint="eastAsia" w:ascii="仿宋_GB2312" w:eastAsia="仿宋_GB2312"/>
          <w:color w:val="000000"/>
          <w:sz w:val="32"/>
          <w:szCs w:val="32"/>
          <w:highlight w:val="none"/>
        </w:rPr>
        <w:t>年</w:t>
      </w:r>
      <w:r>
        <w:rPr>
          <w:rFonts w:hint="eastAsia" w:ascii="仿宋_GB2312" w:hAnsi="仿宋_GB2312" w:eastAsia="仿宋_GB2312" w:cs="仿宋_GB2312"/>
          <w:sz w:val="32"/>
          <w:szCs w:val="32"/>
          <w:lang w:val="en-US" w:eastAsia="zh-CN"/>
        </w:rPr>
        <w:t>中央财政新型农业经营主体培育（粮油规模种植主体单产提升行动）项目</w:t>
      </w:r>
      <w:r>
        <w:rPr>
          <w:rFonts w:hint="eastAsia" w:ascii="仿宋_GB2312" w:eastAsia="仿宋_GB2312"/>
          <w:color w:val="000000"/>
          <w:sz w:val="32"/>
          <w:szCs w:val="32"/>
          <w:highlight w:val="none"/>
          <w:lang w:eastAsia="zh-CN"/>
        </w:rPr>
        <w:t>储备</w:t>
      </w:r>
      <w:r>
        <w:rPr>
          <w:rFonts w:hint="eastAsia" w:ascii="仿宋_GB2312" w:eastAsia="仿宋_GB2312"/>
          <w:color w:val="000000"/>
          <w:sz w:val="32"/>
          <w:szCs w:val="32"/>
          <w:highlight w:val="none"/>
        </w:rPr>
        <w:t>工作，制定本</w:t>
      </w:r>
      <w:r>
        <w:rPr>
          <w:rFonts w:hint="eastAsia" w:ascii="仿宋_GB2312" w:eastAsia="仿宋_GB2312"/>
          <w:color w:val="000000"/>
          <w:sz w:val="32"/>
          <w:szCs w:val="32"/>
          <w:highlight w:val="none"/>
          <w:lang w:val="en-US" w:eastAsia="zh-CN"/>
        </w:rPr>
        <w:t>申报</w:t>
      </w:r>
      <w:r>
        <w:rPr>
          <w:rFonts w:hint="eastAsia" w:ascii="仿宋_GB2312" w:eastAsia="仿宋_GB2312"/>
          <w:color w:val="000000"/>
          <w:sz w:val="32"/>
          <w:szCs w:val="32"/>
          <w:highlight w:val="none"/>
        </w:rPr>
        <w:t>指南。</w:t>
      </w:r>
    </w:p>
    <w:p w14:paraId="158BDF17">
      <w:pPr>
        <w:pageBreakBefore w:val="0"/>
        <w:widowControl w:val="0"/>
        <w:kinsoku/>
        <w:wordWrap/>
        <w:overflowPunct/>
        <w:topLinePunct w:val="0"/>
        <w:bidi w:val="0"/>
        <w:spacing w:line="560" w:lineRule="exact"/>
        <w:ind w:leftChars="0" w:firstLine="640" w:firstLineChars="200"/>
        <w:textAlignment w:val="auto"/>
        <w:outlineLvl w:val="0"/>
        <w:rPr>
          <w:rFonts w:eastAsia="黑体"/>
          <w:color w:val="000000"/>
          <w:sz w:val="32"/>
          <w:szCs w:val="32"/>
          <w:highlight w:val="none"/>
        </w:rPr>
      </w:pPr>
      <w:bookmarkStart w:id="1" w:name="_Toc6415"/>
      <w:bookmarkStart w:id="2" w:name="_Toc11300"/>
      <w:bookmarkStart w:id="3" w:name="_Toc20152"/>
      <w:bookmarkStart w:id="4" w:name="_Toc18349"/>
      <w:bookmarkStart w:id="5" w:name="_Toc30593"/>
      <w:bookmarkStart w:id="6" w:name="_Toc9000"/>
      <w:bookmarkStart w:id="7" w:name="_Toc28305"/>
      <w:r>
        <w:rPr>
          <w:rFonts w:eastAsia="黑体"/>
          <w:color w:val="000000"/>
          <w:sz w:val="32"/>
          <w:szCs w:val="32"/>
          <w:highlight w:val="none"/>
        </w:rPr>
        <w:t>一、</w:t>
      </w:r>
      <w:r>
        <w:rPr>
          <w:rFonts w:hint="eastAsia" w:eastAsia="黑体"/>
          <w:color w:val="000000"/>
          <w:sz w:val="32"/>
          <w:szCs w:val="32"/>
          <w:highlight w:val="none"/>
        </w:rPr>
        <w:t>项目总体要求</w:t>
      </w:r>
      <w:bookmarkEnd w:id="1"/>
      <w:bookmarkEnd w:id="2"/>
      <w:bookmarkEnd w:id="3"/>
      <w:bookmarkEnd w:id="4"/>
      <w:bookmarkEnd w:id="5"/>
      <w:bookmarkEnd w:id="6"/>
      <w:bookmarkEnd w:id="7"/>
    </w:p>
    <w:p w14:paraId="2CA550E7">
      <w:pPr>
        <w:pageBreakBefore w:val="0"/>
        <w:widowControl w:val="0"/>
        <w:kinsoku/>
        <w:wordWrap/>
        <w:overflowPunct/>
        <w:topLinePunct w:val="0"/>
        <w:bidi w:val="0"/>
        <w:spacing w:line="560" w:lineRule="exact"/>
        <w:ind w:leftChars="0" w:firstLine="640" w:firstLineChars="200"/>
        <w:textAlignment w:val="auto"/>
        <w:rPr>
          <w:rFonts w:hint="eastAsia" w:ascii="仿宋_GB2312" w:hAnsi="Times New Roman" w:eastAsia="仿宋_GB2312" w:cs="Times New Roman"/>
          <w:color w:val="000000"/>
          <w:sz w:val="32"/>
          <w:szCs w:val="32"/>
          <w:highlight w:val="none"/>
          <w:lang w:eastAsia="zh-CN"/>
        </w:rPr>
      </w:pPr>
      <w:r>
        <w:rPr>
          <w:rFonts w:hint="eastAsia" w:ascii="仿宋_GB2312" w:hAnsi="仿宋_GB2312" w:eastAsia="仿宋_GB2312" w:cs="仿宋_GB2312"/>
          <w:sz w:val="32"/>
          <w:szCs w:val="32"/>
          <w:lang w:val="en-US" w:eastAsia="zh-CN"/>
        </w:rPr>
        <w:t>深入贯彻落实国家新一轮千亿斤粮食产能提升行动和粮油等主要作物大面积单产提升决策部署，2025年中央财政新型农业经营主体培育（粮油规模种植主体单产提升行动）项目计划支持80-100个县（市、区）、每县20个以上粮油类新型经营主体，实施规模种植主体粮油单产提升行动，</w:t>
      </w:r>
      <w:r>
        <w:rPr>
          <w:rFonts w:hint="eastAsia" w:eastAsia="仿宋_GB2312" w:cs="仿宋_GB2312"/>
          <w:sz w:val="32"/>
          <w:szCs w:val="32"/>
          <w:lang w:val="en-US" w:eastAsia="zh-CN"/>
        </w:rPr>
        <w:t>支持粮油规模种植主体创新组织方式、集成种植模式，</w:t>
      </w:r>
      <w:r>
        <w:rPr>
          <w:rFonts w:hint="default" w:eastAsia="仿宋_GB2312" w:cs="仿宋_GB2312"/>
          <w:sz w:val="32"/>
          <w:szCs w:val="32"/>
        </w:rPr>
        <w:t>强化示范带动</w:t>
      </w:r>
      <w:r>
        <w:rPr>
          <w:rFonts w:hint="eastAsia" w:eastAsia="仿宋_GB2312" w:cs="仿宋_GB2312"/>
          <w:sz w:val="32"/>
          <w:szCs w:val="32"/>
          <w:lang w:val="en-US" w:eastAsia="zh-CN"/>
        </w:rPr>
        <w:t>引领，</w:t>
      </w:r>
      <w:r>
        <w:rPr>
          <w:rFonts w:hint="eastAsia" w:ascii="仿宋_GB2312" w:hAnsi="仿宋_GB2312" w:eastAsia="仿宋_GB2312" w:cs="Times New Roman"/>
          <w:kern w:val="2"/>
          <w:sz w:val="32"/>
          <w:szCs w:val="32"/>
          <w:highlight w:val="none"/>
          <w:lang w:val="en-US" w:eastAsia="zh-CN"/>
        </w:rPr>
        <w:t>平均每万元项目资金要示范带动300亩次以上单产提升关键技术，</w:t>
      </w:r>
      <w:r>
        <w:rPr>
          <w:rFonts w:hint="eastAsia" w:eastAsia="仿宋_GB2312" w:cs="仿宋_GB2312"/>
          <w:sz w:val="32"/>
          <w:szCs w:val="32"/>
          <w:lang w:eastAsia="zh-CN"/>
        </w:rPr>
        <w:t>聚焦提高各地</w:t>
      </w:r>
      <w:r>
        <w:rPr>
          <w:rFonts w:hint="eastAsia" w:eastAsia="仿宋_GB2312" w:cs="仿宋_GB2312"/>
          <w:sz w:val="32"/>
          <w:szCs w:val="32"/>
          <w:lang w:val="en-US" w:eastAsia="zh-CN"/>
        </w:rPr>
        <w:t>粮油</w:t>
      </w:r>
      <w:r>
        <w:rPr>
          <w:rFonts w:hint="eastAsia" w:eastAsia="仿宋_GB2312" w:cs="仿宋_GB2312"/>
          <w:sz w:val="32"/>
          <w:szCs w:val="32"/>
          <w:lang w:eastAsia="zh-CN"/>
        </w:rPr>
        <w:t>作物单产</w:t>
      </w:r>
      <w:r>
        <w:rPr>
          <w:rFonts w:hint="eastAsia" w:eastAsia="仿宋_GB2312" w:cs="仿宋_GB2312"/>
          <w:sz w:val="32"/>
          <w:szCs w:val="32"/>
          <w:lang w:val="en-US" w:eastAsia="zh-CN"/>
        </w:rPr>
        <w:t>水平</w:t>
      </w:r>
      <w:r>
        <w:rPr>
          <w:rFonts w:hint="eastAsia" w:eastAsia="仿宋_GB2312" w:cs="仿宋_GB2312"/>
          <w:sz w:val="32"/>
          <w:szCs w:val="32"/>
          <w:lang w:eastAsia="zh-CN"/>
        </w:rPr>
        <w:t>，</w:t>
      </w:r>
      <w:r>
        <w:rPr>
          <w:rFonts w:hint="eastAsia" w:ascii="仿宋_GB2312" w:hAnsi="仿宋_GB2312" w:eastAsia="仿宋_GB2312" w:cs="仿宋_GB2312"/>
          <w:sz w:val="32"/>
          <w:szCs w:val="32"/>
          <w:lang w:val="en-US" w:eastAsia="zh-CN"/>
        </w:rPr>
        <w:t>实施项目的经营主体亩产比当地平均水平高10%以上</w:t>
      </w:r>
      <w:r>
        <w:rPr>
          <w:rFonts w:hint="eastAsia" w:ascii="仿宋_GB2312" w:hAnsi="仿宋_GB2312" w:eastAsia="仿宋_GB2312" w:cs="Times New Roman"/>
          <w:kern w:val="2"/>
          <w:sz w:val="32"/>
          <w:szCs w:val="32"/>
          <w:highlight w:val="none"/>
          <w:lang w:val="en-US" w:eastAsia="zh-CN"/>
        </w:rPr>
        <w:t>。</w:t>
      </w:r>
    </w:p>
    <w:p w14:paraId="279BB6A8">
      <w:pPr>
        <w:pageBreakBefore w:val="0"/>
        <w:widowControl w:val="0"/>
        <w:kinsoku/>
        <w:wordWrap/>
        <w:overflowPunct/>
        <w:topLinePunct w:val="0"/>
        <w:bidi w:val="0"/>
        <w:snapToGrid w:val="0"/>
        <w:spacing w:line="560" w:lineRule="exact"/>
        <w:ind w:leftChars="0" w:firstLine="640" w:firstLineChars="200"/>
        <w:textAlignment w:val="auto"/>
        <w:outlineLvl w:val="0"/>
        <w:rPr>
          <w:rFonts w:hint="eastAsia" w:eastAsia="黑体"/>
          <w:color w:val="000000"/>
          <w:sz w:val="32"/>
          <w:szCs w:val="32"/>
          <w:highlight w:val="none"/>
        </w:rPr>
      </w:pPr>
      <w:bookmarkStart w:id="8" w:name="_Toc11800"/>
      <w:bookmarkStart w:id="9" w:name="_Toc19563"/>
      <w:bookmarkStart w:id="10" w:name="_Toc28589"/>
      <w:bookmarkStart w:id="11" w:name="_Toc13124"/>
      <w:bookmarkStart w:id="12" w:name="_Toc9530"/>
      <w:bookmarkStart w:id="13" w:name="_Toc7146"/>
      <w:bookmarkStart w:id="14" w:name="_Toc27919"/>
      <w:r>
        <w:rPr>
          <w:rFonts w:hint="eastAsia" w:eastAsia="黑体"/>
          <w:color w:val="000000"/>
          <w:sz w:val="32"/>
          <w:szCs w:val="32"/>
          <w:highlight w:val="none"/>
        </w:rPr>
        <w:t>二</w:t>
      </w:r>
      <w:r>
        <w:rPr>
          <w:rFonts w:eastAsia="黑体"/>
          <w:color w:val="000000"/>
          <w:sz w:val="32"/>
          <w:szCs w:val="32"/>
          <w:highlight w:val="none"/>
        </w:rPr>
        <w:t>、</w:t>
      </w:r>
      <w:r>
        <w:rPr>
          <w:rFonts w:hint="eastAsia" w:eastAsia="黑体"/>
          <w:color w:val="000000"/>
          <w:sz w:val="32"/>
          <w:szCs w:val="32"/>
          <w:highlight w:val="none"/>
        </w:rPr>
        <w:t>申报主体及申报条件</w:t>
      </w:r>
      <w:bookmarkEnd w:id="8"/>
      <w:bookmarkEnd w:id="9"/>
      <w:bookmarkEnd w:id="10"/>
      <w:bookmarkEnd w:id="11"/>
      <w:bookmarkEnd w:id="12"/>
      <w:bookmarkEnd w:id="13"/>
      <w:bookmarkEnd w:id="14"/>
    </w:p>
    <w:p w14:paraId="1B05D5EA">
      <w:pPr>
        <w:keepNext w:val="0"/>
        <w:keepLines w:val="0"/>
        <w:pageBreakBefore w:val="0"/>
        <w:widowControl w:val="0"/>
        <w:numPr>
          <w:ilvl w:val="0"/>
          <w:numId w:val="0"/>
        </w:numPr>
        <w:pBdr>
          <w:bottom w:val="single" w:color="FFFFFF" w:sz="4" w:space="31"/>
        </w:pBdr>
        <w:tabs>
          <w:tab w:val="left" w:pos="0"/>
        </w:tabs>
        <w:kinsoku/>
        <w:wordWrap/>
        <w:overflowPunct/>
        <w:topLinePunct w:val="0"/>
        <w:autoSpaceDE/>
        <w:autoSpaceDN/>
        <w:bidi w:val="0"/>
        <w:adjustRightInd/>
        <w:snapToGrid/>
        <w:spacing w:line="560" w:lineRule="exact"/>
        <w:ind w:firstLine="640" w:firstLineChars="200"/>
        <w:textAlignment w:val="auto"/>
        <w:outlineLvl w:val="9"/>
        <w:rPr>
          <w:rFonts w:hint="eastAsia" w:ascii="仿宋_GB2312" w:hAnsi="仿宋_GB2312" w:eastAsia="仿宋_GB2312" w:cs="Times New Roman"/>
          <w:kern w:val="2"/>
          <w:sz w:val="32"/>
          <w:szCs w:val="32"/>
          <w:highlight w:val="none"/>
          <w:lang w:val="en-US" w:eastAsia="zh-CN"/>
        </w:rPr>
      </w:pPr>
      <w:r>
        <w:rPr>
          <w:rFonts w:hint="eastAsia" w:ascii="楷体_GB2312" w:hAnsi="楷体_GB2312" w:eastAsia="楷体_GB2312" w:cs="楷体_GB2312"/>
          <w:sz w:val="32"/>
          <w:szCs w:val="32"/>
          <w:highlight w:val="none"/>
          <w:lang w:val="en-US" w:eastAsia="zh-CN"/>
        </w:rPr>
        <w:t>（一）申报主体。</w:t>
      </w:r>
      <w:r>
        <w:rPr>
          <w:rFonts w:hint="eastAsia" w:ascii="仿宋_GB2312" w:hAnsi="仿宋_GB2312" w:eastAsia="仿宋_GB2312" w:cs="Times New Roman"/>
          <w:kern w:val="2"/>
          <w:sz w:val="32"/>
          <w:szCs w:val="32"/>
          <w:highlight w:val="none"/>
          <w:lang w:val="en-US" w:eastAsia="zh-CN"/>
        </w:rPr>
        <w:t>资金重点支持从事粮油规模种植的大户、家庭农场、农民合作社等新型经营主体。重点支持</w:t>
      </w:r>
      <w:r>
        <w:rPr>
          <w:rFonts w:hint="eastAsia" w:ascii="仿宋_GB2312" w:hAnsi="仿宋_GB2312" w:eastAsia="仿宋_GB2312" w:cs="仿宋_GB2312"/>
          <w:sz w:val="32"/>
          <w:szCs w:val="32"/>
          <w:lang w:val="en-US" w:eastAsia="zh-CN"/>
        </w:rPr>
        <w:t>39个小麦、69个玉米、2个大豆单产提升示范县及特色粮油作物单产提升计划，</w:t>
      </w:r>
      <w:r>
        <w:rPr>
          <w:rFonts w:hint="eastAsia" w:ascii="仿宋_GB2312" w:hAnsi="仿宋_GB2312" w:eastAsia="仿宋_GB2312" w:cs="仿宋_GB2312"/>
          <w:sz w:val="32"/>
          <w:szCs w:val="32"/>
          <w:lang w:eastAsia="zh-CN"/>
        </w:rPr>
        <w:t>开展小麦亩产跨千斤、玉米亩产提百斤示范行动和主要粮油作物大面积单产提升行动，</w:t>
      </w:r>
      <w:r>
        <w:rPr>
          <w:rFonts w:hint="eastAsia" w:ascii="仿宋_GB2312" w:hAnsi="仿宋_GB2312" w:eastAsia="仿宋_GB2312" w:cs="仿宋_GB2312"/>
          <w:kern w:val="0"/>
          <w:sz w:val="32"/>
          <w:szCs w:val="32"/>
          <w:lang w:val="en-US" w:eastAsia="zh-CN" w:bidi="ar-SA"/>
        </w:rPr>
        <w:t>优先安排开展大豆玉米（高粱、谷子）、花生玉米等复合种植的新型农业经营主体承担项目，省级以上</w:t>
      </w:r>
      <w:r>
        <w:rPr>
          <w:rFonts w:hint="eastAsia" w:ascii="仿宋_GB2312" w:hAnsi="仿宋_GB2312" w:eastAsia="仿宋_GB2312" w:cs="仿宋_GB2312"/>
          <w:b w:val="0"/>
          <w:bCs w:val="0"/>
          <w:color w:val="000000"/>
          <w:sz w:val="32"/>
          <w:szCs w:val="32"/>
          <w:lang w:val="en-US" w:eastAsia="zh-CN"/>
        </w:rPr>
        <w:t>农民合作社示范社、示范家庭农场优先给予支持。</w:t>
      </w:r>
      <w:r>
        <w:rPr>
          <w:rFonts w:hint="eastAsia" w:ascii="仿宋_GB2312" w:hAnsi="仿宋_GB2312" w:eastAsia="仿宋_GB2312" w:cs="仿宋_GB2312"/>
          <w:kern w:val="0"/>
          <w:sz w:val="32"/>
          <w:szCs w:val="32"/>
          <w:lang w:val="en-US" w:eastAsia="zh-CN" w:bidi="ar-SA"/>
        </w:rPr>
        <w:t>支持主体与享受绿色高产高效主体不重复。</w:t>
      </w:r>
    </w:p>
    <w:p w14:paraId="51F4CDE7">
      <w:pPr>
        <w:keepNext w:val="0"/>
        <w:keepLines w:val="0"/>
        <w:pageBreakBefore w:val="0"/>
        <w:widowControl w:val="0"/>
        <w:numPr>
          <w:ilvl w:val="0"/>
          <w:numId w:val="0"/>
        </w:numPr>
        <w:pBdr>
          <w:bottom w:val="single" w:color="FFFFFF" w:sz="4" w:space="31"/>
        </w:pBdr>
        <w:tabs>
          <w:tab w:val="left" w:pos="0"/>
        </w:tabs>
        <w:kinsoku/>
        <w:wordWrap/>
        <w:overflowPunct/>
        <w:topLinePunct w:val="0"/>
        <w:autoSpaceDE/>
        <w:autoSpaceDN/>
        <w:bidi w:val="0"/>
        <w:adjustRightInd/>
        <w:snapToGrid/>
        <w:spacing w:line="560" w:lineRule="exact"/>
        <w:ind w:leftChars="0" w:firstLine="0" w:firstLineChars="0"/>
        <w:textAlignment w:val="auto"/>
        <w:outlineLvl w:val="9"/>
        <w:rPr>
          <w:rFonts w:hint="eastAsia" w:ascii="仿宋_GB2312" w:hAnsi="仿宋_GB2312" w:eastAsia="仿宋_GB2312" w:cs="Times New Roman"/>
          <w:kern w:val="2"/>
          <w:sz w:val="32"/>
          <w:szCs w:val="32"/>
          <w:highlight w:val="none"/>
          <w:lang w:val="en-US" w:eastAsia="zh-CN"/>
        </w:rPr>
      </w:pPr>
      <w:r>
        <w:rPr>
          <w:rFonts w:hint="eastAsia" w:ascii="仿宋_GB2312" w:hAnsi="仿宋_GB2312" w:eastAsia="仿宋_GB2312" w:cs="Times New Roman"/>
          <w:kern w:val="2"/>
          <w:sz w:val="32"/>
          <w:szCs w:val="32"/>
          <w:highlight w:val="none"/>
          <w:lang w:val="en-US" w:eastAsia="zh-CN"/>
        </w:rPr>
        <w:t xml:space="preserve">    </w:t>
      </w:r>
      <w:r>
        <w:rPr>
          <w:rFonts w:hint="eastAsia" w:ascii="楷体_GB2312" w:hAnsi="楷体_GB2312" w:eastAsia="楷体_GB2312" w:cs="楷体_GB2312"/>
          <w:kern w:val="2"/>
          <w:sz w:val="32"/>
          <w:szCs w:val="32"/>
          <w:highlight w:val="none"/>
          <w:lang w:val="en-US" w:eastAsia="zh-CN"/>
        </w:rPr>
        <w:t>（二）</w:t>
      </w:r>
      <w:r>
        <w:rPr>
          <w:rFonts w:hint="eastAsia" w:ascii="楷体_GB2312" w:hAnsi="楷体_GB2312" w:eastAsia="楷体_GB2312" w:cs="楷体_GB2312"/>
          <w:sz w:val="32"/>
          <w:szCs w:val="32"/>
          <w:highlight w:val="none"/>
          <w:lang w:val="en-US" w:eastAsia="zh-CN"/>
        </w:rPr>
        <w:t>申报条件。</w:t>
      </w:r>
      <w:r>
        <w:rPr>
          <w:rFonts w:hint="eastAsia" w:ascii="仿宋_GB2312" w:hAnsi="仿宋_GB2312" w:eastAsia="仿宋_GB2312" w:cs="Times New Roman"/>
          <w:kern w:val="2"/>
          <w:sz w:val="32"/>
          <w:szCs w:val="32"/>
          <w:highlight w:val="none"/>
          <w:lang w:val="en-US" w:eastAsia="zh-CN"/>
        </w:rPr>
        <w:t>一是当地政府重视。县委县政府高度重视粮油生产，县级农业农村部门机构健全、技术力量雄厚、开拓创新能力强。二是粮油生产任务完成较好。圆满完成了上级下达的粮油生产目标和粮油类生产项目，上年度新型农业经营主体培育（粮油单产提升行动）项目实施情况良好。三是申报主体条件优越。要求申报主体有丰富的产业发展经验，辐射带动农户能力强，有从事粮油生产的专业技术服务组织或技术支撑团队；近三年无不良征信记录。</w:t>
      </w:r>
    </w:p>
    <w:p w14:paraId="17C436E9">
      <w:pPr>
        <w:keepNext w:val="0"/>
        <w:keepLines w:val="0"/>
        <w:pageBreakBefore w:val="0"/>
        <w:widowControl w:val="0"/>
        <w:numPr>
          <w:ilvl w:val="0"/>
          <w:numId w:val="0"/>
        </w:numPr>
        <w:pBdr>
          <w:bottom w:val="single" w:color="FFFFFF" w:sz="4" w:space="31"/>
        </w:pBdr>
        <w:tabs>
          <w:tab w:val="left" w:pos="0"/>
        </w:tabs>
        <w:kinsoku/>
        <w:wordWrap/>
        <w:overflowPunct/>
        <w:topLinePunct w:val="0"/>
        <w:autoSpaceDE/>
        <w:autoSpaceDN/>
        <w:bidi w:val="0"/>
        <w:adjustRightInd/>
        <w:snapToGrid/>
        <w:spacing w:line="560" w:lineRule="exact"/>
        <w:ind w:leftChars="0" w:firstLine="640" w:firstLineChars="200"/>
        <w:textAlignment w:val="auto"/>
        <w:outlineLvl w:val="0"/>
        <w:rPr>
          <w:rFonts w:hint="eastAsia" w:eastAsia="黑体" w:cs="Times New Roman"/>
          <w:color w:val="000000"/>
          <w:sz w:val="32"/>
          <w:szCs w:val="32"/>
          <w:highlight w:val="none"/>
          <w:lang w:val="en-US" w:eastAsia="zh-CN"/>
        </w:rPr>
      </w:pPr>
      <w:bookmarkStart w:id="15" w:name="_Toc26713"/>
      <w:bookmarkStart w:id="16" w:name="_Toc25017"/>
      <w:bookmarkStart w:id="17" w:name="_Toc23171"/>
      <w:bookmarkStart w:id="18" w:name="_Toc25833"/>
      <w:bookmarkStart w:id="19" w:name="_Toc27547"/>
      <w:bookmarkStart w:id="20" w:name="_Toc16292"/>
      <w:bookmarkStart w:id="21" w:name="_Toc5510"/>
      <w:r>
        <w:rPr>
          <w:rFonts w:hint="eastAsia" w:eastAsia="黑体" w:cs="Times New Roman"/>
          <w:color w:val="000000"/>
          <w:sz w:val="32"/>
          <w:szCs w:val="32"/>
          <w:highlight w:val="none"/>
          <w:lang w:val="en-US" w:eastAsia="zh-CN"/>
        </w:rPr>
        <w:t>三、项目实施内容</w:t>
      </w:r>
      <w:bookmarkEnd w:id="15"/>
    </w:p>
    <w:p w14:paraId="6C1286B6">
      <w:pPr>
        <w:keepNext w:val="0"/>
        <w:keepLines w:val="0"/>
        <w:pageBreakBefore w:val="0"/>
        <w:widowControl w:val="0"/>
        <w:numPr>
          <w:ilvl w:val="0"/>
          <w:numId w:val="0"/>
        </w:numPr>
        <w:pBdr>
          <w:bottom w:val="single" w:color="FFFFFF" w:sz="4" w:space="31"/>
        </w:pBdr>
        <w:tabs>
          <w:tab w:val="left" w:pos="0"/>
        </w:tabs>
        <w:kinsoku/>
        <w:wordWrap/>
        <w:overflowPunct/>
        <w:topLinePunct w:val="0"/>
        <w:autoSpaceDE/>
        <w:autoSpaceDN/>
        <w:bidi w:val="0"/>
        <w:adjustRightInd/>
        <w:snapToGrid/>
        <w:spacing w:line="560" w:lineRule="exact"/>
        <w:ind w:leftChars="0" w:firstLine="640" w:firstLineChars="200"/>
        <w:textAlignment w:val="auto"/>
        <w:outlineLvl w:val="0"/>
        <w:rPr>
          <w:rFonts w:hint="eastAsia" w:ascii="仿宋_GB2312" w:hAnsi="仿宋_GB2312" w:eastAsia="仿宋_GB2312" w:cs="Times New Roman"/>
          <w:kern w:val="2"/>
          <w:sz w:val="32"/>
          <w:szCs w:val="32"/>
          <w:highlight w:val="none"/>
          <w:lang w:val="en-US" w:eastAsia="zh-CN" w:bidi="ar-SA"/>
        </w:rPr>
      </w:pPr>
      <w:bookmarkStart w:id="22" w:name="_Toc4414"/>
      <w:r>
        <w:rPr>
          <w:rFonts w:hint="eastAsia" w:ascii="楷体_GB2312" w:hAnsi="楷体_GB2312" w:eastAsia="楷体_GB2312" w:cs="楷体_GB2312"/>
          <w:kern w:val="2"/>
          <w:sz w:val="32"/>
          <w:szCs w:val="32"/>
          <w:highlight w:val="none"/>
          <w:lang w:val="en-US" w:eastAsia="zh-CN" w:bidi="ar-SA"/>
        </w:rPr>
        <w:t>（一）制定项目实施方案。</w:t>
      </w:r>
      <w:r>
        <w:rPr>
          <w:rFonts w:hint="eastAsia" w:ascii="仿宋_GB2312" w:hAnsi="仿宋_GB2312" w:eastAsia="仿宋_GB2312" w:cs="Times New Roman"/>
          <w:kern w:val="2"/>
          <w:sz w:val="32"/>
          <w:szCs w:val="32"/>
          <w:highlight w:val="none"/>
          <w:lang w:val="en-US" w:eastAsia="zh-CN" w:bidi="ar-SA"/>
        </w:rPr>
        <w:t>实施项目的各市、县(市、区)农业农村部门根据本《指南》要求，结合当地实际，制定具体的项目实施方案，明确作物种类、面积、主推技术、单产目标等。实施方案要确定项目主管领导、具体负责人和完成时间，明确项目的支持对象(承担主体)、补助内容、补助标准、补助方式、任务量等。承担项目的主体要按照自身实际需求，制定项目实施方案，明确作物种类、种植面积、关键技术、单产目标等基本信息，由县级农业农村部门审核批准。</w:t>
      </w:r>
      <w:bookmarkEnd w:id="22"/>
    </w:p>
    <w:p w14:paraId="77CBCB89">
      <w:pPr>
        <w:keepNext w:val="0"/>
        <w:keepLines w:val="0"/>
        <w:pageBreakBefore w:val="0"/>
        <w:widowControl w:val="0"/>
        <w:numPr>
          <w:ilvl w:val="0"/>
          <w:numId w:val="0"/>
        </w:numPr>
        <w:pBdr>
          <w:bottom w:val="single" w:color="FFFFFF" w:sz="4" w:space="31"/>
        </w:pBdr>
        <w:tabs>
          <w:tab w:val="left" w:pos="0"/>
        </w:tabs>
        <w:kinsoku/>
        <w:wordWrap/>
        <w:overflowPunct/>
        <w:topLinePunct w:val="0"/>
        <w:autoSpaceDE/>
        <w:autoSpaceDN/>
        <w:bidi w:val="0"/>
        <w:adjustRightInd/>
        <w:snapToGrid/>
        <w:spacing w:line="560" w:lineRule="exact"/>
        <w:ind w:leftChars="0" w:firstLine="640" w:firstLineChars="200"/>
        <w:textAlignment w:val="auto"/>
        <w:outlineLvl w:val="0"/>
        <w:rPr>
          <w:rFonts w:hint="default" w:ascii="仿宋_GB2312" w:hAnsi="仿宋_GB2312" w:eastAsia="仿宋_GB2312" w:cs="Times New Roman"/>
          <w:kern w:val="2"/>
          <w:sz w:val="32"/>
          <w:szCs w:val="32"/>
          <w:highlight w:val="none"/>
          <w:lang w:val="en-US" w:eastAsia="zh-CN" w:bidi="ar-SA"/>
        </w:rPr>
      </w:pPr>
      <w:bookmarkStart w:id="23" w:name="_Toc31349"/>
      <w:r>
        <w:rPr>
          <w:rFonts w:hint="eastAsia" w:ascii="楷体_GB2312" w:hAnsi="楷体_GB2312" w:eastAsia="楷体_GB2312" w:cs="楷体_GB2312"/>
          <w:kern w:val="2"/>
          <w:sz w:val="32"/>
          <w:szCs w:val="32"/>
          <w:highlight w:val="none"/>
          <w:lang w:val="en-US" w:eastAsia="zh-CN" w:bidi="ar-SA"/>
        </w:rPr>
        <w:t>（二）确定主体。</w:t>
      </w:r>
      <w:r>
        <w:rPr>
          <w:rFonts w:hint="eastAsia" w:ascii="仿宋_GB2312" w:hAnsi="仿宋_GB2312" w:eastAsia="仿宋_GB2312" w:cs="Times New Roman"/>
          <w:kern w:val="2"/>
          <w:sz w:val="32"/>
          <w:szCs w:val="32"/>
          <w:highlight w:val="none"/>
          <w:lang w:val="en-US" w:eastAsia="zh-CN" w:bidi="ar-SA"/>
        </w:rPr>
        <w:t>各级种植业部门要会同合作经济部门加强服务和指导，择优遴选确定项目承担主体，切实提高项目实施的便捷性、高效性和有效性。合作社占总数的40%左右，家庭农场占总数的60%左右。</w:t>
      </w:r>
      <w:bookmarkEnd w:id="23"/>
    </w:p>
    <w:p w14:paraId="35E65443">
      <w:pPr>
        <w:keepNext w:val="0"/>
        <w:keepLines w:val="0"/>
        <w:pageBreakBefore w:val="0"/>
        <w:widowControl w:val="0"/>
        <w:numPr>
          <w:ilvl w:val="0"/>
          <w:numId w:val="0"/>
        </w:numPr>
        <w:pBdr>
          <w:bottom w:val="single" w:color="FFFFFF" w:sz="4" w:space="31"/>
        </w:pBdr>
        <w:tabs>
          <w:tab w:val="left" w:pos="0"/>
        </w:tabs>
        <w:kinsoku/>
        <w:wordWrap/>
        <w:overflowPunct/>
        <w:topLinePunct w:val="0"/>
        <w:autoSpaceDE/>
        <w:autoSpaceDN/>
        <w:bidi w:val="0"/>
        <w:adjustRightInd/>
        <w:snapToGrid/>
        <w:spacing w:line="560" w:lineRule="exact"/>
        <w:ind w:leftChars="0" w:firstLine="640" w:firstLineChars="200"/>
        <w:textAlignment w:val="auto"/>
        <w:outlineLvl w:val="0"/>
        <w:rPr>
          <w:rFonts w:hint="eastAsia" w:ascii="仿宋_GB2312" w:hAnsi="仿宋_GB2312" w:eastAsia="仿宋_GB2312" w:cs="Times New Roman"/>
          <w:kern w:val="2"/>
          <w:sz w:val="32"/>
          <w:szCs w:val="32"/>
          <w:highlight w:val="none"/>
          <w:lang w:val="en-US" w:eastAsia="zh-CN" w:bidi="ar-SA"/>
        </w:rPr>
      </w:pPr>
      <w:bookmarkStart w:id="24" w:name="_Toc17740"/>
      <w:r>
        <w:rPr>
          <w:rFonts w:hint="eastAsia" w:ascii="楷体_GB2312" w:hAnsi="楷体_GB2312" w:eastAsia="楷体_GB2312" w:cs="楷体_GB2312"/>
          <w:kern w:val="2"/>
          <w:sz w:val="32"/>
          <w:szCs w:val="32"/>
          <w:highlight w:val="none"/>
          <w:lang w:val="en-US" w:eastAsia="zh-CN" w:bidi="ar-SA"/>
        </w:rPr>
        <w:t>（三）过程记录。</w:t>
      </w:r>
      <w:r>
        <w:rPr>
          <w:rFonts w:hint="eastAsia" w:ascii="仿宋_GB2312" w:hAnsi="仿宋_GB2312" w:eastAsia="仿宋_GB2312" w:cs="Times New Roman"/>
          <w:kern w:val="2"/>
          <w:sz w:val="32"/>
          <w:szCs w:val="32"/>
          <w:highlight w:val="none"/>
          <w:lang w:val="en-US" w:eastAsia="zh-CN" w:bidi="ar-SA"/>
        </w:rPr>
        <w:t>专家指导组和农技推广队伍应充分发挥作用，指导规模经营主体选择良种和先进适用技术。承担项目的经营主体应按要求加强田间管理，落实技术要求，提高单产水平。县级农业农村部门要建立一主体一档案，记录作物生产过程中应用的关键技术、采取主要措施等，及时了解核实关键技术到位情况。</w:t>
      </w:r>
      <w:bookmarkEnd w:id="24"/>
    </w:p>
    <w:p w14:paraId="4B192585">
      <w:pPr>
        <w:keepNext w:val="0"/>
        <w:keepLines w:val="0"/>
        <w:pageBreakBefore w:val="0"/>
        <w:widowControl w:val="0"/>
        <w:numPr>
          <w:ilvl w:val="0"/>
          <w:numId w:val="0"/>
        </w:numPr>
        <w:pBdr>
          <w:bottom w:val="single" w:color="FFFFFF" w:sz="4" w:space="31"/>
        </w:pBdr>
        <w:tabs>
          <w:tab w:val="left" w:pos="0"/>
        </w:tabs>
        <w:kinsoku/>
        <w:wordWrap/>
        <w:overflowPunct/>
        <w:topLinePunct w:val="0"/>
        <w:autoSpaceDE/>
        <w:autoSpaceDN/>
        <w:bidi w:val="0"/>
        <w:adjustRightInd/>
        <w:snapToGrid/>
        <w:spacing w:line="560" w:lineRule="exact"/>
        <w:ind w:leftChars="0" w:firstLine="640" w:firstLineChars="200"/>
        <w:textAlignment w:val="auto"/>
        <w:outlineLvl w:val="0"/>
        <w:rPr>
          <w:rFonts w:hint="eastAsia" w:ascii="仿宋_GB2312" w:hAnsi="仿宋_GB2312" w:eastAsia="仿宋_GB2312" w:cs="Times New Roman"/>
          <w:kern w:val="2"/>
          <w:sz w:val="32"/>
          <w:szCs w:val="32"/>
          <w:highlight w:val="none"/>
          <w:lang w:val="en-US" w:eastAsia="zh-CN" w:bidi="ar-SA"/>
        </w:rPr>
      </w:pPr>
      <w:bookmarkStart w:id="25" w:name="_Toc31428"/>
      <w:r>
        <w:rPr>
          <w:rFonts w:hint="eastAsia" w:ascii="楷体_GB2312" w:hAnsi="楷体_GB2312" w:eastAsia="楷体_GB2312" w:cs="楷体_GB2312"/>
          <w:kern w:val="2"/>
          <w:sz w:val="32"/>
          <w:szCs w:val="32"/>
          <w:highlight w:val="none"/>
          <w:lang w:val="en-US" w:eastAsia="zh-CN" w:bidi="ar-SA"/>
        </w:rPr>
        <w:t>（四）测产验收。</w:t>
      </w:r>
      <w:r>
        <w:rPr>
          <w:rFonts w:hint="eastAsia" w:ascii="仿宋_GB2312" w:hAnsi="仿宋_GB2312" w:eastAsia="仿宋_GB2312" w:cs="Times New Roman"/>
          <w:kern w:val="2"/>
          <w:sz w:val="32"/>
          <w:szCs w:val="32"/>
          <w:highlight w:val="none"/>
          <w:lang w:val="en-US" w:eastAsia="zh-CN" w:bidi="ar-SA"/>
        </w:rPr>
        <w:t>作物收获季节，县级农业农村部门组织开展测产，并确保公平公正公开。各项目实施主体2025年10月底前完成项目实施，并准备项目验收相关材料，县级农业农村主管部门牵头会同有关部门及时组织验收并拨付资金，总结工作情况，按照绩效评价工作要求建立并完善项目实施档案。</w:t>
      </w:r>
      <w:bookmarkEnd w:id="25"/>
    </w:p>
    <w:p w14:paraId="0C9897BB">
      <w:pPr>
        <w:keepNext w:val="0"/>
        <w:keepLines w:val="0"/>
        <w:pageBreakBefore w:val="0"/>
        <w:widowControl w:val="0"/>
        <w:numPr>
          <w:ilvl w:val="0"/>
          <w:numId w:val="0"/>
        </w:numPr>
        <w:pBdr>
          <w:bottom w:val="single" w:color="FFFFFF" w:sz="4" w:space="31"/>
        </w:pBdr>
        <w:tabs>
          <w:tab w:val="left" w:pos="0"/>
        </w:tabs>
        <w:kinsoku/>
        <w:wordWrap/>
        <w:overflowPunct/>
        <w:topLinePunct w:val="0"/>
        <w:autoSpaceDE/>
        <w:autoSpaceDN/>
        <w:bidi w:val="0"/>
        <w:adjustRightInd/>
        <w:snapToGrid/>
        <w:spacing w:line="560" w:lineRule="exact"/>
        <w:ind w:leftChars="0" w:firstLine="640" w:firstLineChars="200"/>
        <w:textAlignment w:val="auto"/>
        <w:outlineLvl w:val="0"/>
        <w:rPr>
          <w:rFonts w:hint="eastAsia"/>
          <w:lang w:val="en-US" w:eastAsia="zh-CN"/>
        </w:rPr>
      </w:pPr>
      <w:bookmarkStart w:id="26" w:name="_Toc23573"/>
      <w:r>
        <w:rPr>
          <w:rFonts w:hint="eastAsia" w:ascii="楷体_GB2312" w:hAnsi="楷体_GB2312" w:eastAsia="楷体_GB2312" w:cs="楷体_GB2312"/>
          <w:kern w:val="2"/>
          <w:sz w:val="32"/>
          <w:szCs w:val="32"/>
          <w:highlight w:val="none"/>
          <w:lang w:val="en-US" w:eastAsia="zh-CN" w:bidi="ar-SA"/>
        </w:rPr>
        <w:t>（五）绩效评价。</w:t>
      </w:r>
      <w:r>
        <w:rPr>
          <w:rFonts w:hint="eastAsia" w:ascii="仿宋_GB2312" w:hAnsi="仿宋_GB2312" w:eastAsia="仿宋_GB2312" w:cs="Times New Roman"/>
          <w:kern w:val="2"/>
          <w:sz w:val="32"/>
          <w:szCs w:val="32"/>
          <w:highlight w:val="none"/>
          <w:lang w:val="en-US" w:eastAsia="zh-CN" w:bidi="ar-SA"/>
        </w:rPr>
        <w:t>市级农业农村部门对各项目县(市、区)进行项目检查审核。按照财政部、农业农村部绩效评价要求，省农业农村厅对项目实施情况、实施效果、验收情况、资金兑付、档案资料存档情况等进行抽查，开展绩效评价。</w:t>
      </w:r>
      <w:bookmarkEnd w:id="26"/>
    </w:p>
    <w:p w14:paraId="771F569D">
      <w:pPr>
        <w:keepNext w:val="0"/>
        <w:keepLines w:val="0"/>
        <w:pageBreakBefore w:val="0"/>
        <w:widowControl w:val="0"/>
        <w:numPr>
          <w:ilvl w:val="0"/>
          <w:numId w:val="0"/>
        </w:numPr>
        <w:pBdr>
          <w:bottom w:val="single" w:color="FFFFFF" w:sz="4" w:space="31"/>
        </w:pBdr>
        <w:tabs>
          <w:tab w:val="left" w:pos="0"/>
        </w:tabs>
        <w:kinsoku/>
        <w:wordWrap/>
        <w:overflowPunct/>
        <w:topLinePunct w:val="0"/>
        <w:autoSpaceDE/>
        <w:autoSpaceDN/>
        <w:bidi w:val="0"/>
        <w:adjustRightInd/>
        <w:snapToGrid/>
        <w:spacing w:line="560" w:lineRule="exact"/>
        <w:ind w:leftChars="0" w:firstLine="640" w:firstLineChars="200"/>
        <w:textAlignment w:val="auto"/>
        <w:outlineLvl w:val="0"/>
        <w:rPr>
          <w:rFonts w:hint="eastAsia" w:ascii="Times New Roman" w:hAnsi="Times New Roman" w:eastAsia="黑体" w:cs="Times New Roman"/>
          <w:color w:val="000000"/>
          <w:sz w:val="32"/>
          <w:szCs w:val="32"/>
          <w:highlight w:val="none"/>
          <w:lang w:val="en-US" w:eastAsia="zh-CN"/>
        </w:rPr>
      </w:pPr>
      <w:bookmarkStart w:id="27" w:name="_Toc10216"/>
      <w:r>
        <w:rPr>
          <w:rFonts w:hint="eastAsia" w:eastAsia="黑体" w:cs="Times New Roman"/>
          <w:color w:val="000000"/>
          <w:sz w:val="32"/>
          <w:szCs w:val="32"/>
          <w:highlight w:val="none"/>
          <w:lang w:val="en-US" w:eastAsia="zh-CN"/>
        </w:rPr>
        <w:t>四</w:t>
      </w:r>
      <w:r>
        <w:rPr>
          <w:rFonts w:hint="eastAsia" w:ascii="Times New Roman" w:hAnsi="Times New Roman" w:eastAsia="黑体" w:cs="Times New Roman"/>
          <w:color w:val="000000"/>
          <w:sz w:val="32"/>
          <w:szCs w:val="32"/>
          <w:highlight w:val="none"/>
          <w:lang w:val="en-US" w:eastAsia="zh-CN"/>
        </w:rPr>
        <w:t>、资金支持环节、补助标准和补助方式</w:t>
      </w:r>
      <w:bookmarkEnd w:id="16"/>
      <w:bookmarkEnd w:id="17"/>
      <w:bookmarkEnd w:id="18"/>
      <w:bookmarkEnd w:id="19"/>
      <w:bookmarkEnd w:id="20"/>
      <w:bookmarkEnd w:id="21"/>
      <w:bookmarkEnd w:id="27"/>
    </w:p>
    <w:p w14:paraId="37024E0A">
      <w:pPr>
        <w:keepNext w:val="0"/>
        <w:keepLines w:val="0"/>
        <w:pageBreakBefore w:val="0"/>
        <w:widowControl w:val="0"/>
        <w:numPr>
          <w:ilvl w:val="0"/>
          <w:numId w:val="0"/>
        </w:numPr>
        <w:pBdr>
          <w:bottom w:val="single" w:color="FFFFFF" w:sz="4" w:space="31"/>
        </w:pBdr>
        <w:tabs>
          <w:tab w:val="left" w:pos="0"/>
        </w:tabs>
        <w:kinsoku/>
        <w:wordWrap/>
        <w:overflowPunct/>
        <w:topLinePunct w:val="0"/>
        <w:autoSpaceDE/>
        <w:autoSpaceDN/>
        <w:bidi w:val="0"/>
        <w:adjustRightInd/>
        <w:snapToGrid/>
        <w:spacing w:line="560" w:lineRule="exact"/>
        <w:ind w:leftChars="0" w:firstLine="640" w:firstLineChars="200"/>
        <w:textAlignment w:val="auto"/>
        <w:outlineLvl w:val="9"/>
        <w:rPr>
          <w:rFonts w:hint="eastAsia" w:ascii="仿宋_GB2312" w:hAnsi="仿宋_GB2312" w:eastAsia="仿宋_GB2312" w:cs="仿宋_GB2312"/>
          <w:b w:val="0"/>
          <w:bCs w:val="0"/>
          <w:color w:val="000000"/>
          <w:kern w:val="2"/>
          <w:sz w:val="32"/>
          <w:szCs w:val="32"/>
          <w:lang w:val="en-US" w:eastAsia="zh-CN"/>
        </w:rPr>
      </w:pPr>
      <w:r>
        <w:rPr>
          <w:rFonts w:hint="default" w:ascii="楷体_GB2312" w:hAnsi="楷体_GB2312" w:eastAsia="楷体_GB2312" w:cs="楷体_GB2312"/>
          <w:sz w:val="32"/>
          <w:szCs w:val="32"/>
          <w:highlight w:val="none"/>
          <w:lang w:val="en-US" w:eastAsia="zh-CN"/>
        </w:rPr>
        <w:t>（</w:t>
      </w:r>
      <w:r>
        <w:rPr>
          <w:rFonts w:hint="eastAsia" w:ascii="楷体_GB2312" w:hAnsi="楷体_GB2312" w:eastAsia="楷体_GB2312" w:cs="楷体_GB2312"/>
          <w:sz w:val="32"/>
          <w:szCs w:val="32"/>
          <w:highlight w:val="none"/>
          <w:lang w:val="en-US" w:eastAsia="zh-CN"/>
        </w:rPr>
        <w:t>一</w:t>
      </w:r>
      <w:r>
        <w:rPr>
          <w:rFonts w:hint="default" w:ascii="楷体_GB2312" w:hAnsi="楷体_GB2312" w:eastAsia="楷体_GB2312" w:cs="楷体_GB2312"/>
          <w:sz w:val="32"/>
          <w:szCs w:val="32"/>
          <w:highlight w:val="none"/>
          <w:lang w:val="en-US" w:eastAsia="zh-CN"/>
        </w:rPr>
        <w:t>）</w:t>
      </w:r>
      <w:r>
        <w:rPr>
          <w:rFonts w:hint="eastAsia" w:ascii="楷体_GB2312" w:hAnsi="楷体_GB2312" w:eastAsia="楷体_GB2312" w:cs="楷体_GB2312"/>
          <w:sz w:val="32"/>
          <w:szCs w:val="32"/>
          <w:highlight w:val="none"/>
          <w:lang w:val="en-US" w:eastAsia="zh-CN"/>
        </w:rPr>
        <w:t>支持</w:t>
      </w:r>
      <w:r>
        <w:rPr>
          <w:rFonts w:hint="default" w:ascii="楷体_GB2312" w:hAnsi="楷体_GB2312" w:eastAsia="楷体_GB2312" w:cs="楷体_GB2312"/>
          <w:sz w:val="32"/>
          <w:szCs w:val="32"/>
          <w:highlight w:val="none"/>
          <w:lang w:val="en-US" w:eastAsia="zh-CN"/>
        </w:rPr>
        <w:t>环节。</w:t>
      </w:r>
      <w:r>
        <w:rPr>
          <w:rFonts w:hint="eastAsia" w:ascii="仿宋_GB2312" w:hAnsi="仿宋_GB2312" w:eastAsia="仿宋_GB2312" w:cs="仿宋_GB2312"/>
          <w:sz w:val="32"/>
          <w:szCs w:val="32"/>
          <w:highlight w:val="none"/>
          <w:lang w:val="en-US" w:eastAsia="zh-CN"/>
        </w:rPr>
        <w:t>为提升项目实施效果，</w:t>
      </w:r>
      <w:r>
        <w:rPr>
          <w:rFonts w:hint="eastAsia" w:ascii="仿宋_GB2312" w:hAnsi="仿宋_GB2312" w:eastAsia="仿宋_GB2312" w:cs="仿宋_GB2312"/>
          <w:sz w:val="32"/>
          <w:szCs w:val="32"/>
          <w:lang w:val="en-US" w:eastAsia="zh-CN"/>
        </w:rPr>
        <w:t>鼓励项目县聚焦1个作物开展单产攻关，规模化示范带动大面积均衡增产（对大豆玉米带状复合项目不重复补贴）。</w:t>
      </w:r>
      <w:r>
        <w:rPr>
          <w:rFonts w:hint="eastAsia" w:ascii="仿宋_GB2312" w:hAnsi="仿宋_GB2312" w:eastAsia="仿宋_GB2312" w:cs="仿宋_GB2312"/>
          <w:b w:val="0"/>
          <w:bCs w:val="0"/>
          <w:color w:val="000000"/>
          <w:kern w:val="2"/>
          <w:sz w:val="32"/>
          <w:szCs w:val="32"/>
          <w:lang w:val="en-US" w:eastAsia="zh-CN"/>
        </w:rPr>
        <w:t>支持家庭农场、合作社等规模种植主体推广应用粮油新品种、新肥料、新农药、新技术、新模式，购置使用技术和财务管理软件、购置先进农机装备（与农机购置补贴不重复支持）、改善提升基础设施、开展信息化智慧农业建设，着力提高大豆大垄密植、玉米密植高产精准调控、小麦宽幅精播、水稻侧深施肥、花生膜下滴灌、秋粮“一喷多促”等节水、节肥、节药绿色高效关键技术到位率和覆盖面（与绿色高产高效、农业节水、单产提升工程县等项目建设内容不重复支持）。</w:t>
      </w:r>
    </w:p>
    <w:p w14:paraId="5753713E">
      <w:pPr>
        <w:keepNext w:val="0"/>
        <w:keepLines w:val="0"/>
        <w:pageBreakBefore w:val="0"/>
        <w:widowControl w:val="0"/>
        <w:numPr>
          <w:ilvl w:val="0"/>
          <w:numId w:val="0"/>
        </w:numPr>
        <w:pBdr>
          <w:bottom w:val="single" w:color="FFFFFF" w:sz="4" w:space="31"/>
        </w:pBdr>
        <w:tabs>
          <w:tab w:val="left" w:pos="0"/>
        </w:tabs>
        <w:kinsoku/>
        <w:wordWrap/>
        <w:overflowPunct/>
        <w:topLinePunct w:val="0"/>
        <w:autoSpaceDE/>
        <w:autoSpaceDN/>
        <w:bidi w:val="0"/>
        <w:adjustRightInd/>
        <w:snapToGrid/>
        <w:spacing w:line="560" w:lineRule="exact"/>
        <w:ind w:leftChars="0" w:firstLine="640" w:firstLineChars="200"/>
        <w:textAlignment w:val="auto"/>
        <w:outlineLvl w:val="9"/>
        <w:rPr>
          <w:rFonts w:hint="eastAsia" w:ascii="仿宋_GB2312" w:hAnsi="仿宋_GB2312" w:eastAsia="仿宋_GB2312" w:cs="仿宋_GB2312"/>
          <w:kern w:val="0"/>
          <w:sz w:val="32"/>
          <w:szCs w:val="32"/>
          <w:lang w:val="en-US" w:eastAsia="zh-CN" w:bidi="ar-SA"/>
        </w:rPr>
      </w:pPr>
      <w:r>
        <w:rPr>
          <w:rFonts w:hint="eastAsia" w:ascii="楷体_GB2312" w:hAnsi="楷体_GB2312" w:eastAsia="楷体_GB2312" w:cs="楷体_GB2312"/>
          <w:sz w:val="32"/>
          <w:szCs w:val="32"/>
          <w:highlight w:val="none"/>
          <w:lang w:val="en-US" w:eastAsia="zh-CN"/>
        </w:rPr>
        <w:t>（二</w:t>
      </w:r>
      <w:r>
        <w:rPr>
          <w:rFonts w:hint="default" w:ascii="楷体_GB2312" w:hAnsi="楷体_GB2312" w:eastAsia="楷体_GB2312" w:cs="楷体_GB2312"/>
          <w:sz w:val="32"/>
          <w:szCs w:val="32"/>
          <w:highlight w:val="none"/>
          <w:lang w:val="en-US" w:eastAsia="zh-CN"/>
        </w:rPr>
        <w:t>）补助标准。</w:t>
      </w:r>
      <w:r>
        <w:rPr>
          <w:rFonts w:hint="eastAsia" w:ascii="仿宋_GB2312" w:hAnsi="仿宋_GB2312" w:eastAsia="仿宋_GB2312" w:cs="仿宋_GB2312"/>
          <w:b w:val="0"/>
          <w:bCs w:val="0"/>
          <w:color w:val="000000"/>
          <w:kern w:val="2"/>
          <w:sz w:val="32"/>
          <w:szCs w:val="32"/>
          <w:lang w:val="en-US" w:eastAsia="zh-CN"/>
        </w:rPr>
        <w:t>对于从事</w:t>
      </w:r>
      <w:r>
        <w:rPr>
          <w:rFonts w:hint="eastAsia" w:ascii="仿宋_GB2312" w:hAnsi="仿宋_GB2312" w:eastAsia="仿宋_GB2312" w:cs="Times New Roman"/>
          <w:kern w:val="2"/>
          <w:sz w:val="32"/>
          <w:szCs w:val="32"/>
          <w:highlight w:val="none"/>
          <w:lang w:val="en-US" w:eastAsia="zh-CN"/>
        </w:rPr>
        <w:t>粮油规模种植的家庭农场一般每个补助5-10万元，农民合作社等新型经营主体</w:t>
      </w:r>
      <w:r>
        <w:rPr>
          <w:rFonts w:hint="eastAsia" w:ascii="仿宋_GB2312" w:hAnsi="仿宋_GB2312" w:eastAsia="仿宋_GB2312" w:cs="仿宋_GB2312"/>
          <w:kern w:val="0"/>
          <w:sz w:val="32"/>
          <w:szCs w:val="32"/>
          <w:lang w:val="en-US" w:eastAsia="zh-CN" w:bidi="ar-SA"/>
        </w:rPr>
        <w:t>每个补助资金一般在10-25万元左右，对于部分成果明显、成绩突出、影响较大的主体，可以予以资金倾斜，由各县结合当地新型农业经营主体发展实际提出意见，报市级农业农村部门审核后确定，在完成绩效目标的情况下，支持数量不限，项目资金可以不平均安排。</w:t>
      </w:r>
    </w:p>
    <w:p w14:paraId="780AB13E">
      <w:pPr>
        <w:keepNext w:val="0"/>
        <w:keepLines w:val="0"/>
        <w:pageBreakBefore w:val="0"/>
        <w:widowControl w:val="0"/>
        <w:numPr>
          <w:ilvl w:val="0"/>
          <w:numId w:val="0"/>
        </w:numPr>
        <w:pBdr>
          <w:bottom w:val="single" w:color="FFFFFF" w:sz="4" w:space="31"/>
        </w:pBdr>
        <w:tabs>
          <w:tab w:val="left" w:pos="0"/>
        </w:tabs>
        <w:kinsoku/>
        <w:wordWrap/>
        <w:overflowPunct/>
        <w:topLinePunct w:val="0"/>
        <w:autoSpaceDE/>
        <w:autoSpaceDN/>
        <w:bidi w:val="0"/>
        <w:adjustRightInd/>
        <w:snapToGrid/>
        <w:spacing w:line="560" w:lineRule="exact"/>
        <w:ind w:leftChars="0" w:firstLine="640" w:firstLineChars="200"/>
        <w:textAlignment w:val="auto"/>
        <w:outlineLvl w:val="9"/>
        <w:rPr>
          <w:rFonts w:hint="default" w:ascii="仿宋_GB2312" w:hAnsi="仿宋_GB2312" w:eastAsia="仿宋_GB2312" w:cs="仿宋_GB2312"/>
          <w:sz w:val="32"/>
          <w:szCs w:val="32"/>
          <w:highlight w:val="none"/>
          <w:lang w:val="en-US" w:eastAsia="zh-CN"/>
        </w:rPr>
      </w:pPr>
      <w:r>
        <w:rPr>
          <w:rFonts w:hint="default" w:ascii="楷体_GB2312" w:hAnsi="楷体_GB2312" w:eastAsia="楷体_GB2312" w:cs="楷体_GB2312"/>
          <w:sz w:val="32"/>
          <w:szCs w:val="32"/>
          <w:highlight w:val="none"/>
          <w:lang w:val="en-US" w:eastAsia="zh-CN"/>
        </w:rPr>
        <w:t>（</w:t>
      </w:r>
      <w:r>
        <w:rPr>
          <w:rFonts w:hint="eastAsia" w:ascii="楷体_GB2312" w:hAnsi="楷体_GB2312" w:eastAsia="楷体_GB2312" w:cs="楷体_GB2312"/>
          <w:sz w:val="32"/>
          <w:szCs w:val="32"/>
          <w:highlight w:val="none"/>
          <w:lang w:val="en-US" w:eastAsia="zh-CN"/>
        </w:rPr>
        <w:t>三</w:t>
      </w:r>
      <w:r>
        <w:rPr>
          <w:rFonts w:hint="default" w:ascii="楷体_GB2312" w:hAnsi="楷体_GB2312" w:eastAsia="楷体_GB2312" w:cs="楷体_GB2312"/>
          <w:sz w:val="32"/>
          <w:szCs w:val="32"/>
          <w:highlight w:val="none"/>
          <w:lang w:val="en-US" w:eastAsia="zh-CN"/>
        </w:rPr>
        <w:t>）补助方式。</w:t>
      </w:r>
      <w:r>
        <w:rPr>
          <w:rFonts w:hint="eastAsia" w:ascii="仿宋_GB2312" w:hAnsi="仿宋_GB2312" w:eastAsia="仿宋_GB2312" w:cs="仿宋_GB2312"/>
          <w:b w:val="0"/>
          <w:bCs w:val="0"/>
          <w:color w:val="000000"/>
          <w:sz w:val="32"/>
          <w:szCs w:val="32"/>
          <w:lang w:val="en-US" w:eastAsia="zh-CN"/>
        </w:rPr>
        <w:t>实行以奖代补报账制管理方式，新型农业经营主体完成项目后，由县级农业农村部门会同财政部门现场验收后，符合条件的及时拨付资金。</w:t>
      </w:r>
    </w:p>
    <w:p w14:paraId="3504D57C">
      <w:pPr>
        <w:keepNext w:val="0"/>
        <w:keepLines w:val="0"/>
        <w:pageBreakBefore w:val="0"/>
        <w:widowControl w:val="0"/>
        <w:numPr>
          <w:ilvl w:val="0"/>
          <w:numId w:val="0"/>
        </w:numPr>
        <w:pBdr>
          <w:bottom w:val="single" w:color="FFFFFF" w:sz="4" w:space="31"/>
        </w:pBdr>
        <w:tabs>
          <w:tab w:val="left" w:pos="0"/>
        </w:tabs>
        <w:kinsoku/>
        <w:wordWrap/>
        <w:overflowPunct/>
        <w:topLinePunct w:val="0"/>
        <w:autoSpaceDE/>
        <w:autoSpaceDN/>
        <w:bidi w:val="0"/>
        <w:adjustRightInd/>
        <w:snapToGrid/>
        <w:spacing w:line="560" w:lineRule="exact"/>
        <w:ind w:leftChars="0" w:firstLine="640" w:firstLineChars="200"/>
        <w:textAlignment w:val="auto"/>
        <w:outlineLvl w:val="0"/>
        <w:rPr>
          <w:rFonts w:hint="eastAsia" w:ascii="黑体" w:hAnsi="黑体" w:eastAsia="黑体" w:cs="黑体"/>
          <w:sz w:val="32"/>
          <w:szCs w:val="32"/>
          <w:highlight w:val="none"/>
          <w:lang w:val="en-US" w:eastAsia="zh-CN"/>
        </w:rPr>
      </w:pPr>
      <w:bookmarkStart w:id="28" w:name="_Toc22092"/>
      <w:r>
        <w:rPr>
          <w:rFonts w:hint="eastAsia" w:ascii="黑体" w:hAnsi="黑体" w:eastAsia="黑体" w:cs="黑体"/>
          <w:sz w:val="32"/>
          <w:szCs w:val="32"/>
          <w:highlight w:val="none"/>
          <w:lang w:val="en-US" w:eastAsia="zh-CN"/>
        </w:rPr>
        <w:t>五、申报审批程序</w:t>
      </w:r>
      <w:bookmarkEnd w:id="28"/>
    </w:p>
    <w:p w14:paraId="2BC68B87">
      <w:pPr>
        <w:keepNext w:val="0"/>
        <w:keepLines w:val="0"/>
        <w:pageBreakBefore w:val="0"/>
        <w:widowControl w:val="0"/>
        <w:numPr>
          <w:ilvl w:val="0"/>
          <w:numId w:val="0"/>
        </w:numPr>
        <w:pBdr>
          <w:bottom w:val="single" w:color="FFFFFF" w:sz="4" w:space="31"/>
        </w:pBdr>
        <w:tabs>
          <w:tab w:val="left" w:pos="0"/>
        </w:tabs>
        <w:kinsoku/>
        <w:wordWrap/>
        <w:overflowPunct/>
        <w:topLinePunct w:val="0"/>
        <w:autoSpaceDE/>
        <w:autoSpaceDN/>
        <w:bidi w:val="0"/>
        <w:adjustRightInd/>
        <w:snapToGrid/>
        <w:spacing w:line="560" w:lineRule="exact"/>
        <w:ind w:leftChars="0" w:firstLine="640" w:firstLineChars="200"/>
        <w:textAlignment w:val="auto"/>
        <w:outlineLvl w:val="9"/>
        <w:rPr>
          <w:rFonts w:hint="eastAsia"/>
          <w:lang w:val="en-US" w:eastAsia="zh-CN"/>
        </w:rPr>
      </w:pPr>
      <w:r>
        <w:rPr>
          <w:rFonts w:hint="eastAsia" w:ascii="仿宋_GB2312" w:hAnsi="仿宋_GB2312" w:eastAsia="仿宋_GB2312" w:cs="仿宋_GB2312"/>
          <w:sz w:val="32"/>
          <w:szCs w:val="32"/>
          <w:highlight w:val="none"/>
        </w:rPr>
        <w:t>县级</w:t>
      </w:r>
      <w:r>
        <w:rPr>
          <w:rFonts w:hint="eastAsia" w:ascii="仿宋_GB2312" w:hAnsi="仿宋_GB2312" w:eastAsia="仿宋_GB2312" w:cs="仿宋_GB2312"/>
          <w:sz w:val="32"/>
          <w:szCs w:val="32"/>
          <w:highlight w:val="none"/>
          <w:lang w:eastAsia="zh-CN"/>
        </w:rPr>
        <w:t>推荐、</w:t>
      </w:r>
      <w:r>
        <w:rPr>
          <w:rFonts w:hint="eastAsia" w:ascii="仿宋_GB2312" w:hAnsi="仿宋_GB2312" w:eastAsia="仿宋_GB2312" w:cs="仿宋_GB2312"/>
          <w:sz w:val="32"/>
          <w:szCs w:val="32"/>
          <w:highlight w:val="none"/>
        </w:rPr>
        <w:t>市级</w:t>
      </w:r>
      <w:r>
        <w:rPr>
          <w:rFonts w:hint="eastAsia" w:ascii="仿宋_GB2312" w:hAnsi="仿宋_GB2312" w:eastAsia="仿宋_GB2312" w:cs="仿宋_GB2312"/>
          <w:sz w:val="32"/>
          <w:szCs w:val="32"/>
          <w:highlight w:val="none"/>
          <w:lang w:eastAsia="zh-CN"/>
        </w:rPr>
        <w:t>审核、</w:t>
      </w:r>
      <w:r>
        <w:rPr>
          <w:rFonts w:hint="eastAsia" w:ascii="仿宋_GB2312" w:hAnsi="仿宋_GB2312" w:eastAsia="仿宋_GB2312" w:cs="仿宋_GB2312"/>
          <w:sz w:val="32"/>
          <w:szCs w:val="32"/>
          <w:highlight w:val="none"/>
        </w:rPr>
        <w:t>省级</w:t>
      </w:r>
      <w:r>
        <w:rPr>
          <w:rFonts w:hint="eastAsia" w:ascii="仿宋_GB2312" w:hAnsi="仿宋_GB2312" w:eastAsia="仿宋_GB2312" w:cs="仿宋_GB2312"/>
          <w:sz w:val="32"/>
          <w:szCs w:val="32"/>
          <w:highlight w:val="none"/>
          <w:lang w:val="en-US" w:eastAsia="zh-CN"/>
        </w:rPr>
        <w:t>备案</w:t>
      </w:r>
      <w:r>
        <w:rPr>
          <w:rFonts w:hint="eastAsia" w:ascii="仿宋_GB2312" w:hAnsi="仿宋_GB2312" w:eastAsia="仿宋_GB2312" w:cs="仿宋_GB2312"/>
          <w:sz w:val="32"/>
          <w:szCs w:val="32"/>
          <w:highlight w:val="none"/>
        </w:rPr>
        <w:t>。</w:t>
      </w:r>
    </w:p>
    <w:p w14:paraId="7752E826">
      <w:pPr>
        <w:keepNext w:val="0"/>
        <w:keepLines w:val="0"/>
        <w:pageBreakBefore w:val="0"/>
        <w:widowControl w:val="0"/>
        <w:numPr>
          <w:ilvl w:val="0"/>
          <w:numId w:val="0"/>
        </w:numPr>
        <w:pBdr>
          <w:bottom w:val="single" w:color="FFFFFF" w:sz="4" w:space="31"/>
        </w:pBdr>
        <w:tabs>
          <w:tab w:val="left" w:pos="0"/>
        </w:tabs>
        <w:kinsoku/>
        <w:wordWrap/>
        <w:overflowPunct/>
        <w:topLinePunct w:val="0"/>
        <w:autoSpaceDE/>
        <w:autoSpaceDN/>
        <w:bidi w:val="0"/>
        <w:adjustRightInd/>
        <w:snapToGrid/>
        <w:spacing w:line="560" w:lineRule="exact"/>
        <w:ind w:leftChars="0" w:firstLine="640" w:firstLineChars="200"/>
        <w:textAlignment w:val="auto"/>
        <w:outlineLvl w:val="0"/>
        <w:rPr>
          <w:rFonts w:hint="eastAsia" w:ascii="黑体" w:eastAsia="黑体"/>
          <w:color w:val="000000"/>
          <w:sz w:val="32"/>
          <w:szCs w:val="32"/>
          <w:highlight w:val="none"/>
          <w:lang w:val="en-US" w:eastAsia="zh-CN"/>
        </w:rPr>
      </w:pPr>
      <w:bookmarkStart w:id="29" w:name="_Toc12794"/>
      <w:r>
        <w:rPr>
          <w:rFonts w:hint="eastAsia" w:ascii="黑体" w:hAnsi="黑体" w:eastAsia="黑体" w:cs="黑体"/>
          <w:sz w:val="32"/>
          <w:szCs w:val="32"/>
          <w:highlight w:val="none"/>
          <w:lang w:val="en-US" w:eastAsia="zh-CN"/>
        </w:rPr>
        <w:t>六</w:t>
      </w:r>
      <w:r>
        <w:rPr>
          <w:rFonts w:hint="eastAsia" w:ascii="黑体" w:hAnsi="黑体" w:eastAsia="黑体" w:cs="黑体"/>
          <w:sz w:val="32"/>
          <w:szCs w:val="32"/>
          <w:highlight w:val="none"/>
        </w:rPr>
        <w:t>、有关要求</w:t>
      </w:r>
      <w:r>
        <w:rPr>
          <w:rFonts w:hint="eastAsia" w:ascii="黑体" w:hAnsi="黑体" w:eastAsia="黑体" w:cs="黑体"/>
          <w:sz w:val="32"/>
          <w:szCs w:val="32"/>
          <w:highlight w:val="none"/>
          <w:lang w:eastAsia="zh-CN"/>
        </w:rPr>
        <w:t>及</w:t>
      </w:r>
      <w:r>
        <w:rPr>
          <w:rFonts w:hint="eastAsia" w:ascii="黑体" w:eastAsia="黑体"/>
          <w:color w:val="000000"/>
          <w:sz w:val="32"/>
          <w:szCs w:val="32"/>
          <w:highlight w:val="none"/>
          <w:lang w:val="en-US" w:eastAsia="zh-CN"/>
        </w:rPr>
        <w:t>联系方式</w:t>
      </w:r>
      <w:bookmarkEnd w:id="29"/>
    </w:p>
    <w:p w14:paraId="034149E0">
      <w:pPr>
        <w:keepNext w:val="0"/>
        <w:keepLines w:val="0"/>
        <w:pageBreakBefore w:val="0"/>
        <w:widowControl w:val="0"/>
        <w:numPr>
          <w:ilvl w:val="0"/>
          <w:numId w:val="0"/>
        </w:numPr>
        <w:pBdr>
          <w:bottom w:val="single" w:color="FFFFFF" w:sz="4" w:space="31"/>
        </w:pBdr>
        <w:tabs>
          <w:tab w:val="left" w:pos="0"/>
        </w:tabs>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楷体_GB2312" w:hAnsi="楷体_GB2312" w:eastAsia="楷体_GB2312" w:cs="楷体_GB2312"/>
          <w:color w:val="auto"/>
          <w:sz w:val="32"/>
          <w:szCs w:val="32"/>
          <w:lang w:eastAsia="zh-CN"/>
        </w:rPr>
      </w:pPr>
      <w:r>
        <w:rPr>
          <w:rFonts w:hint="eastAsia" w:ascii="仿宋_GB2312" w:hAnsi="仿宋_GB2312" w:eastAsia="仿宋_GB2312" w:cs="仿宋_GB2312"/>
          <w:sz w:val="32"/>
          <w:szCs w:val="32"/>
          <w:highlight w:val="none"/>
          <w:lang w:eastAsia="zh-CN"/>
        </w:rPr>
        <w:t>每市遴选申报县数不超过当地县（市、区）总数的</w:t>
      </w:r>
      <w:r>
        <w:rPr>
          <w:rFonts w:hint="eastAsia" w:ascii="仿宋_GB2312" w:hAnsi="仿宋_GB2312" w:eastAsia="仿宋_GB2312" w:cs="仿宋_GB2312"/>
          <w:sz w:val="32"/>
          <w:szCs w:val="32"/>
          <w:highlight w:val="none"/>
          <w:lang w:val="en-US" w:eastAsia="zh-CN"/>
        </w:rPr>
        <w:t>60%，并</w:t>
      </w:r>
      <w:r>
        <w:rPr>
          <w:rFonts w:hint="eastAsia" w:ascii="仿宋_GB2312" w:hAnsi="仿宋_GB2312" w:eastAsia="仿宋_GB2312" w:cs="仿宋_GB2312"/>
          <w:sz w:val="32"/>
          <w:szCs w:val="32"/>
          <w:highlight w:val="none"/>
        </w:rPr>
        <w:t>指导有关县（市、区）编制</w:t>
      </w:r>
      <w:r>
        <w:rPr>
          <w:rFonts w:hint="eastAsia" w:ascii="仿宋_GB2312" w:hAnsi="仿宋_GB2312" w:eastAsia="仿宋_GB2312" w:cs="仿宋_GB2312"/>
          <w:kern w:val="2"/>
          <w:sz w:val="32"/>
          <w:szCs w:val="32"/>
          <w:highlight w:val="none"/>
          <w:lang w:val="en-US" w:eastAsia="zh-CN" w:bidi="ar-SA"/>
        </w:rPr>
        <w:t>项目申报书</w:t>
      </w:r>
      <w:r>
        <w:rPr>
          <w:rFonts w:hint="eastAsia" w:ascii="仿宋_GB2312" w:hAnsi="仿宋_GB2312" w:eastAsia="仿宋_GB2312" w:cs="仿宋_GB2312"/>
          <w:sz w:val="32"/>
          <w:szCs w:val="32"/>
          <w:highlight w:val="none"/>
          <w:lang w:eastAsia="zh-CN"/>
        </w:rPr>
        <w:t>，明确每县重点支持作物、</w:t>
      </w:r>
      <w:r>
        <w:rPr>
          <w:rFonts w:hint="eastAsia" w:ascii="仿宋_GB2312" w:hAnsi="仿宋_GB2312" w:eastAsia="仿宋_GB2312" w:cs="Times New Roman"/>
          <w:kern w:val="2"/>
          <w:sz w:val="32"/>
          <w:szCs w:val="32"/>
          <w:highlight w:val="none"/>
          <w:lang w:val="en-US" w:eastAsia="zh-CN"/>
        </w:rPr>
        <w:t>示范带动单产提升关键技术亩次、申请补贴资金数额、扶持主体个数（不具体到主体名单）等，</w:t>
      </w:r>
      <w:r>
        <w:rPr>
          <w:rFonts w:hint="eastAsia" w:ascii="仿宋_GB2312" w:hAnsi="仿宋_GB2312" w:eastAsia="仿宋_GB2312" w:cs="Times New Roman"/>
          <w:sz w:val="32"/>
          <w:szCs w:val="22"/>
          <w:highlight w:val="none"/>
          <w:lang w:val="en-US" w:eastAsia="zh-CN"/>
        </w:rPr>
        <w:t>依托河北省涉农投融资项目管理平台“农业农村储备项目库”功能模块进行储备，11月15日前将储备项目通过平台报送省厅。</w:t>
      </w:r>
    </w:p>
    <w:p w14:paraId="488E2201">
      <w:pPr>
        <w:keepNext w:val="0"/>
        <w:keepLines w:val="0"/>
        <w:pageBreakBefore w:val="0"/>
        <w:widowControl/>
        <w:numPr>
          <w:ilvl w:val="0"/>
          <w:numId w:val="0"/>
        </w:numPr>
        <w:pBdr>
          <w:bottom w:val="single" w:color="FFFFFF" w:sz="4" w:space="31"/>
        </w:pBdr>
        <w:tabs>
          <w:tab w:val="left" w:pos="0"/>
        </w:tabs>
        <w:kinsoku/>
        <w:wordWrap/>
        <w:overflowPunct/>
        <w:topLinePunct w:val="0"/>
        <w:autoSpaceDE/>
        <w:autoSpaceDN/>
        <w:bidi w:val="0"/>
        <w:adjustRightInd/>
        <w:snapToGrid/>
        <w:spacing w:line="560" w:lineRule="exact"/>
        <w:ind w:leftChars="0" w:firstLine="640" w:firstLineChars="200"/>
        <w:textAlignment w:val="auto"/>
        <w:outlineLvl w:val="9"/>
        <w:rPr>
          <w:rFonts w:hint="eastAsia" w:ascii="仿宋_GB2312" w:hAnsi="仿宋_GB2312" w:eastAsia="仿宋_GB2312" w:cs="Times New Roman"/>
          <w:sz w:val="32"/>
          <w:szCs w:val="22"/>
          <w:highlight w:val="none"/>
          <w:lang w:val="en-US" w:eastAsia="zh-CN"/>
        </w:rPr>
      </w:pPr>
      <w:r>
        <w:rPr>
          <w:rFonts w:hint="eastAsia" w:ascii="仿宋_GB2312" w:hAnsi="仿宋_GB2312" w:eastAsia="仿宋_GB2312" w:cs="Times New Roman"/>
          <w:sz w:val="32"/>
          <w:szCs w:val="22"/>
          <w:highlight w:val="none"/>
          <w:lang w:val="en-US" w:eastAsia="zh-CN"/>
        </w:rPr>
        <w:t>联系人及联系方式：种植业处：黄含光  0311-86256898</w:t>
      </w:r>
    </w:p>
    <w:p w14:paraId="52149F8F">
      <w:pPr>
        <w:spacing w:line="560" w:lineRule="exact"/>
      </w:pPr>
    </w:p>
    <w:p w14:paraId="5696A817">
      <w:bookmarkStart w:id="30" w:name="_GoBack"/>
      <w:bookmarkEnd w:id="30"/>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
    <w:panose1 w:val="02010609060101010101"/>
    <w:charset w:val="86"/>
    <w:family w:val="auto"/>
    <w:pitch w:val="default"/>
    <w:sig w:usb0="800002BF" w:usb1="38CF7CFA" w:usb2="00000016" w:usb3="00000000" w:csb0="00040001" w:csb1="00000000"/>
  </w:font>
  <w:font w:name="方正小标宋简体">
    <w:panose1 w:val="02000000000000000000"/>
    <w:charset w:val="86"/>
    <w:family w:val="auto"/>
    <w:pitch w:val="default"/>
    <w:sig w:usb0="00000001" w:usb1="08000000" w:usb2="00000000" w:usb3="00000000" w:csb0="00040000" w:csb1="00000000"/>
  </w:font>
  <w:font w:name="仿宋_GB2312">
    <w:altName w:val="仿宋"/>
    <w:panose1 w:val="02010609030101010101"/>
    <w:charset w:val="86"/>
    <w:family w:val="auto"/>
    <w:pitch w:val="default"/>
    <w:sig w:usb0="00000000" w:usb1="00000000" w:usb2="00000000" w:usb3="00000000" w:csb0="00040000" w:csb1="00000000"/>
  </w:font>
  <w:font w:name="楷体_GB2312">
    <w:altName w:val="楷体"/>
    <w:panose1 w:val="02010609030101010101"/>
    <w:charset w:val="86"/>
    <w:family w:val="auto"/>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zljZTk4MGIzMzE1ZjdlNTM2MzNlMjU3M2Y5MDgxYjEifQ=="/>
  </w:docVars>
  <w:rsids>
    <w:rsidRoot w:val="3DDB5287"/>
    <w:rsid w:val="079078D4"/>
    <w:rsid w:val="3DDB528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2"/>
      <w:lang w:val="en-US" w:eastAsia="zh-CN" w:bidi="ar-SA"/>
    </w:rPr>
  </w:style>
  <w:style w:type="paragraph" w:styleId="2">
    <w:name w:val="heading 1"/>
    <w:basedOn w:val="1"/>
    <w:next w:val="1"/>
    <w:qFormat/>
    <w:uiPriority w:val="9"/>
    <w:pPr>
      <w:keepNext/>
      <w:keepLines/>
      <w:spacing w:line="560" w:lineRule="exact"/>
      <w:ind w:left="0" w:leftChars="0" w:right="0" w:rightChars="0"/>
      <w:jc w:val="center"/>
      <w:outlineLvl w:val="0"/>
    </w:pPr>
    <w:rPr>
      <w:rFonts w:ascii="Times New Roman" w:hAnsi="Times New Roman" w:eastAsia="方正小标宋简体"/>
      <w:bCs/>
      <w:color w:val="000000"/>
      <w:kern w:val="44"/>
      <w:sz w:val="44"/>
      <w:szCs w:val="44"/>
    </w:rPr>
  </w:style>
  <w:style w:type="character" w:default="1" w:styleId="4">
    <w:name w:val="Default Paragraph Font"/>
    <w:semiHidden/>
    <w:uiPriority w:val="0"/>
  </w:style>
  <w:style w:type="table" w:default="1" w:styleId="3">
    <w:name w:val="Normal Table"/>
    <w:semiHidden/>
    <w:qFormat/>
    <w:uiPriority w:val="0"/>
    <w:tblPr>
      <w:tblCellMar>
        <w:top w:w="0" w:type="dxa"/>
        <w:left w:w="108" w:type="dxa"/>
        <w:bottom w:w="0" w:type="dxa"/>
        <w:right w:w="108" w:type="dxa"/>
      </w:tblCellMar>
    </w:tblPr>
  </w:style>
  <w:style w:type="paragraph" w:customStyle="1" w:styleId="5">
    <w:name w:val="Default"/>
    <w:qFormat/>
    <w:uiPriority w:val="0"/>
    <w:pPr>
      <w:widowControl w:val="0"/>
      <w:autoSpaceDE w:val="0"/>
      <w:autoSpaceDN w:val="0"/>
      <w:adjustRightInd w:val="0"/>
      <w:spacing w:line="240" w:lineRule="atLeast"/>
      <w:jc w:val="center"/>
    </w:pPr>
    <w:rPr>
      <w:rFonts w:ascii="Times New Roman" w:hAnsi="Calibri" w:eastAsia="宋体" w:cs="Times New Roman"/>
      <w:sz w:val="21"/>
      <w:szCs w:val="22"/>
      <w:lang w:val="en-US" w:eastAsia="zh-CN" w:bidi="ar-SA"/>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5</Pages>
  <Words>0</Words>
  <Characters>0</Characters>
  <Lines>0</Lines>
  <Paragraphs>0</Paragraphs>
  <TotalTime>0</TotalTime>
  <ScaleCrop>false</ScaleCrop>
  <LinksUpToDate>false</LinksUpToDate>
  <CharactersWithSpaces>0</CharactersWithSpaces>
  <Application>WPS Office_12.1.0.18608_F1E327BC-269C-435d-A152-05C5408002CA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2024-11-07T00:24:00Z</dcterms:created>
  <dc:creator>wjjvshi</dc:creator>
  <cp:lastModifiedBy>wjjvshi</cp:lastModifiedBy>
  <dcterms:modified xsi:type="dcterms:W3CDTF">2024-11-07T00:25:18Z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2052-12.1.0.18608</vt:lpwstr>
  </property>
  <property fmtid="{D5CDD505-2E9C-101B-9397-08002B2CF9AE}" pid="3" name="ICV">
    <vt:lpwstr>28BB86D06F684C638C238B6D058A82DB_11</vt:lpwstr>
  </property>
</Properties>
</file>