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6AFA719">
      <w:pPr>
        <w:spacing w:before="101" w:line="230" w:lineRule="auto"/>
        <w:ind w:left="25"/>
      </w:pPr>
      <w:r>
        <w:rPr>
          <w:rFonts w:ascii="黑体" w:hAnsi="Arial" w:eastAsia="黑体" w:cs="黑体"/>
          <w:spacing w:val="-4"/>
          <w:sz w:val="28"/>
          <w:szCs w:val="28"/>
        </w:rPr>
        <w:t>附件2</w:t>
      </w:r>
    </w:p>
    <w:p w14:paraId="49048790">
      <w:pPr>
        <w:spacing w:before="160" w:line="214" w:lineRule="auto"/>
        <w:ind w:left="2501"/>
        <w:outlineLvl w:val="2"/>
        <w:rPr>
          <w:rFonts w:ascii="方正小标宋简体" w:eastAsia="方正小标宋简体" w:cs="方正小标宋简体"/>
          <w:spacing w:val="9"/>
          <w:sz w:val="44"/>
          <w:szCs w:val="44"/>
        </w:rPr>
      </w:pPr>
      <w:r>
        <w:rPr>
          <w:rFonts w:ascii="方正小标宋简体" w:eastAsia="方正小标宋简体" w:cs="方正小标宋简体"/>
          <w:spacing w:val="9"/>
          <w:sz w:val="44"/>
          <w:szCs w:val="44"/>
        </w:rPr>
        <w:t>保留</w:t>
      </w:r>
      <w:r>
        <w:rPr>
          <w:rFonts w:hint="eastAsia" w:ascii="方正小标宋简体" w:eastAsia="方正小标宋简体" w:cs="方正小标宋简体"/>
          <w:spacing w:val="9"/>
          <w:sz w:val="44"/>
          <w:szCs w:val="44"/>
        </w:rPr>
        <w:t>继续</w:t>
      </w:r>
      <w:r>
        <w:rPr>
          <w:rFonts w:ascii="方正小标宋简体" w:eastAsia="方正小标宋简体" w:cs="方正小标宋简体"/>
          <w:spacing w:val="9"/>
          <w:sz w:val="44"/>
          <w:szCs w:val="44"/>
        </w:rPr>
        <w:t>实施</w:t>
      </w:r>
      <w:r>
        <w:rPr>
          <w:rFonts w:hint="eastAsia" w:ascii="方正小标宋简体" w:eastAsia="方正小标宋简体" w:cs="方正小标宋简体"/>
          <w:spacing w:val="9"/>
          <w:sz w:val="44"/>
          <w:szCs w:val="44"/>
        </w:rPr>
        <w:t>的</w:t>
      </w:r>
      <w:r>
        <w:rPr>
          <w:rFonts w:ascii="方正小标宋简体" w:eastAsia="方正小标宋简体" w:cs="方正小标宋简体"/>
          <w:spacing w:val="9"/>
          <w:sz w:val="44"/>
          <w:szCs w:val="44"/>
        </w:rPr>
        <w:t>县政府</w:t>
      </w:r>
      <w:r>
        <w:rPr>
          <w:rFonts w:hint="eastAsia" w:ascii="方正小标宋简体" w:eastAsia="方正小标宋简体" w:cs="方正小标宋简体"/>
          <w:spacing w:val="9"/>
          <w:sz w:val="44"/>
          <w:szCs w:val="44"/>
        </w:rPr>
        <w:t>规范性文件情况汇总表</w:t>
      </w:r>
    </w:p>
    <w:p w14:paraId="0AEE56AC">
      <w:pPr>
        <w:spacing w:line="79" w:lineRule="exact"/>
      </w:pPr>
    </w:p>
    <w:tbl>
      <w:tblPr>
        <w:tblStyle w:val="4"/>
        <w:tblW w:w="12756" w:type="dxa"/>
        <w:tblInd w:w="20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280"/>
        <w:gridCol w:w="6735"/>
        <w:gridCol w:w="3741"/>
      </w:tblGrid>
      <w:tr w14:paraId="732E113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8" w:hRule="atLeast"/>
        </w:trPr>
        <w:tc>
          <w:tcPr>
            <w:tcW w:w="228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/>
          </w:tcPr>
          <w:p w14:paraId="4B3B7810">
            <w:pPr>
              <w:spacing w:before="136" w:line="226" w:lineRule="auto"/>
              <w:jc w:val="center"/>
              <w:rPr>
                <w:rFonts w:hint="eastAsia" w:ascii="楷体_GB2312" w:hAnsi="楷体_GB2312" w:eastAsia="楷体_GB2312" w:cs="楷体_GB2312"/>
                <w:b/>
                <w:bCs/>
                <w:sz w:val="31"/>
                <w:szCs w:val="31"/>
              </w:rPr>
            </w:pPr>
            <w:r>
              <w:rPr>
                <w:rFonts w:hint="eastAsia" w:ascii="楷体_GB2312" w:hAnsi="楷体_GB2312" w:eastAsia="楷体_GB2312" w:cs="楷体_GB2312"/>
                <w:b/>
                <w:bCs/>
                <w:spacing w:val="5"/>
                <w:sz w:val="31"/>
                <w:szCs w:val="31"/>
              </w:rPr>
              <w:t>序号</w:t>
            </w:r>
          </w:p>
        </w:tc>
        <w:tc>
          <w:tcPr>
            <w:tcW w:w="673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/>
          </w:tcPr>
          <w:p w14:paraId="14EF2B7F">
            <w:pPr>
              <w:spacing w:before="136" w:line="223" w:lineRule="auto"/>
              <w:jc w:val="center"/>
              <w:rPr>
                <w:rFonts w:hint="eastAsia" w:ascii="楷体_GB2312" w:hAnsi="楷体_GB2312" w:eastAsia="楷体_GB2312" w:cs="楷体_GB2312"/>
                <w:b/>
                <w:bCs/>
                <w:sz w:val="31"/>
                <w:szCs w:val="31"/>
              </w:rPr>
            </w:pPr>
            <w:r>
              <w:rPr>
                <w:rFonts w:hint="eastAsia" w:ascii="楷体_GB2312" w:hAnsi="楷体_GB2312" w:eastAsia="楷体_GB2312" w:cs="楷体_GB2312"/>
                <w:b/>
                <w:bCs/>
                <w:spacing w:val="8"/>
                <w:sz w:val="31"/>
                <w:szCs w:val="31"/>
              </w:rPr>
              <w:t>文件标题、发文字号</w:t>
            </w:r>
          </w:p>
        </w:tc>
        <w:tc>
          <w:tcPr>
            <w:tcW w:w="374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/>
          </w:tcPr>
          <w:p w14:paraId="0CEABAA0">
            <w:pPr>
              <w:spacing w:before="136" w:line="223" w:lineRule="auto"/>
              <w:jc w:val="center"/>
              <w:rPr>
                <w:rFonts w:hint="eastAsia" w:ascii="楷体_GB2312" w:hAnsi="楷体_GB2312" w:eastAsia="楷体_GB2312" w:cs="楷体_GB2312"/>
                <w:b/>
                <w:bCs/>
                <w:sz w:val="31"/>
                <w:szCs w:val="31"/>
              </w:rPr>
            </w:pPr>
            <w:r>
              <w:rPr>
                <w:rFonts w:hint="eastAsia" w:ascii="楷体_GB2312" w:hAnsi="楷体_GB2312" w:eastAsia="楷体_GB2312" w:cs="楷体_GB2312"/>
                <w:b/>
                <w:bCs/>
                <w:spacing w:val="8"/>
                <w:sz w:val="31"/>
                <w:szCs w:val="31"/>
              </w:rPr>
              <w:t>备注</w:t>
            </w:r>
          </w:p>
        </w:tc>
      </w:tr>
      <w:tr w14:paraId="68F5073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2" w:hRule="atLeast"/>
        </w:trPr>
        <w:tc>
          <w:tcPr>
            <w:tcW w:w="228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/>
          </w:tcPr>
          <w:p w14:paraId="32F3ACD5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1</w:t>
            </w:r>
          </w:p>
        </w:tc>
        <w:tc>
          <w:tcPr>
            <w:tcW w:w="673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/>
          </w:tcPr>
          <w:p w14:paraId="1D5A7692">
            <w:pPr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无极县人民政府办公室关于印发《无极县征地拆迁地上青苗和地上建筑物附着物评估、补偿工作办法》的通知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无政办函〔2018〕128号</w:t>
            </w:r>
          </w:p>
        </w:tc>
        <w:tc>
          <w:tcPr>
            <w:tcW w:w="374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/>
          </w:tcPr>
          <w:p w14:paraId="06575C83">
            <w:pPr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继续使用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(财政局)</w:t>
            </w:r>
          </w:p>
        </w:tc>
      </w:tr>
      <w:tr w14:paraId="3205FCF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7" w:hRule="atLeast"/>
        </w:trPr>
        <w:tc>
          <w:tcPr>
            <w:tcW w:w="228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/>
          </w:tcPr>
          <w:p w14:paraId="39FFF264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2</w:t>
            </w:r>
          </w:p>
        </w:tc>
        <w:tc>
          <w:tcPr>
            <w:tcW w:w="673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/>
          </w:tcPr>
          <w:p w14:paraId="3E4249C0">
            <w:pPr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pacing w:val="8"/>
                <w:sz w:val="28"/>
                <w:szCs w:val="28"/>
                <w:lang w:eastAsia="zh-CN"/>
              </w:rPr>
              <w:t>无极县人民政府办公室关于印发《无极县城镇垃圾处理费征收管理办法》的通知</w:t>
            </w:r>
            <w:r>
              <w:rPr>
                <w:rFonts w:hint="eastAsia" w:ascii="仿宋_GB2312" w:hAnsi="仿宋_GB2312" w:eastAsia="仿宋_GB2312" w:cs="仿宋_GB2312"/>
                <w:spacing w:val="8"/>
                <w:sz w:val="28"/>
                <w:szCs w:val="28"/>
                <w:lang w:val="en-US" w:eastAsia="zh-CN"/>
              </w:rPr>
              <w:t xml:space="preserve">  无政办〔2024〕2号</w:t>
            </w:r>
          </w:p>
        </w:tc>
        <w:tc>
          <w:tcPr>
            <w:tcW w:w="374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/>
          </w:tcPr>
          <w:p w14:paraId="408B8AB0">
            <w:pP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本办法有效期自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2024年3月20日起至2027年12月31日止。2021年4月2日无极县人民政府办公室印发的《无极县城镇垃圾处理费征收管理办法》无政办</w:t>
            </w:r>
          </w:p>
          <w:p w14:paraId="3F7DD0C5">
            <w:pPr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〔2021〕4号同时废止。（城管局）</w:t>
            </w:r>
          </w:p>
        </w:tc>
      </w:tr>
      <w:tr w14:paraId="3ADA623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2" w:hRule="atLeast"/>
        </w:trPr>
        <w:tc>
          <w:tcPr>
            <w:tcW w:w="228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/>
          </w:tcPr>
          <w:p w14:paraId="588C21DD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3</w:t>
            </w:r>
          </w:p>
        </w:tc>
        <w:tc>
          <w:tcPr>
            <w:tcW w:w="673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/>
          </w:tcPr>
          <w:p w14:paraId="48894DAE">
            <w:pPr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pacing w:val="8"/>
                <w:sz w:val="28"/>
                <w:szCs w:val="28"/>
                <w:lang w:eastAsia="zh-CN"/>
              </w:rPr>
              <w:t>无极县人民政府办公室关于印发《无极县城区工程围挡设置管理办法（试行）》的通知（</w:t>
            </w:r>
            <w:r>
              <w:rPr>
                <w:rFonts w:hint="eastAsia" w:ascii="仿宋_GB2312" w:hAnsi="仿宋_GB2312" w:eastAsia="仿宋_GB2312" w:cs="仿宋_GB2312"/>
                <w:spacing w:val="8"/>
                <w:sz w:val="28"/>
                <w:szCs w:val="28"/>
                <w:lang w:val="en-US" w:eastAsia="zh-CN"/>
              </w:rPr>
              <w:t>无政办〔2022〕6号</w:t>
            </w:r>
            <w:r>
              <w:rPr>
                <w:rFonts w:hint="eastAsia" w:ascii="仿宋_GB2312" w:hAnsi="仿宋_GB2312" w:eastAsia="仿宋_GB2312" w:cs="仿宋_GB2312"/>
                <w:spacing w:val="8"/>
                <w:sz w:val="28"/>
                <w:szCs w:val="28"/>
                <w:lang w:eastAsia="zh-CN"/>
              </w:rPr>
              <w:t>）</w:t>
            </w:r>
          </w:p>
        </w:tc>
        <w:tc>
          <w:tcPr>
            <w:tcW w:w="374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/>
          </w:tcPr>
          <w:p w14:paraId="6B6BF7B2">
            <w:pPr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城管局</w:t>
            </w:r>
            <w:bookmarkStart w:id="0" w:name="_GoBack"/>
            <w:bookmarkEnd w:id="0"/>
          </w:p>
        </w:tc>
      </w:tr>
      <w:tr w14:paraId="48F119F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4" w:hRule="atLeast"/>
        </w:trPr>
        <w:tc>
          <w:tcPr>
            <w:tcW w:w="2280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/>
          </w:tcPr>
          <w:p w14:paraId="5E5EF2E7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4</w:t>
            </w:r>
          </w:p>
        </w:tc>
        <w:tc>
          <w:tcPr>
            <w:tcW w:w="673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/>
          </w:tcPr>
          <w:p w14:paraId="352BED34">
            <w:pPr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pacing w:val="5"/>
                <w:sz w:val="28"/>
                <w:szCs w:val="28"/>
                <w:lang w:val="en-US" w:eastAsia="zh-CN"/>
              </w:rPr>
              <w:t>关于印发无极县创业就业孵化基地认定和管理办法的通知（无人社</w:t>
            </w:r>
            <w:r>
              <w:rPr>
                <w:rFonts w:hint="eastAsia" w:ascii="仿宋_GB2312" w:hAnsi="仿宋_GB2312" w:eastAsia="仿宋_GB2312" w:cs="仿宋_GB2312"/>
                <w:spacing w:val="8"/>
                <w:sz w:val="28"/>
                <w:szCs w:val="28"/>
                <w:lang w:val="en-US" w:eastAsia="zh-CN"/>
              </w:rPr>
              <w:t>〔</w:t>
            </w:r>
            <w:r>
              <w:rPr>
                <w:rFonts w:hint="eastAsia" w:ascii="仿宋_GB2312" w:hAnsi="仿宋_GB2312" w:eastAsia="仿宋_GB2312" w:cs="仿宋_GB2312"/>
                <w:spacing w:val="5"/>
                <w:sz w:val="28"/>
                <w:szCs w:val="28"/>
                <w:lang w:val="en-US" w:eastAsia="zh-CN"/>
              </w:rPr>
              <w:t>2021</w:t>
            </w:r>
            <w:r>
              <w:rPr>
                <w:rFonts w:hint="eastAsia" w:ascii="仿宋_GB2312" w:hAnsi="仿宋_GB2312" w:eastAsia="仿宋_GB2312" w:cs="仿宋_GB2312"/>
                <w:spacing w:val="8"/>
                <w:sz w:val="28"/>
                <w:szCs w:val="28"/>
                <w:lang w:val="en-US" w:eastAsia="zh-CN"/>
              </w:rPr>
              <w:t>〕</w:t>
            </w:r>
            <w:r>
              <w:rPr>
                <w:rFonts w:hint="eastAsia" w:ascii="仿宋_GB2312" w:hAnsi="仿宋_GB2312" w:eastAsia="仿宋_GB2312" w:cs="仿宋_GB2312"/>
                <w:spacing w:val="5"/>
                <w:sz w:val="28"/>
                <w:szCs w:val="28"/>
                <w:lang w:val="en-US" w:eastAsia="zh-CN"/>
              </w:rPr>
              <w:t>34号）</w:t>
            </w:r>
          </w:p>
        </w:tc>
        <w:tc>
          <w:tcPr>
            <w:tcW w:w="374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/>
          </w:tcPr>
          <w:p w14:paraId="469EAFE6">
            <w:pPr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人社局</w:t>
            </w:r>
          </w:p>
        </w:tc>
      </w:tr>
    </w:tbl>
    <w:p w14:paraId="46856AB4">
      <w:pPr>
        <w:rPr>
          <w:rFonts w:hint="eastAsia" w:ascii="仿宋_GB2312" w:hAnsi="仿宋_GB2312" w:eastAsia="仿宋_GB2312" w:cs="仿宋_GB2312"/>
          <w:sz w:val="28"/>
          <w:szCs w:val="28"/>
        </w:rPr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KaiTi_GB2312">
    <w:altName w:val="楷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7451D8A"/>
    <w:rsid w:val="57451D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next w:val="3"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zh-CN" w:bidi="ar-SA"/>
    </w:rPr>
  </w:style>
  <w:style w:type="paragraph" w:styleId="3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adjustRightInd w:val="0"/>
      <w:snapToGrid w:val="0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2024-12-31T08:55:00Z</dcterms:created>
  <dc:creator>粉红豹</dc:creator>
  <cp:lastModifiedBy>粉红豹</cp:lastModifiedBy>
  <dcterms:modified xsi:type="dcterms:W3CDTF">2024-12-31T08:57:00Z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2B5BE7B2E05146628876D6812EBF8BEF_11</vt:lpwstr>
  </property>
  <property fmtid="{D5CDD505-2E9C-101B-9397-08002B2CF9AE}" pid="4" name="KSOTemplateDocerSaveRecord">
    <vt:lpwstr>eyJoZGlkIjoiZjJlY2JlNGNlMjJkYTZkNGUwMTBhYTMwZjUyNDliZWYiLCJ1c2VySWQiOiI1ODIwNzE2NzUifQ==</vt:lpwstr>
  </property>
</Properties>
</file>