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sz w:val="72"/>
          <w:szCs w:val="72"/>
        </w:rPr>
      </w:pPr>
      <w:bookmarkStart w:id="0" w:name="_GoBack"/>
      <w:bookmarkEnd w:id="0"/>
    </w:p>
    <w:p>
      <w:pPr>
        <w:widowControl/>
        <w:jc w:val="center"/>
        <w:rPr>
          <w:rFonts w:ascii="黑体" w:hAnsi="宋体" w:eastAsia="黑体"/>
          <w:color w:val="002060"/>
          <w:sz w:val="84"/>
          <w:szCs w:val="84"/>
        </w:rPr>
      </w:pPr>
      <w:r>
        <w:rPr>
          <w:rFonts w:ascii="黑体" w:hAnsi="宋体" w:eastAsia="黑体"/>
          <w:color w:val="002060"/>
          <w:sz w:val="84"/>
          <w:szCs w:val="84"/>
        </w:rPr>
        <w:t>2017</w:t>
      </w:r>
      <w:r>
        <w:rPr>
          <w:rFonts w:hint="eastAsia" w:ascii="黑体" w:hAnsi="宋体" w:eastAsia="黑体"/>
          <w:color w:val="002060"/>
          <w:sz w:val="84"/>
          <w:szCs w:val="84"/>
        </w:rPr>
        <w:t>年度部门决算公开</w:t>
      </w:r>
    </w:p>
    <w:p>
      <w:pPr>
        <w:widowControl/>
        <w:jc w:val="center"/>
        <w:rPr>
          <w:rFonts w:ascii="黑体" w:hAnsi="宋体" w:eastAsia="黑体"/>
          <w:color w:val="002060"/>
          <w:sz w:val="84"/>
          <w:szCs w:val="84"/>
        </w:rPr>
      </w:pPr>
    </w:p>
    <w:p>
      <w:pPr>
        <w:widowControl/>
        <w:jc w:val="center"/>
        <w:rPr>
          <w:rFonts w:ascii="黑体" w:hAnsi="黑体" w:eastAsia="黑体"/>
          <w:b/>
          <w:sz w:val="72"/>
          <w:szCs w:val="72"/>
        </w:rPr>
      </w:pPr>
    </w:p>
    <w:p>
      <w:pPr>
        <w:widowControl/>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b/>
          <w:sz w:val="44"/>
          <w:szCs w:val="44"/>
        </w:rPr>
      </w:pPr>
      <w:r>
        <w:rPr>
          <w:rFonts w:hint="eastAsia" w:ascii="宋体" w:hAnsi="宋体"/>
          <w:b/>
          <w:sz w:val="44"/>
          <w:szCs w:val="44"/>
        </w:rPr>
        <w:t>无极县教育局</w:t>
      </w:r>
    </w:p>
    <w:p>
      <w:pPr>
        <w:widowControl/>
        <w:jc w:val="center"/>
        <w:rPr>
          <w:rFonts w:ascii="宋体"/>
          <w:b/>
          <w:sz w:val="44"/>
          <w:szCs w:val="44"/>
        </w:rPr>
      </w:pPr>
      <w:r>
        <w:rPr>
          <w:rFonts w:ascii="宋体" w:hAnsi="宋体"/>
          <w:b/>
          <w:sz w:val="44"/>
          <w:szCs w:val="44"/>
        </w:rPr>
        <w:t>2018</w:t>
      </w:r>
      <w:r>
        <w:rPr>
          <w:rFonts w:hint="eastAsia" w:ascii="宋体" w:hAnsi="宋体"/>
          <w:b/>
          <w:sz w:val="44"/>
          <w:szCs w:val="44"/>
        </w:rPr>
        <w:t>年</w:t>
      </w:r>
      <w:r>
        <w:rPr>
          <w:rFonts w:ascii="宋体" w:hAnsi="宋体"/>
          <w:b/>
          <w:sz w:val="44"/>
          <w:szCs w:val="44"/>
        </w:rPr>
        <w:t>9</w:t>
      </w:r>
      <w:r>
        <w:rPr>
          <w:rFonts w:hint="eastAsia" w:ascii="宋体" w:hAnsi="宋体"/>
          <w:b/>
          <w:sz w:val="44"/>
          <w:szCs w:val="44"/>
        </w:rPr>
        <w:t>月</w:t>
      </w:r>
      <w:r>
        <w:rPr>
          <w:rFonts w:ascii="宋体" w:hAnsi="宋体"/>
          <w:b/>
          <w:sz w:val="44"/>
          <w:szCs w:val="44"/>
        </w:rPr>
        <w:t>13</w:t>
      </w:r>
      <w:r>
        <w:rPr>
          <w:rFonts w:hint="eastAsia" w:ascii="宋体" w:hAnsi="宋体"/>
          <w:b/>
          <w:sz w:val="44"/>
          <w:szCs w:val="44"/>
        </w:rPr>
        <w:t>日</w:t>
      </w:r>
    </w:p>
    <w:p>
      <w:pPr>
        <w:widowControl/>
        <w:spacing w:line="580" w:lineRule="exact"/>
        <w:jc w:val="center"/>
        <w:rPr>
          <w:rFonts w:eastAsia="方正小标宋_GBK"/>
          <w:sz w:val="44"/>
          <w:szCs w:val="44"/>
        </w:rPr>
      </w:pPr>
    </w:p>
    <w:p>
      <w:pPr>
        <w:widowControl/>
        <w:spacing w:line="580" w:lineRule="exact"/>
        <w:jc w:val="center"/>
        <w:rPr>
          <w:rFonts w:eastAsia="方正小标宋_GBK"/>
          <w:sz w:val="44"/>
          <w:szCs w:val="44"/>
        </w:rPr>
      </w:pPr>
    </w:p>
    <w:p>
      <w:pPr>
        <w:widowControl/>
        <w:spacing w:line="580" w:lineRule="exact"/>
        <w:jc w:val="center"/>
        <w:rPr>
          <w:rFonts w:eastAsia="方正小标宋_GBK"/>
          <w:sz w:val="44"/>
          <w:szCs w:val="44"/>
        </w:rPr>
      </w:pPr>
    </w:p>
    <w:p>
      <w:pPr>
        <w:widowControl/>
        <w:spacing w:line="580" w:lineRule="exact"/>
        <w:jc w:val="center"/>
        <w:rPr>
          <w:rFonts w:eastAsia="方正小标宋_GBK"/>
          <w:sz w:val="44"/>
          <w:szCs w:val="44"/>
        </w:rPr>
      </w:pP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Times New Roman"/>
          <w:sz w:val="24"/>
          <w:szCs w:val="32"/>
        </w:rPr>
      </w:pPr>
      <w:r>
        <w:rPr>
          <w:rFonts w:hint="eastAsia" w:eastAsia="黑体"/>
          <w:sz w:val="32"/>
          <w:szCs w:val="32"/>
        </w:rPr>
        <w:t>第一部分</w:t>
      </w:r>
      <w:r>
        <w:rPr>
          <w:rFonts w:eastAsia="黑体"/>
          <w:sz w:val="32"/>
          <w:szCs w:val="32"/>
        </w:rPr>
        <w:t xml:space="preserve">   </w:t>
      </w:r>
      <w:r>
        <w:rPr>
          <w:rFonts w:hint="eastAsia" w:eastAsia="黑体"/>
          <w:sz w:val="32"/>
          <w:szCs w:val="32"/>
        </w:rPr>
        <w:t>无极县教育局部门概况</w:t>
      </w:r>
      <w:r>
        <w:rPr>
          <w:rFonts w:eastAsia="Times New Roman"/>
          <w:sz w:val="24"/>
          <w:szCs w:val="32"/>
        </w:rPr>
        <w:t xml:space="preserve"> </w:t>
      </w:r>
    </w:p>
    <w:p>
      <w:pPr>
        <w:widowControl/>
        <w:spacing w:line="580" w:lineRule="exact"/>
        <w:ind w:firstLine="1273" w:firstLineChars="398"/>
        <w:rPr>
          <w:rFonts w:eastAsia="Times New Roman"/>
          <w:sz w:val="32"/>
          <w:szCs w:val="32"/>
        </w:rPr>
      </w:pPr>
      <w:r>
        <w:rPr>
          <w:rFonts w:hint="eastAsia" w:ascii="宋体" w:hAnsi="宋体" w:cs="宋体"/>
          <w:sz w:val="32"/>
          <w:szCs w:val="32"/>
        </w:rPr>
        <w:t>一、部门职责</w:t>
      </w:r>
    </w:p>
    <w:p>
      <w:pPr>
        <w:widowControl/>
        <w:spacing w:line="580" w:lineRule="exact"/>
        <w:ind w:firstLine="1273" w:firstLineChars="398"/>
        <w:rPr>
          <w:rFonts w:eastAsia="Times New Roman"/>
          <w:sz w:val="32"/>
          <w:szCs w:val="32"/>
        </w:rPr>
      </w:pPr>
      <w:r>
        <w:rPr>
          <w:rFonts w:hint="eastAsia" w:ascii="宋体" w:hAnsi="宋体" w:cs="宋体"/>
          <w:sz w:val="32"/>
          <w:szCs w:val="32"/>
        </w:rPr>
        <w:t>二、部门决算单位构成</w:t>
      </w:r>
    </w:p>
    <w:p>
      <w:pPr>
        <w:widowControl/>
        <w:spacing w:line="580" w:lineRule="exact"/>
        <w:ind w:firstLine="640" w:firstLineChars="200"/>
        <w:rPr>
          <w:rFonts w:eastAsia="Times New Roman"/>
          <w:sz w:val="20"/>
          <w:szCs w:val="32"/>
        </w:rPr>
      </w:pPr>
      <w:r>
        <w:rPr>
          <w:rFonts w:hint="eastAsia" w:eastAsia="黑体"/>
          <w:sz w:val="32"/>
          <w:szCs w:val="32"/>
        </w:rPr>
        <w:t>第二部分</w:t>
      </w:r>
      <w:r>
        <w:rPr>
          <w:rFonts w:eastAsia="黑体"/>
          <w:sz w:val="32"/>
          <w:szCs w:val="32"/>
        </w:rPr>
        <w:t xml:space="preserve">  </w:t>
      </w:r>
      <w:r>
        <w:rPr>
          <w:rFonts w:hint="eastAsia" w:eastAsia="黑体"/>
          <w:sz w:val="32"/>
          <w:szCs w:val="32"/>
        </w:rPr>
        <w:t>无极县教育局</w:t>
      </w:r>
      <w:r>
        <w:rPr>
          <w:rFonts w:eastAsia="黑体"/>
          <w:sz w:val="32"/>
          <w:szCs w:val="32"/>
        </w:rPr>
        <w:t>2017</w:t>
      </w:r>
      <w:r>
        <w:rPr>
          <w:rFonts w:hint="eastAsia" w:eastAsia="黑体"/>
          <w:sz w:val="32"/>
          <w:szCs w:val="32"/>
        </w:rPr>
        <w:t>年度部门决算报表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一、收入支出决算总表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二、收入决算表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三、支出决算表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四、财政拨款收入支出决算总表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五、一般公共预算财政拨款收入支出决算表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六、一般公共预算财政拨款基本支出决算经济分类表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七、政府性基金预算财政拨款收入支出决算表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八、国有资本经营预算财政拨款收入支出决算表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九、</w:t>
      </w:r>
      <w:r>
        <w:rPr>
          <w:rFonts w:eastAsia="Times New Roman"/>
          <w:sz w:val="32"/>
          <w:szCs w:val="32"/>
        </w:rPr>
        <w:t>“</w:t>
      </w:r>
      <w:r>
        <w:rPr>
          <w:rFonts w:hint="eastAsia" w:ascii="宋体" w:hAnsi="宋体" w:cs="宋体"/>
          <w:sz w:val="32"/>
          <w:szCs w:val="32"/>
        </w:rPr>
        <w:t>三公</w:t>
      </w:r>
      <w:r>
        <w:rPr>
          <w:rFonts w:eastAsia="Times New Roman"/>
          <w:sz w:val="32"/>
          <w:szCs w:val="32"/>
        </w:rPr>
        <w:t>”</w:t>
      </w:r>
      <w:r>
        <w:rPr>
          <w:rFonts w:hint="eastAsia" w:ascii="宋体" w:hAnsi="宋体" w:cs="宋体"/>
          <w:sz w:val="32"/>
          <w:szCs w:val="32"/>
        </w:rPr>
        <w:t>经费等相关信息统计表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十、政府采购情况表</w:t>
      </w:r>
    </w:p>
    <w:p>
      <w:pPr>
        <w:widowControl/>
        <w:spacing w:line="580" w:lineRule="exact"/>
        <w:ind w:firstLine="640" w:firstLineChars="200"/>
        <w:rPr>
          <w:rFonts w:eastAsia="黑体"/>
          <w:sz w:val="32"/>
          <w:szCs w:val="32"/>
        </w:rPr>
      </w:pPr>
      <w:r>
        <w:rPr>
          <w:rFonts w:hint="eastAsia" w:eastAsia="黑体"/>
          <w:sz w:val="32"/>
          <w:szCs w:val="32"/>
        </w:rPr>
        <w:t>第三部分</w:t>
      </w:r>
      <w:r>
        <w:rPr>
          <w:rFonts w:eastAsia="黑体"/>
          <w:sz w:val="32"/>
          <w:szCs w:val="32"/>
        </w:rPr>
        <w:t xml:space="preserve">  </w:t>
      </w:r>
      <w:r>
        <w:rPr>
          <w:rFonts w:hint="eastAsia" w:eastAsia="黑体"/>
          <w:sz w:val="32"/>
          <w:szCs w:val="32"/>
        </w:rPr>
        <w:t>无极县教育局</w:t>
      </w:r>
      <w:r>
        <w:rPr>
          <w:rFonts w:eastAsia="黑体"/>
          <w:sz w:val="32"/>
          <w:szCs w:val="32"/>
        </w:rPr>
        <w:t>2017</w:t>
      </w:r>
      <w:r>
        <w:rPr>
          <w:rFonts w:hint="eastAsia" w:eastAsia="黑体"/>
          <w:sz w:val="32"/>
          <w:szCs w:val="32"/>
        </w:rPr>
        <w:t>年部门决算情况说明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一、收入支出决算总体情况说明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二、收入决算情况说明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三、支出决算情况说明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四、财政拨款收入支出决算总体情况说明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五、</w:t>
      </w:r>
      <w:r>
        <w:rPr>
          <w:rFonts w:eastAsia="Times New Roman"/>
          <w:sz w:val="32"/>
          <w:szCs w:val="32"/>
        </w:rPr>
        <w:t>“</w:t>
      </w:r>
      <w:r>
        <w:rPr>
          <w:rFonts w:hint="eastAsia" w:ascii="宋体" w:hAnsi="宋体" w:cs="宋体"/>
          <w:sz w:val="32"/>
          <w:szCs w:val="32"/>
        </w:rPr>
        <w:t>三公</w:t>
      </w:r>
      <w:r>
        <w:rPr>
          <w:rFonts w:eastAsia="Times New Roman"/>
          <w:sz w:val="32"/>
          <w:szCs w:val="32"/>
        </w:rPr>
        <w:t>”</w:t>
      </w:r>
      <w:r>
        <w:rPr>
          <w:rFonts w:hint="eastAsia" w:ascii="宋体" w:hAnsi="宋体" w:cs="宋体"/>
          <w:sz w:val="32"/>
          <w:szCs w:val="32"/>
        </w:rPr>
        <w:t>经费支出决算情况说明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六、预算绩效管理工作开展情况说明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七、其他重要事项的说明</w:t>
      </w:r>
    </w:p>
    <w:p>
      <w:pPr>
        <w:widowControl/>
        <w:spacing w:line="580" w:lineRule="exact"/>
        <w:ind w:left="640" w:firstLine="1344" w:firstLineChars="420"/>
        <w:rPr>
          <w:rFonts w:eastAsia="Times New Roman"/>
          <w:sz w:val="32"/>
          <w:szCs w:val="32"/>
        </w:rPr>
      </w:pPr>
      <w:r>
        <w:rPr>
          <w:rFonts w:eastAsia="Times New Roman"/>
          <w:sz w:val="32"/>
          <w:szCs w:val="32"/>
        </w:rPr>
        <w:t>1.</w:t>
      </w:r>
      <w:r>
        <w:rPr>
          <w:rFonts w:hint="eastAsia" w:ascii="宋体" w:hAnsi="宋体" w:cs="宋体"/>
          <w:sz w:val="32"/>
          <w:szCs w:val="32"/>
        </w:rPr>
        <w:t>机关运行经费情况</w:t>
      </w:r>
    </w:p>
    <w:p>
      <w:pPr>
        <w:widowControl/>
        <w:spacing w:line="580" w:lineRule="exact"/>
        <w:ind w:left="640" w:firstLine="1344" w:firstLineChars="420"/>
        <w:rPr>
          <w:rFonts w:eastAsia="Times New Roman"/>
          <w:sz w:val="32"/>
          <w:szCs w:val="32"/>
        </w:rPr>
      </w:pPr>
      <w:r>
        <w:rPr>
          <w:rFonts w:eastAsia="Times New Roman"/>
          <w:sz w:val="32"/>
          <w:szCs w:val="32"/>
        </w:rPr>
        <w:t>2.</w:t>
      </w:r>
      <w:r>
        <w:rPr>
          <w:rFonts w:hint="eastAsia" w:ascii="宋体" w:hAnsi="宋体" w:cs="宋体"/>
          <w:sz w:val="32"/>
          <w:szCs w:val="32"/>
        </w:rPr>
        <w:t>政府采购情况</w:t>
      </w:r>
    </w:p>
    <w:p>
      <w:pPr>
        <w:widowControl/>
        <w:spacing w:line="580" w:lineRule="exact"/>
        <w:ind w:left="640" w:firstLine="1344" w:firstLineChars="420"/>
        <w:rPr>
          <w:rFonts w:eastAsia="Times New Roman"/>
          <w:sz w:val="32"/>
          <w:szCs w:val="32"/>
        </w:rPr>
      </w:pPr>
      <w:r>
        <w:rPr>
          <w:rFonts w:eastAsia="Times New Roman"/>
          <w:sz w:val="32"/>
          <w:szCs w:val="32"/>
        </w:rPr>
        <w:t>3.</w:t>
      </w:r>
      <w:r>
        <w:rPr>
          <w:rFonts w:hint="eastAsia" w:ascii="宋体" w:hAnsi="宋体" w:cs="宋体"/>
          <w:sz w:val="32"/>
          <w:szCs w:val="32"/>
        </w:rPr>
        <w:t>国有资产占用情况</w:t>
      </w:r>
    </w:p>
    <w:p>
      <w:pPr>
        <w:widowControl/>
        <w:spacing w:line="580" w:lineRule="exact"/>
        <w:ind w:left="640" w:firstLine="1344" w:firstLineChars="420"/>
        <w:rPr>
          <w:rFonts w:eastAsia="Times New Roman"/>
          <w:sz w:val="32"/>
          <w:szCs w:val="32"/>
        </w:rPr>
      </w:pPr>
      <w:r>
        <w:rPr>
          <w:rFonts w:eastAsia="Times New Roman"/>
          <w:sz w:val="32"/>
          <w:szCs w:val="32"/>
        </w:rPr>
        <w:t>4.</w:t>
      </w:r>
      <w:r>
        <w:rPr>
          <w:rFonts w:hint="eastAsia" w:ascii="宋体" w:hAnsi="宋体" w:cs="宋体"/>
          <w:sz w:val="32"/>
          <w:szCs w:val="32"/>
        </w:rPr>
        <w:t>其他需要说明的情况</w:t>
      </w:r>
    </w:p>
    <w:p>
      <w:pPr>
        <w:widowControl/>
        <w:spacing w:line="580" w:lineRule="exact"/>
        <w:ind w:firstLine="640" w:firstLineChars="200"/>
        <w:rPr>
          <w:rFonts w:eastAsia="黑体"/>
          <w:sz w:val="32"/>
          <w:szCs w:val="32"/>
        </w:rPr>
      </w:pPr>
      <w:r>
        <w:rPr>
          <w:rFonts w:hint="eastAsia" w:eastAsia="黑体"/>
          <w:sz w:val="32"/>
          <w:szCs w:val="32"/>
        </w:rPr>
        <w:t>第四部分</w:t>
      </w:r>
      <w:r>
        <w:rPr>
          <w:rFonts w:eastAsia="黑体"/>
          <w:sz w:val="32"/>
          <w:szCs w:val="32"/>
        </w:rPr>
        <w:t xml:space="preserve">  </w:t>
      </w:r>
      <w:r>
        <w:rPr>
          <w:rFonts w:hint="eastAsia" w:eastAsia="黑体"/>
          <w:sz w:val="32"/>
          <w:szCs w:val="32"/>
        </w:rPr>
        <w:t>名词解释</w:t>
      </w:r>
    </w:p>
    <w:p/>
    <w:p/>
    <w:p/>
    <w:p/>
    <w:p/>
    <w:p>
      <w:pPr>
        <w:pStyle w:val="2"/>
        <w:spacing w:line="560" w:lineRule="exact"/>
        <w:jc w:val="center"/>
        <w:rPr>
          <w:rFonts w:ascii="宋体" w:cs="ArialUnicodeMS"/>
          <w:color w:val="000000"/>
          <w:kern w:val="0"/>
        </w:rPr>
      </w:pPr>
      <w:r>
        <w:rPr>
          <w:rFonts w:hint="eastAsia" w:ascii="宋体" w:hAnsi="宋体" w:cs="ArialUnicodeMS"/>
          <w:color w:val="000000"/>
          <w:kern w:val="0"/>
        </w:rPr>
        <w:t>第一部分</w:t>
      </w:r>
      <w:r>
        <w:rPr>
          <w:rFonts w:ascii="宋体" w:hAnsi="宋体" w:cs="ArialUnicodeMS"/>
          <w:color w:val="000000"/>
          <w:kern w:val="0"/>
        </w:rPr>
        <w:t xml:space="preserve"> </w:t>
      </w:r>
      <w:r>
        <w:rPr>
          <w:rFonts w:hint="eastAsia" w:ascii="宋体" w:hAnsi="宋体" w:cs="ArialUnicodeMS"/>
          <w:color w:val="000000"/>
          <w:kern w:val="0"/>
        </w:rPr>
        <w:t>部门概况</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1</w:t>
      </w:r>
      <w:r>
        <w:rPr>
          <w:rFonts w:hint="eastAsia" w:ascii="宋体" w:hAnsi="宋体" w:cs="宋体"/>
          <w:sz w:val="32"/>
          <w:szCs w:val="32"/>
        </w:rPr>
        <w:t>、贯彻执行国家的教育方针、政策、法律、法规，落实上级的规定、指示、规划、计划。根据工作需要，制定本局的实施办法和规定，推进依法治教。</w:t>
      </w:r>
    </w:p>
    <w:p>
      <w:pPr>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2</w:t>
      </w:r>
      <w:r>
        <w:rPr>
          <w:rFonts w:hint="eastAsia" w:ascii="宋体" w:hAnsi="宋体" w:cs="宋体"/>
          <w:sz w:val="32"/>
          <w:szCs w:val="32"/>
        </w:rPr>
        <w:t>、编制全县教育事业发展规划和年度工作计划，统一筹划协调全县教育事业的发展。</w:t>
      </w:r>
    </w:p>
    <w:p>
      <w:pPr>
        <w:snapToGrid w:val="0"/>
        <w:spacing w:line="566" w:lineRule="atLeast"/>
        <w:ind w:firstLine="623"/>
        <w:rPr>
          <w:rFonts w:ascii="??_GB2312" w:hAnsi="??_GB2312" w:eastAsia="Times New Roman" w:cs="??_GB2312"/>
          <w:sz w:val="32"/>
          <w:szCs w:val="32"/>
        </w:rPr>
      </w:pPr>
      <w:r>
        <w:rPr>
          <w:rFonts w:ascii="??_GB2312" w:hAnsi="??_GB2312" w:eastAsia="Times New Roman" w:cs="??_GB2312"/>
          <w:sz w:val="32"/>
          <w:szCs w:val="32"/>
        </w:rPr>
        <w:t>3</w:t>
      </w:r>
      <w:r>
        <w:rPr>
          <w:rFonts w:hint="eastAsia" w:ascii="宋体" w:hAnsi="宋体" w:cs="宋体"/>
          <w:sz w:val="32"/>
          <w:szCs w:val="32"/>
        </w:rPr>
        <w:t>、实施管理全县的基础教育、职业教育、成人教育、学前教育、特殊教育及民办教育、语言文字等工作。</w:t>
      </w:r>
    </w:p>
    <w:p>
      <w:pPr>
        <w:snapToGrid w:val="0"/>
        <w:spacing w:line="566" w:lineRule="atLeast"/>
        <w:ind w:firstLine="623"/>
        <w:rPr>
          <w:rFonts w:ascii="??_GB2312" w:hAnsi="??_GB2312" w:eastAsia="Times New Roman" w:cs="??_GB2312"/>
          <w:sz w:val="32"/>
          <w:szCs w:val="32"/>
        </w:rPr>
      </w:pPr>
      <w:r>
        <w:rPr>
          <w:rFonts w:ascii="??_GB2312" w:hAnsi="??_GB2312" w:eastAsia="Times New Roman" w:cs="??_GB2312"/>
          <w:sz w:val="32"/>
          <w:szCs w:val="32"/>
        </w:rPr>
        <w:t>4</w:t>
      </w:r>
      <w:r>
        <w:rPr>
          <w:rFonts w:hint="eastAsia" w:ascii="宋体" w:hAnsi="宋体" w:cs="宋体"/>
          <w:sz w:val="32"/>
          <w:szCs w:val="32"/>
        </w:rPr>
        <w:t>、统一指导全县各级各类学校的教育、教学、体育、卫生、实验实践、勤工俭学、信息技术、电教等各项工作，开展教研工作，推动教育改革，提高教育教学质量。</w:t>
      </w:r>
    </w:p>
    <w:p>
      <w:pPr>
        <w:snapToGrid w:val="0"/>
        <w:spacing w:line="566" w:lineRule="atLeast"/>
        <w:ind w:firstLine="623"/>
        <w:rPr>
          <w:rFonts w:ascii="??_GB2312" w:hAnsi="??_GB2312" w:eastAsia="Times New Roman" w:cs="??_GB2312"/>
          <w:sz w:val="32"/>
          <w:szCs w:val="32"/>
        </w:rPr>
      </w:pPr>
      <w:r>
        <w:rPr>
          <w:rFonts w:ascii="??_GB2312" w:hAnsi="??_GB2312" w:eastAsia="Times New Roman" w:cs="??_GB2312"/>
          <w:sz w:val="32"/>
          <w:szCs w:val="32"/>
        </w:rPr>
        <w:t>5</w:t>
      </w:r>
      <w:r>
        <w:rPr>
          <w:rFonts w:hint="eastAsia" w:ascii="宋体" w:hAnsi="宋体" w:cs="宋体"/>
          <w:sz w:val="32"/>
          <w:szCs w:val="32"/>
        </w:rPr>
        <w:t>、加强全县校长、教师队伍建设，做好管理及培训提高工作效率与教师队伍素质。</w:t>
      </w:r>
    </w:p>
    <w:p>
      <w:pPr>
        <w:snapToGrid w:val="0"/>
        <w:spacing w:line="566" w:lineRule="atLeast"/>
        <w:ind w:firstLine="623"/>
        <w:rPr>
          <w:rFonts w:ascii="??_GB2312" w:hAnsi="??_GB2312" w:eastAsia="Times New Roman" w:cs="??_GB2312"/>
          <w:sz w:val="32"/>
          <w:szCs w:val="32"/>
        </w:rPr>
      </w:pPr>
      <w:r>
        <w:rPr>
          <w:rFonts w:ascii="??_GB2312" w:hAnsi="??_GB2312" w:eastAsia="Times New Roman" w:cs="??_GB2312"/>
          <w:sz w:val="32"/>
          <w:szCs w:val="32"/>
        </w:rPr>
        <w:t>6</w:t>
      </w:r>
      <w:r>
        <w:rPr>
          <w:rFonts w:hint="eastAsia" w:ascii="宋体" w:hAnsi="宋体" w:cs="宋体"/>
          <w:sz w:val="32"/>
          <w:szCs w:val="32"/>
        </w:rPr>
        <w:t>、管理教育经费，改善学校办学条件，做好教育事业的各项统计、档案工作。</w:t>
      </w:r>
    </w:p>
    <w:p>
      <w:pPr>
        <w:snapToGrid w:val="0"/>
        <w:spacing w:line="566" w:lineRule="atLeast"/>
        <w:ind w:firstLine="623"/>
        <w:rPr>
          <w:rFonts w:ascii="??_GB2312" w:hAnsi="??_GB2312" w:eastAsia="Times New Roman" w:cs="??_GB2312"/>
          <w:sz w:val="32"/>
          <w:szCs w:val="32"/>
        </w:rPr>
      </w:pPr>
      <w:r>
        <w:rPr>
          <w:rFonts w:ascii="??_GB2312" w:hAnsi="??_GB2312" w:eastAsia="Times New Roman" w:cs="??_GB2312"/>
          <w:sz w:val="32"/>
          <w:szCs w:val="32"/>
        </w:rPr>
        <w:t>7</w:t>
      </w:r>
      <w:r>
        <w:rPr>
          <w:rFonts w:hint="eastAsia" w:ascii="宋体" w:hAnsi="宋体" w:cs="宋体"/>
          <w:sz w:val="32"/>
          <w:szCs w:val="32"/>
        </w:rPr>
        <w:t>、组织全县各级各类学校的招生工作。</w:t>
      </w:r>
    </w:p>
    <w:p>
      <w:pPr>
        <w:snapToGrid w:val="0"/>
        <w:spacing w:line="566" w:lineRule="atLeast"/>
        <w:ind w:firstLine="623"/>
        <w:rPr>
          <w:rFonts w:ascii="??_GB2312" w:hAnsi="??_GB2312" w:eastAsia="Times New Roman" w:cs="??_GB2312"/>
          <w:sz w:val="32"/>
          <w:szCs w:val="32"/>
        </w:rPr>
      </w:pPr>
      <w:r>
        <w:rPr>
          <w:rFonts w:ascii="??_GB2312" w:hAnsi="??_GB2312" w:eastAsia="Times New Roman" w:cs="??_GB2312"/>
          <w:sz w:val="32"/>
          <w:szCs w:val="32"/>
        </w:rPr>
        <w:t>8</w:t>
      </w:r>
      <w:r>
        <w:rPr>
          <w:rFonts w:hint="eastAsia" w:ascii="宋体" w:hAnsi="宋体" w:cs="宋体"/>
          <w:sz w:val="32"/>
          <w:szCs w:val="32"/>
        </w:rPr>
        <w:t>、依照管理权限和规定程序，认定教师资格、评聘教师专业技术职务，落实教师福利，考核、任免、聘任、奖励教育系统的各类人员。</w:t>
      </w:r>
    </w:p>
    <w:p>
      <w:pPr>
        <w:snapToGrid w:val="0"/>
        <w:spacing w:line="566" w:lineRule="atLeast"/>
        <w:ind w:firstLine="623"/>
        <w:rPr>
          <w:rFonts w:ascii="??_GB2312" w:hAnsi="??_GB2312" w:eastAsia="Times New Roman" w:cs="??_GB2312"/>
          <w:sz w:val="32"/>
          <w:szCs w:val="32"/>
        </w:rPr>
      </w:pPr>
      <w:r>
        <w:rPr>
          <w:rFonts w:ascii="??_GB2312" w:hAnsi="??_GB2312" w:eastAsia="Times New Roman" w:cs="??_GB2312"/>
          <w:sz w:val="32"/>
          <w:szCs w:val="32"/>
        </w:rPr>
        <w:t>9</w:t>
      </w:r>
      <w:r>
        <w:rPr>
          <w:rFonts w:hint="eastAsia" w:ascii="宋体" w:hAnsi="宋体" w:cs="宋体"/>
          <w:sz w:val="32"/>
          <w:szCs w:val="32"/>
        </w:rPr>
        <w:t>、协调教育部门和其他单位、部门的关系，协同政府检查、指导、管理基层各单位工作。</w:t>
      </w:r>
    </w:p>
    <w:p>
      <w:pPr>
        <w:snapToGrid w:val="0"/>
        <w:spacing w:line="566" w:lineRule="atLeast"/>
        <w:ind w:firstLine="623"/>
        <w:rPr>
          <w:rFonts w:ascii="??_GB2312" w:hAnsi="??_GB2312" w:eastAsia="Times New Roman" w:cs="??_GB2312"/>
          <w:sz w:val="32"/>
          <w:szCs w:val="32"/>
        </w:rPr>
      </w:pPr>
      <w:r>
        <w:rPr>
          <w:rFonts w:ascii="??_GB2312" w:hAnsi="??_GB2312" w:eastAsia="Times New Roman" w:cs="??_GB2312"/>
          <w:sz w:val="32"/>
          <w:szCs w:val="32"/>
        </w:rPr>
        <w:t>10</w:t>
      </w:r>
      <w:r>
        <w:rPr>
          <w:rFonts w:hint="eastAsia" w:ascii="宋体" w:hAnsi="宋体" w:cs="宋体"/>
          <w:sz w:val="32"/>
          <w:szCs w:val="32"/>
        </w:rPr>
        <w:t>、根据《中华人民共和国体育法》、《全民健身计划纲要》积极组织开展各级各类比赛。</w:t>
      </w:r>
    </w:p>
    <w:p>
      <w:pPr>
        <w:tabs>
          <w:tab w:val="left" w:pos="1620"/>
        </w:tabs>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11</w:t>
      </w:r>
      <w:r>
        <w:rPr>
          <w:rFonts w:hint="eastAsia" w:ascii="宋体" w:hAnsi="宋体" w:cs="宋体"/>
          <w:sz w:val="32"/>
          <w:szCs w:val="32"/>
        </w:rPr>
        <w:t>、贯彻落实《全民健身条例》，大力发展全民健身活动，提高公民身体素质，保障公民在全民健身活动中的合法权益。</w:t>
      </w:r>
    </w:p>
    <w:p>
      <w:pPr>
        <w:tabs>
          <w:tab w:val="left" w:pos="1620"/>
        </w:tabs>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12</w:t>
      </w:r>
      <w:r>
        <w:rPr>
          <w:rFonts w:hint="eastAsia" w:ascii="宋体" w:hAnsi="宋体" w:cs="宋体"/>
          <w:sz w:val="32"/>
          <w:szCs w:val="32"/>
        </w:rPr>
        <w:t>、定期组织开展社会体育指导员培训，提高社会体育指导员业务水平。</w:t>
      </w:r>
    </w:p>
    <w:p>
      <w:pPr>
        <w:tabs>
          <w:tab w:val="left" w:pos="1620"/>
        </w:tabs>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13</w:t>
      </w:r>
      <w:r>
        <w:rPr>
          <w:rFonts w:hint="eastAsia" w:ascii="宋体" w:hAnsi="宋体" w:cs="宋体"/>
          <w:sz w:val="32"/>
          <w:szCs w:val="32"/>
        </w:rPr>
        <w:t>、搞好公共体育设施规划、建设、使用、和维护工作。</w:t>
      </w:r>
    </w:p>
    <w:p>
      <w:pPr>
        <w:tabs>
          <w:tab w:val="left" w:pos="2460"/>
        </w:tabs>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14</w:t>
      </w:r>
      <w:r>
        <w:rPr>
          <w:rFonts w:hint="eastAsia" w:ascii="宋体" w:hAnsi="宋体" w:cs="宋体"/>
          <w:sz w:val="32"/>
          <w:szCs w:val="32"/>
        </w:rPr>
        <w:t>、加强对各项体育产业的监督管理工作。</w:t>
      </w:r>
    </w:p>
    <w:p>
      <w:pPr>
        <w:widowControl/>
        <w:spacing w:line="580" w:lineRule="exact"/>
        <w:ind w:firstLine="640" w:firstLineChars="200"/>
        <w:rPr>
          <w:rFonts w:ascii="??_GB2312" w:hAnsi="??_GB2312" w:eastAsia="Times New Roman" w:cs="??_GB2312"/>
          <w:sz w:val="32"/>
          <w:szCs w:val="32"/>
        </w:rPr>
      </w:pPr>
      <w:r>
        <w:rPr>
          <w:rFonts w:ascii="??_GB2312" w:hAnsi="??_GB2312" w:eastAsia="Times New Roman" w:cs="??_GB2312"/>
          <w:sz w:val="32"/>
          <w:szCs w:val="32"/>
        </w:rPr>
        <w:t>15</w:t>
      </w:r>
      <w:r>
        <w:rPr>
          <w:rFonts w:hint="eastAsia" w:ascii="宋体" w:hAnsi="宋体" w:cs="宋体"/>
          <w:sz w:val="32"/>
          <w:szCs w:val="32"/>
        </w:rPr>
        <w:t>、承办市教育局、</w:t>
      </w:r>
      <w:r>
        <w:rPr>
          <w:rFonts w:hint="eastAsia" w:ascii="宋体" w:hAnsi="宋体" w:cs="宋体"/>
          <w:sz w:val="32"/>
          <w:szCs w:val="32"/>
          <w:lang w:eastAsia="zh-CN"/>
        </w:rPr>
        <w:t>县委、县政府</w:t>
      </w:r>
      <w:r>
        <w:rPr>
          <w:rFonts w:hint="eastAsia" w:ascii="宋体" w:hAnsi="宋体" w:cs="宋体"/>
          <w:sz w:val="32"/>
          <w:szCs w:val="32"/>
        </w:rPr>
        <w:t>交办的各项工作。</w:t>
      </w:r>
    </w:p>
    <w:p>
      <w:pPr>
        <w:widowControl/>
        <w:spacing w:line="580" w:lineRule="exact"/>
        <w:ind w:firstLine="1273" w:firstLineChars="398"/>
        <w:rPr>
          <w:rFonts w:ascii="??_GB2312" w:hAnsi="??_GB2312" w:eastAsia="Times New Roman" w:cs="??_GB2312"/>
          <w:sz w:val="32"/>
          <w:szCs w:val="32"/>
        </w:rPr>
      </w:pP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tbl>
      <w:tblPr>
        <w:tblStyle w:val="11"/>
        <w:tblW w:w="1322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36"/>
        <w:gridCol w:w="982"/>
        <w:gridCol w:w="982"/>
        <w:gridCol w:w="1900"/>
        <w:gridCol w:w="1167"/>
        <w:gridCol w:w="613"/>
        <w:gridCol w:w="804"/>
        <w:gridCol w:w="1044"/>
        <w:gridCol w:w="972"/>
        <w:gridCol w:w="612"/>
        <w:gridCol w:w="989"/>
        <w:gridCol w:w="240"/>
        <w:gridCol w:w="2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6" w:type="dxa"/>
          <w:trHeight w:val="227" w:hRule="atLeast"/>
          <w:tblHeader/>
          <w:jc w:val="center"/>
        </w:trPr>
        <w:tc>
          <w:tcPr>
            <w:tcW w:w="8280"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360</w:t>
            </w:r>
            <w:r>
              <w:rPr>
                <w:rFonts w:hint="eastAsia" w:ascii="方正小标宋_GBK" w:eastAsia="方正小标宋_GBK"/>
                <w:sz w:val="24"/>
              </w:rPr>
              <w:t>教育局</w:t>
            </w:r>
          </w:p>
        </w:tc>
        <w:tc>
          <w:tcPr>
            <w:tcW w:w="4661"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6" w:type="dxa"/>
          <w:trHeight w:val="227" w:hRule="atLeast"/>
          <w:tblHeader/>
          <w:jc w:val="center"/>
        </w:trPr>
        <w:tc>
          <w:tcPr>
            <w:tcW w:w="263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98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98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1900"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1167" w:type="dxa"/>
            <w:vMerge w:val="restart"/>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7" w:type="dxa"/>
            <w:gridSpan w:val="2"/>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2016" w:type="dxa"/>
            <w:gridSpan w:val="2"/>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1841" w:type="dxa"/>
            <w:gridSpan w:val="3"/>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636" w:type="dxa"/>
            <w:vMerge w:val="continue"/>
            <w:vAlign w:val="center"/>
          </w:tcPr>
          <w:p>
            <w:pPr>
              <w:spacing w:line="300" w:lineRule="exact"/>
              <w:jc w:val="left"/>
              <w:outlineLvl w:val="0"/>
            </w:pPr>
          </w:p>
        </w:tc>
        <w:tc>
          <w:tcPr>
            <w:tcW w:w="982" w:type="dxa"/>
            <w:vMerge w:val="continue"/>
            <w:vAlign w:val="center"/>
          </w:tcPr>
          <w:p>
            <w:pPr>
              <w:spacing w:line="300" w:lineRule="exact"/>
              <w:jc w:val="left"/>
              <w:outlineLvl w:val="0"/>
            </w:pPr>
          </w:p>
        </w:tc>
        <w:tc>
          <w:tcPr>
            <w:tcW w:w="982" w:type="dxa"/>
            <w:vMerge w:val="continue"/>
            <w:vAlign w:val="center"/>
          </w:tcPr>
          <w:p>
            <w:pPr>
              <w:spacing w:line="300" w:lineRule="exact"/>
              <w:jc w:val="left"/>
              <w:outlineLvl w:val="0"/>
            </w:pPr>
          </w:p>
        </w:tc>
        <w:tc>
          <w:tcPr>
            <w:tcW w:w="1900" w:type="dxa"/>
            <w:vMerge w:val="continue"/>
            <w:vAlign w:val="center"/>
          </w:tcPr>
          <w:p>
            <w:pPr>
              <w:spacing w:line="300" w:lineRule="exact"/>
              <w:jc w:val="left"/>
              <w:outlineLvl w:val="0"/>
            </w:pPr>
          </w:p>
        </w:tc>
        <w:tc>
          <w:tcPr>
            <w:tcW w:w="1167" w:type="dxa"/>
            <w:vMerge w:val="continue"/>
            <w:vAlign w:val="center"/>
          </w:tcPr>
          <w:p>
            <w:pPr>
              <w:spacing w:line="300" w:lineRule="exact"/>
              <w:jc w:val="left"/>
              <w:outlineLvl w:val="0"/>
            </w:pPr>
          </w:p>
        </w:tc>
        <w:tc>
          <w:tcPr>
            <w:tcW w:w="613"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804"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1044"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972"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612" w:type="dxa"/>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989" w:type="dxa"/>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526" w:type="dxa"/>
            <w:gridSpan w:val="2"/>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982" w:type="dxa"/>
            <w:vAlign w:val="center"/>
          </w:tcPr>
          <w:p>
            <w:pPr>
              <w:spacing w:line="300" w:lineRule="exact"/>
              <w:jc w:val="center"/>
              <w:rPr>
                <w:rFonts w:ascii="方正书宋_GBK" w:eastAsia="方正书宋_GBK"/>
                <w:b/>
              </w:rPr>
            </w:pPr>
          </w:p>
        </w:tc>
        <w:tc>
          <w:tcPr>
            <w:tcW w:w="982" w:type="dxa"/>
            <w:vAlign w:val="center"/>
          </w:tcPr>
          <w:p>
            <w:pPr>
              <w:spacing w:line="300" w:lineRule="exact"/>
              <w:jc w:val="center"/>
              <w:rPr>
                <w:rFonts w:ascii="方正书宋_GBK" w:eastAsia="方正书宋_GBK"/>
                <w:b/>
              </w:rPr>
            </w:pPr>
          </w:p>
        </w:tc>
        <w:tc>
          <w:tcPr>
            <w:tcW w:w="1900" w:type="dxa"/>
            <w:vAlign w:val="center"/>
          </w:tcPr>
          <w:p>
            <w:pPr>
              <w:spacing w:line="300" w:lineRule="exact"/>
              <w:jc w:val="center"/>
              <w:rPr>
                <w:rFonts w:ascii="方正书宋_GBK" w:eastAsia="方正书宋_GBK"/>
                <w:b/>
              </w:rPr>
            </w:pPr>
          </w:p>
        </w:tc>
        <w:tc>
          <w:tcPr>
            <w:tcW w:w="1167" w:type="dxa"/>
            <w:vAlign w:val="center"/>
          </w:tcPr>
          <w:p>
            <w:pPr>
              <w:spacing w:line="300" w:lineRule="exact"/>
              <w:jc w:val="center"/>
              <w:rPr>
                <w:rFonts w:ascii="方正书宋_GBK" w:eastAsia="方正书宋_GBK"/>
                <w:b/>
              </w:rPr>
            </w:pPr>
            <w:r>
              <w:rPr>
                <w:rFonts w:ascii="方正书宋_GBK" w:eastAsia="方正书宋_GBK"/>
                <w:b/>
              </w:rPr>
              <w:t>19</w:t>
            </w:r>
          </w:p>
        </w:tc>
        <w:tc>
          <w:tcPr>
            <w:tcW w:w="613" w:type="dxa"/>
            <w:vAlign w:val="center"/>
          </w:tcPr>
          <w:p>
            <w:pPr>
              <w:spacing w:line="300" w:lineRule="exact"/>
              <w:jc w:val="center"/>
              <w:rPr>
                <w:rFonts w:ascii="方正书宋_GBK" w:eastAsia="方正书宋_GBK"/>
                <w:b/>
              </w:rPr>
            </w:pPr>
            <w:r>
              <w:rPr>
                <w:rFonts w:ascii="方正书宋_GBK" w:eastAsia="方正书宋_GBK"/>
                <w:b/>
              </w:rPr>
              <w:t>88</w:t>
            </w:r>
          </w:p>
        </w:tc>
        <w:tc>
          <w:tcPr>
            <w:tcW w:w="804" w:type="dxa"/>
            <w:vAlign w:val="center"/>
          </w:tcPr>
          <w:p>
            <w:pPr>
              <w:spacing w:line="300" w:lineRule="exact"/>
              <w:jc w:val="center"/>
              <w:rPr>
                <w:rFonts w:ascii="方正书宋_GBK" w:eastAsia="方正书宋_GBK"/>
                <w:b/>
              </w:rPr>
            </w:pPr>
            <w:r>
              <w:rPr>
                <w:rFonts w:ascii="方正书宋_GBK" w:eastAsia="方正书宋_GBK"/>
                <w:b/>
              </w:rPr>
              <w:t>4096</w:t>
            </w:r>
          </w:p>
        </w:tc>
        <w:tc>
          <w:tcPr>
            <w:tcW w:w="1044" w:type="dxa"/>
            <w:vAlign w:val="center"/>
          </w:tcPr>
          <w:p>
            <w:pPr>
              <w:spacing w:line="300" w:lineRule="exact"/>
              <w:jc w:val="center"/>
              <w:rPr>
                <w:rFonts w:ascii="方正书宋_GBK" w:eastAsia="方正书宋_GBK"/>
                <w:b/>
              </w:rPr>
            </w:pPr>
            <w:r>
              <w:rPr>
                <w:rFonts w:ascii="方正书宋_GBK" w:eastAsia="方正书宋_GBK"/>
                <w:b/>
              </w:rPr>
              <w:t>106</w:t>
            </w:r>
          </w:p>
        </w:tc>
        <w:tc>
          <w:tcPr>
            <w:tcW w:w="972" w:type="dxa"/>
            <w:vAlign w:val="center"/>
          </w:tcPr>
          <w:p>
            <w:pPr>
              <w:spacing w:line="300" w:lineRule="exact"/>
              <w:jc w:val="center"/>
              <w:rPr>
                <w:rFonts w:ascii="方正书宋_GBK" w:eastAsia="方正书宋_GBK"/>
                <w:b/>
              </w:rPr>
            </w:pPr>
            <w:r>
              <w:rPr>
                <w:rFonts w:ascii="方正书宋_GBK" w:eastAsia="方正书宋_GBK"/>
                <w:b/>
              </w:rPr>
              <w:t>4310</w:t>
            </w:r>
          </w:p>
        </w:tc>
        <w:tc>
          <w:tcPr>
            <w:tcW w:w="612" w:type="dxa"/>
            <w:vAlign w:val="center"/>
          </w:tcPr>
          <w:p>
            <w:pPr>
              <w:spacing w:line="300" w:lineRule="exact"/>
              <w:jc w:val="center"/>
              <w:rPr>
                <w:rFonts w:ascii="方正书宋_GBK" w:eastAsia="方正书宋_GBK"/>
                <w:b/>
              </w:rPr>
            </w:pPr>
            <w:r>
              <w:rPr>
                <w:rFonts w:ascii="方正书宋_GBK" w:eastAsia="方正书宋_GBK"/>
                <w:b/>
              </w:rPr>
              <w:t>10</w:t>
            </w:r>
          </w:p>
        </w:tc>
        <w:tc>
          <w:tcPr>
            <w:tcW w:w="989" w:type="dxa"/>
            <w:vAlign w:val="center"/>
          </w:tcPr>
          <w:p>
            <w:pPr>
              <w:spacing w:line="300" w:lineRule="exact"/>
              <w:jc w:val="center"/>
              <w:rPr>
                <w:rFonts w:ascii="方正书宋_GBK" w:eastAsia="方正书宋_GBK"/>
                <w:b/>
              </w:rPr>
            </w:pPr>
            <w:r>
              <w:rPr>
                <w:rFonts w:ascii="方正书宋_GBK" w:eastAsia="方正书宋_GBK"/>
                <w:b/>
              </w:rPr>
              <w:t>1134</w:t>
            </w:r>
          </w:p>
        </w:tc>
        <w:tc>
          <w:tcPr>
            <w:tcW w:w="526" w:type="dxa"/>
            <w:gridSpan w:val="2"/>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无极县教育局</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r>
              <w:rPr>
                <w:rFonts w:ascii="方正书宋_GBK" w:eastAsia="方正书宋_GBK"/>
              </w:rPr>
              <w:t>16</w:t>
            </w:r>
          </w:p>
        </w:tc>
        <w:tc>
          <w:tcPr>
            <w:tcW w:w="804" w:type="dxa"/>
            <w:vAlign w:val="center"/>
          </w:tcPr>
          <w:p>
            <w:pPr>
              <w:spacing w:line="300" w:lineRule="exact"/>
              <w:jc w:val="center"/>
              <w:rPr>
                <w:rFonts w:ascii="方正书宋_GBK" w:eastAsia="方正书宋_GBK"/>
              </w:rPr>
            </w:pPr>
            <w:r>
              <w:rPr>
                <w:rFonts w:ascii="方正书宋_GBK" w:eastAsia="方正书宋_GBK"/>
              </w:rPr>
              <w:t>4</w:t>
            </w:r>
          </w:p>
        </w:tc>
        <w:tc>
          <w:tcPr>
            <w:tcW w:w="1044" w:type="dxa"/>
            <w:vAlign w:val="center"/>
          </w:tcPr>
          <w:p>
            <w:pPr>
              <w:spacing w:line="300" w:lineRule="exact"/>
              <w:jc w:val="center"/>
              <w:rPr>
                <w:rFonts w:ascii="方正书宋_GBK" w:eastAsia="方正书宋_GBK"/>
              </w:rPr>
            </w:pPr>
            <w:r>
              <w:rPr>
                <w:rFonts w:ascii="方正书宋_GBK" w:eastAsia="方正书宋_GBK"/>
              </w:rPr>
              <w:t>106</w:t>
            </w:r>
          </w:p>
        </w:tc>
        <w:tc>
          <w:tcPr>
            <w:tcW w:w="972" w:type="dxa"/>
            <w:vAlign w:val="center"/>
          </w:tcPr>
          <w:p>
            <w:pPr>
              <w:spacing w:line="300" w:lineRule="exact"/>
              <w:jc w:val="center"/>
              <w:rPr>
                <w:rFonts w:ascii="方正书宋_GBK" w:eastAsia="方正书宋_GBK"/>
              </w:rPr>
            </w:pP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河北无极中学</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r>
              <w:rPr>
                <w:rFonts w:ascii="方正书宋_GBK" w:eastAsia="方正书宋_GBK"/>
              </w:rPr>
              <w:t>13</w:t>
            </w: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510</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427</w:t>
            </w:r>
          </w:p>
        </w:tc>
        <w:tc>
          <w:tcPr>
            <w:tcW w:w="612" w:type="dxa"/>
            <w:vAlign w:val="center"/>
          </w:tcPr>
          <w:p>
            <w:pPr>
              <w:spacing w:line="300" w:lineRule="exact"/>
              <w:jc w:val="center"/>
              <w:rPr>
                <w:rFonts w:ascii="方正书宋_GBK" w:eastAsia="方正书宋_GBK"/>
              </w:rPr>
            </w:pPr>
            <w:r>
              <w:rPr>
                <w:rFonts w:ascii="方正书宋_GBK" w:eastAsia="方正书宋_GBK"/>
              </w:rPr>
              <w:t>4</w:t>
            </w:r>
          </w:p>
        </w:tc>
        <w:tc>
          <w:tcPr>
            <w:tcW w:w="989" w:type="dxa"/>
            <w:vAlign w:val="center"/>
          </w:tcPr>
          <w:p>
            <w:pPr>
              <w:spacing w:line="300" w:lineRule="exact"/>
              <w:jc w:val="center"/>
              <w:rPr>
                <w:rFonts w:ascii="方正书宋_GBK" w:eastAsia="方正书宋_GBK"/>
              </w:rPr>
            </w:pPr>
            <w:r>
              <w:rPr>
                <w:rFonts w:ascii="方正书宋_GBK" w:eastAsia="方正书宋_GBK"/>
              </w:rPr>
              <w:t>101</w:t>
            </w: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无极县特殊教育学校</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r>
              <w:rPr>
                <w:rFonts w:ascii="方正书宋_GBK" w:eastAsia="方正书宋_GBK"/>
              </w:rPr>
              <w:t>1</w:t>
            </w: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20</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9</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无极县综合职业技术教育中心</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r>
              <w:rPr>
                <w:rFonts w:ascii="方正书宋_GBK" w:eastAsia="方正书宋_GBK"/>
              </w:rPr>
              <w:t>5</w:t>
            </w: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144</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180</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6" w:type="dxa"/>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无极县武术学校</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r>
              <w:rPr>
                <w:rFonts w:ascii="方正书宋_GBK" w:eastAsia="方正书宋_GBK"/>
              </w:rPr>
              <w:t>72</w:t>
            </w:r>
          </w:p>
        </w:tc>
        <w:tc>
          <w:tcPr>
            <w:tcW w:w="804" w:type="dxa"/>
            <w:vAlign w:val="center"/>
          </w:tcPr>
          <w:p>
            <w:pPr>
              <w:spacing w:line="300" w:lineRule="exact"/>
              <w:jc w:val="center"/>
              <w:rPr>
                <w:rFonts w:ascii="方正书宋_GBK" w:eastAsia="方正书宋_GBK"/>
              </w:rPr>
            </w:pP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69</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240"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6" w:type="dxa"/>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无极县实验学校</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279</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319</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240"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6" w:type="dxa"/>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无极县教师进修学校</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50</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62</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240"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6" w:type="dxa"/>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无极县幼儿园</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132</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240"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6" w:type="dxa"/>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无极县无极镇学区</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325</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292</w:t>
            </w:r>
          </w:p>
        </w:tc>
        <w:tc>
          <w:tcPr>
            <w:tcW w:w="612" w:type="dxa"/>
            <w:vAlign w:val="center"/>
          </w:tcPr>
          <w:p>
            <w:pPr>
              <w:spacing w:line="300" w:lineRule="exact"/>
              <w:jc w:val="center"/>
              <w:rPr>
                <w:rFonts w:ascii="方正书宋_GBK" w:eastAsia="方正书宋_GBK"/>
              </w:rPr>
            </w:pPr>
            <w:r>
              <w:rPr>
                <w:rFonts w:ascii="方正书宋_GBK" w:eastAsia="方正书宋_GBK"/>
              </w:rPr>
              <w:t>1</w:t>
            </w:r>
          </w:p>
        </w:tc>
        <w:tc>
          <w:tcPr>
            <w:tcW w:w="989" w:type="dxa"/>
            <w:vAlign w:val="center"/>
          </w:tcPr>
          <w:p>
            <w:pPr>
              <w:spacing w:line="300" w:lineRule="exact"/>
              <w:jc w:val="center"/>
              <w:rPr>
                <w:rFonts w:ascii="方正书宋_GBK" w:eastAsia="方正书宋_GBK"/>
              </w:rPr>
            </w:pPr>
            <w:r>
              <w:rPr>
                <w:rFonts w:ascii="方正书宋_GBK" w:eastAsia="方正书宋_GBK"/>
              </w:rPr>
              <w:t>171</w:t>
            </w:r>
          </w:p>
        </w:tc>
        <w:tc>
          <w:tcPr>
            <w:tcW w:w="240"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无极县七汲镇学区</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未定级</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267</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243</w:t>
            </w:r>
          </w:p>
        </w:tc>
        <w:tc>
          <w:tcPr>
            <w:tcW w:w="612" w:type="dxa"/>
            <w:vAlign w:val="center"/>
          </w:tcPr>
          <w:p>
            <w:pPr>
              <w:spacing w:line="300" w:lineRule="exact"/>
              <w:jc w:val="center"/>
              <w:rPr>
                <w:rFonts w:ascii="方正书宋_GBK" w:eastAsia="方正书宋_GBK"/>
              </w:rPr>
            </w:pPr>
            <w:r>
              <w:rPr>
                <w:rFonts w:ascii="方正书宋_GBK" w:eastAsia="方正书宋_GBK"/>
              </w:rPr>
              <w:t>1</w:t>
            </w:r>
          </w:p>
        </w:tc>
        <w:tc>
          <w:tcPr>
            <w:tcW w:w="989" w:type="dxa"/>
            <w:vAlign w:val="center"/>
          </w:tcPr>
          <w:p>
            <w:pPr>
              <w:spacing w:line="300" w:lineRule="exact"/>
              <w:jc w:val="center"/>
              <w:rPr>
                <w:rFonts w:ascii="方正书宋_GBK" w:eastAsia="方正书宋_GBK"/>
              </w:rPr>
            </w:pPr>
            <w:r>
              <w:rPr>
                <w:rFonts w:ascii="方正书宋_GBK" w:eastAsia="方正书宋_GBK"/>
              </w:rPr>
              <w:t>113</w:t>
            </w: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无极县南流乡学区</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147</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144</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r>
              <w:rPr>
                <w:rFonts w:ascii="方正书宋_GBK" w:eastAsia="方正书宋_GBK"/>
              </w:rPr>
              <w:t>70</w:t>
            </w: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无极县大陈镇学区</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242</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221</w:t>
            </w:r>
          </w:p>
        </w:tc>
        <w:tc>
          <w:tcPr>
            <w:tcW w:w="612" w:type="dxa"/>
            <w:vAlign w:val="center"/>
          </w:tcPr>
          <w:p>
            <w:pPr>
              <w:spacing w:line="300" w:lineRule="exact"/>
              <w:jc w:val="center"/>
              <w:rPr>
                <w:rFonts w:ascii="方正书宋_GBK" w:eastAsia="方正书宋_GBK"/>
              </w:rPr>
            </w:pPr>
            <w:r>
              <w:rPr>
                <w:rFonts w:ascii="方正书宋_GBK" w:eastAsia="方正书宋_GBK"/>
              </w:rPr>
              <w:t>1</w:t>
            </w:r>
          </w:p>
        </w:tc>
        <w:tc>
          <w:tcPr>
            <w:tcW w:w="989" w:type="dxa"/>
            <w:vAlign w:val="center"/>
          </w:tcPr>
          <w:p>
            <w:pPr>
              <w:spacing w:line="300" w:lineRule="exact"/>
              <w:jc w:val="center"/>
              <w:rPr>
                <w:rFonts w:ascii="方正书宋_GBK" w:eastAsia="方正书宋_GBK"/>
              </w:rPr>
            </w:pPr>
            <w:r>
              <w:rPr>
                <w:rFonts w:ascii="方正书宋_GBK" w:eastAsia="方正书宋_GBK"/>
              </w:rPr>
              <w:t>70</w:t>
            </w: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无极县里城道乡学区</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229</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217</w:t>
            </w:r>
          </w:p>
        </w:tc>
        <w:tc>
          <w:tcPr>
            <w:tcW w:w="612" w:type="dxa"/>
            <w:vAlign w:val="center"/>
          </w:tcPr>
          <w:p>
            <w:pPr>
              <w:spacing w:line="300" w:lineRule="exact"/>
              <w:jc w:val="center"/>
              <w:rPr>
                <w:rFonts w:ascii="方正书宋_GBK" w:eastAsia="方正书宋_GBK"/>
              </w:rPr>
            </w:pPr>
            <w:r>
              <w:rPr>
                <w:rFonts w:ascii="方正书宋_GBK" w:eastAsia="方正书宋_GBK"/>
              </w:rPr>
              <w:t>1</w:t>
            </w:r>
          </w:p>
        </w:tc>
        <w:tc>
          <w:tcPr>
            <w:tcW w:w="989" w:type="dxa"/>
            <w:vAlign w:val="center"/>
          </w:tcPr>
          <w:p>
            <w:pPr>
              <w:spacing w:line="300" w:lineRule="exact"/>
              <w:jc w:val="center"/>
              <w:rPr>
                <w:rFonts w:ascii="方正书宋_GBK" w:eastAsia="方正书宋_GBK"/>
              </w:rPr>
            </w:pPr>
            <w:r>
              <w:rPr>
                <w:rFonts w:ascii="方正书宋_GBK" w:eastAsia="方正书宋_GBK"/>
              </w:rPr>
              <w:t>125</w:t>
            </w: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无极县郭庄镇学区</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235</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344</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无极县东侯坊乡学区</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379</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321</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r>
              <w:rPr>
                <w:rFonts w:ascii="方正书宋_GBK" w:eastAsia="方正书宋_GBK"/>
              </w:rPr>
              <w:t>167</w:t>
            </w: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无极县北苏镇学区</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312</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427</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无极县高头学区</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未定级</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185</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165</w:t>
            </w:r>
          </w:p>
        </w:tc>
        <w:tc>
          <w:tcPr>
            <w:tcW w:w="612" w:type="dxa"/>
            <w:vAlign w:val="center"/>
          </w:tcPr>
          <w:p>
            <w:pPr>
              <w:spacing w:line="300" w:lineRule="exact"/>
              <w:jc w:val="center"/>
              <w:rPr>
                <w:rFonts w:ascii="方正书宋_GBK" w:eastAsia="方正书宋_GBK"/>
              </w:rPr>
            </w:pPr>
            <w:r>
              <w:rPr>
                <w:rFonts w:ascii="方正书宋_GBK" w:eastAsia="方正书宋_GBK"/>
              </w:rPr>
              <w:t>1</w:t>
            </w:r>
          </w:p>
        </w:tc>
        <w:tc>
          <w:tcPr>
            <w:tcW w:w="989" w:type="dxa"/>
            <w:vAlign w:val="center"/>
          </w:tcPr>
          <w:p>
            <w:pPr>
              <w:spacing w:line="300" w:lineRule="exact"/>
              <w:jc w:val="center"/>
              <w:rPr>
                <w:rFonts w:ascii="方正书宋_GBK" w:eastAsia="方正书宋_GBK"/>
              </w:rPr>
            </w:pPr>
            <w:r>
              <w:rPr>
                <w:rFonts w:ascii="方正书宋_GBK" w:eastAsia="方正书宋_GBK"/>
              </w:rPr>
              <w:t>76</w:t>
            </w: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无极县郝庄乡学区</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293</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265</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r>
              <w:rPr>
                <w:rFonts w:ascii="方正书宋_GBK" w:eastAsia="方正书宋_GBK"/>
              </w:rPr>
              <w:t>122</w:t>
            </w: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无极县张段固镇学区</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未定级</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286</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265</w:t>
            </w:r>
          </w:p>
        </w:tc>
        <w:tc>
          <w:tcPr>
            <w:tcW w:w="612" w:type="dxa"/>
            <w:vAlign w:val="center"/>
          </w:tcPr>
          <w:p>
            <w:pPr>
              <w:spacing w:line="300" w:lineRule="exact"/>
              <w:jc w:val="center"/>
              <w:rPr>
                <w:rFonts w:ascii="方正书宋_GBK" w:eastAsia="方正书宋_GBK"/>
              </w:rPr>
            </w:pPr>
            <w:r>
              <w:rPr>
                <w:rFonts w:ascii="方正书宋_GBK" w:eastAsia="方正书宋_GBK"/>
              </w:rPr>
              <w:t>1</w:t>
            </w:r>
          </w:p>
        </w:tc>
        <w:tc>
          <w:tcPr>
            <w:tcW w:w="989" w:type="dxa"/>
            <w:vAlign w:val="center"/>
          </w:tcPr>
          <w:p>
            <w:pPr>
              <w:spacing w:line="300" w:lineRule="exact"/>
              <w:jc w:val="center"/>
              <w:rPr>
                <w:rFonts w:ascii="方正书宋_GBK" w:eastAsia="方正书宋_GBK"/>
              </w:rPr>
            </w:pPr>
            <w:r>
              <w:rPr>
                <w:rFonts w:ascii="方正书宋_GBK" w:eastAsia="方正书宋_GBK"/>
              </w:rPr>
              <w:t>119</w:t>
            </w: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无极县东中铺学校</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54</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68</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无极县角头学校</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78</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70</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526"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636" w:type="dxa"/>
            <w:vAlign w:val="center"/>
          </w:tcPr>
          <w:p>
            <w:pPr>
              <w:spacing w:line="300" w:lineRule="exact"/>
              <w:jc w:val="left"/>
              <w:rPr>
                <w:rFonts w:ascii="方正书宋_GBK" w:eastAsia="方正书宋_GBK"/>
              </w:rPr>
            </w:pPr>
            <w:r>
              <w:rPr>
                <w:rFonts w:hint="eastAsia" w:ascii="方正书宋_GBK" w:eastAsia="方正书宋_GBK"/>
              </w:rPr>
              <w:t>无极县东关学校</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982"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900"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1167" w:type="dxa"/>
            <w:vAlign w:val="center"/>
          </w:tcPr>
          <w:p>
            <w:pPr>
              <w:spacing w:line="300" w:lineRule="exact"/>
              <w:jc w:val="center"/>
              <w:rPr>
                <w:rFonts w:ascii="方正书宋_GBK" w:eastAsia="方正书宋_GBK"/>
              </w:rPr>
            </w:pPr>
          </w:p>
        </w:tc>
        <w:tc>
          <w:tcPr>
            <w:tcW w:w="613" w:type="dxa"/>
            <w:vAlign w:val="center"/>
          </w:tcPr>
          <w:p>
            <w:pPr>
              <w:spacing w:line="300" w:lineRule="exact"/>
              <w:jc w:val="center"/>
              <w:rPr>
                <w:rFonts w:ascii="方正书宋_GBK" w:eastAsia="方正书宋_GBK"/>
              </w:rPr>
            </w:pPr>
          </w:p>
        </w:tc>
        <w:tc>
          <w:tcPr>
            <w:tcW w:w="804" w:type="dxa"/>
            <w:vAlign w:val="center"/>
          </w:tcPr>
          <w:p>
            <w:pPr>
              <w:spacing w:line="300" w:lineRule="exact"/>
              <w:jc w:val="center"/>
              <w:rPr>
                <w:rFonts w:ascii="方正书宋_GBK" w:eastAsia="方正书宋_GBK"/>
              </w:rPr>
            </w:pPr>
            <w:r>
              <w:rPr>
                <w:rFonts w:ascii="方正书宋_GBK" w:eastAsia="方正书宋_GBK"/>
              </w:rPr>
              <w:t>57</w:t>
            </w:r>
          </w:p>
        </w:tc>
        <w:tc>
          <w:tcPr>
            <w:tcW w:w="1044" w:type="dxa"/>
            <w:vAlign w:val="center"/>
          </w:tcPr>
          <w:p>
            <w:pPr>
              <w:spacing w:line="300" w:lineRule="exact"/>
              <w:jc w:val="center"/>
              <w:rPr>
                <w:rFonts w:ascii="方正书宋_GBK" w:eastAsia="方正书宋_GBK"/>
              </w:rPr>
            </w:pPr>
          </w:p>
        </w:tc>
        <w:tc>
          <w:tcPr>
            <w:tcW w:w="972" w:type="dxa"/>
            <w:vAlign w:val="center"/>
          </w:tcPr>
          <w:p>
            <w:pPr>
              <w:spacing w:line="300" w:lineRule="exact"/>
              <w:jc w:val="center"/>
              <w:rPr>
                <w:rFonts w:ascii="方正书宋_GBK" w:eastAsia="方正书宋_GBK"/>
              </w:rPr>
            </w:pPr>
            <w:r>
              <w:rPr>
                <w:rFonts w:ascii="方正书宋_GBK" w:eastAsia="方正书宋_GBK"/>
              </w:rPr>
              <w:t>70</w:t>
            </w:r>
          </w:p>
        </w:tc>
        <w:tc>
          <w:tcPr>
            <w:tcW w:w="612" w:type="dxa"/>
            <w:vAlign w:val="center"/>
          </w:tcPr>
          <w:p>
            <w:pPr>
              <w:spacing w:line="300" w:lineRule="exact"/>
              <w:jc w:val="center"/>
              <w:rPr>
                <w:rFonts w:ascii="方正书宋_GBK" w:eastAsia="方正书宋_GBK"/>
              </w:rPr>
            </w:pPr>
          </w:p>
        </w:tc>
        <w:tc>
          <w:tcPr>
            <w:tcW w:w="989" w:type="dxa"/>
            <w:vAlign w:val="center"/>
          </w:tcPr>
          <w:p>
            <w:pPr>
              <w:spacing w:line="300" w:lineRule="exact"/>
              <w:jc w:val="center"/>
              <w:rPr>
                <w:rFonts w:ascii="方正书宋_GBK" w:eastAsia="方正书宋_GBK"/>
              </w:rPr>
            </w:pPr>
          </w:p>
        </w:tc>
        <w:tc>
          <w:tcPr>
            <w:tcW w:w="526" w:type="dxa"/>
            <w:gridSpan w:val="2"/>
            <w:vAlign w:val="center"/>
          </w:tcPr>
          <w:p>
            <w:pPr>
              <w:spacing w:line="300" w:lineRule="exact"/>
              <w:jc w:val="center"/>
              <w:rPr>
                <w:rFonts w:ascii="方正书宋_GBK" w:eastAsia="方正书宋_GBK"/>
              </w:rPr>
            </w:pPr>
          </w:p>
        </w:tc>
      </w:tr>
    </w:tbl>
    <w:p>
      <w:pPr>
        <w:spacing w:line="560" w:lineRule="exact"/>
        <w:rPr>
          <w:rFonts w:ascii="??_GB2312" w:hAnsi="Cambria" w:eastAsia="Times New Roman"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pStyle w:val="2"/>
        <w:spacing w:line="560" w:lineRule="exact"/>
        <w:jc w:val="center"/>
        <w:rPr>
          <w:rFonts w:ascii="宋体" w:cs="ArialUnicodeMS"/>
          <w:color w:val="000000"/>
          <w:kern w:val="0"/>
        </w:rPr>
      </w:pPr>
      <w:r>
        <w:rPr>
          <w:rFonts w:hint="eastAsia" w:ascii="宋体" w:hAnsi="宋体" w:cs="ArialUnicodeMS"/>
          <w:color w:val="000000"/>
          <w:kern w:val="0"/>
        </w:rPr>
        <w:t>第二部分</w:t>
      </w:r>
      <w:r>
        <w:rPr>
          <w:rFonts w:ascii="宋体" w:hAnsi="宋体" w:cs="ArialUnicodeMS"/>
          <w:color w:val="000000"/>
          <w:kern w:val="0"/>
        </w:rPr>
        <w:t xml:space="preserve"> 2017</w:t>
      </w:r>
      <w:r>
        <w:rPr>
          <w:rFonts w:hint="eastAsia" w:ascii="宋体" w:hAnsi="宋体" w:cs="ArialUnicodeMS"/>
          <w:color w:val="000000"/>
          <w:kern w:val="0"/>
        </w:rPr>
        <w:t>年度部门决算报表</w:t>
      </w:r>
    </w:p>
    <w:p>
      <w:pPr>
        <w:widowControl/>
        <w:spacing w:after="0" w:line="560" w:lineRule="exact"/>
        <w:ind w:firstLine="883" w:firstLineChars="200"/>
        <w:jc w:val="left"/>
        <w:rPr>
          <w:rFonts w:ascii="宋体" w:cs="MS-UIGothic,Bold"/>
          <w:b/>
          <w:bCs/>
          <w:kern w:val="0"/>
          <w:sz w:val="44"/>
          <w:szCs w:val="44"/>
        </w:rPr>
      </w:pPr>
    </w:p>
    <w:p>
      <w:pPr>
        <w:jc w:val="center"/>
        <w:rPr>
          <w:rFonts w:ascii="??_GB2312" w:hAnsi="??_GB2312" w:eastAsia="Times New Roman" w:cs="??_GB2312"/>
          <w:bCs/>
          <w:sz w:val="32"/>
          <w:szCs w:val="32"/>
        </w:rPr>
      </w:pPr>
      <w:r>
        <w:rPr>
          <w:rFonts w:hint="eastAsia" w:ascii="宋体" w:hAnsi="宋体" w:cs="宋体"/>
          <w:bCs/>
          <w:sz w:val="32"/>
          <w:szCs w:val="32"/>
        </w:rPr>
        <w:t>（详见附件）</w:t>
      </w:r>
    </w:p>
    <w:p>
      <w:pPr>
        <w:ind w:firstLine="643"/>
        <w:jc w:val="left"/>
        <w:rPr>
          <w:rFonts w:ascii="??_GB2312" w:hAnsi="??_GB2312" w:eastAsia="Times New Roman" w:cs="??_GB2312"/>
          <w:bCs/>
          <w:sz w:val="32"/>
          <w:szCs w:val="32"/>
        </w:rPr>
      </w:pPr>
      <w:r>
        <w:rPr>
          <w:rFonts w:hint="eastAsia" w:ascii="宋体" w:hAnsi="宋体" w:cs="宋体"/>
          <w:bCs/>
          <w:sz w:val="32"/>
          <w:szCs w:val="32"/>
        </w:rPr>
        <w:t>一、收入支出决算总表</w:t>
      </w:r>
    </w:p>
    <w:p>
      <w:pPr>
        <w:ind w:firstLine="643"/>
        <w:rPr>
          <w:rFonts w:ascii="??_GB2312" w:hAnsi="??_GB2312" w:eastAsia="Times New Roman" w:cs="??_GB2312"/>
          <w:bCs/>
          <w:sz w:val="32"/>
          <w:szCs w:val="32"/>
        </w:rPr>
      </w:pPr>
      <w:r>
        <w:rPr>
          <w:rFonts w:hint="eastAsia" w:ascii="宋体" w:hAnsi="宋体" w:cs="宋体"/>
          <w:bCs/>
          <w:sz w:val="32"/>
          <w:szCs w:val="32"/>
        </w:rPr>
        <w:t>二、收入决算表</w:t>
      </w:r>
    </w:p>
    <w:p>
      <w:pPr>
        <w:ind w:firstLine="643"/>
        <w:rPr>
          <w:rFonts w:ascii="??_GB2312" w:hAnsi="??_GB2312" w:eastAsia="Times New Roman" w:cs="??_GB2312"/>
          <w:bCs/>
          <w:sz w:val="32"/>
          <w:szCs w:val="32"/>
        </w:rPr>
      </w:pPr>
      <w:r>
        <w:rPr>
          <w:rFonts w:hint="eastAsia" w:ascii="宋体" w:hAnsi="宋体" w:cs="宋体"/>
          <w:bCs/>
          <w:sz w:val="32"/>
          <w:szCs w:val="32"/>
        </w:rPr>
        <w:t>三、支出决算表</w:t>
      </w:r>
      <w:r>
        <w:rPr>
          <w:rFonts w:ascii="??_GB2312" w:hAnsi="??_GB2312" w:eastAsia="Times New Roman" w:cs="??_GB2312"/>
          <w:bCs/>
          <w:sz w:val="32"/>
          <w:szCs w:val="32"/>
        </w:rPr>
        <w:t xml:space="preserve"> </w:t>
      </w:r>
    </w:p>
    <w:p>
      <w:pPr>
        <w:ind w:firstLine="643"/>
        <w:rPr>
          <w:rFonts w:ascii="??_GB2312" w:hAnsi="??_GB2312" w:eastAsia="Times New Roman" w:cs="??_GB2312"/>
          <w:bCs/>
          <w:sz w:val="32"/>
          <w:szCs w:val="32"/>
        </w:rPr>
      </w:pPr>
      <w:r>
        <w:rPr>
          <w:rFonts w:hint="eastAsia" w:ascii="宋体" w:hAnsi="宋体" w:cs="宋体"/>
          <w:bCs/>
          <w:sz w:val="32"/>
          <w:szCs w:val="32"/>
        </w:rPr>
        <w:t>四、财政拨款收入支出决算总表</w:t>
      </w:r>
    </w:p>
    <w:p>
      <w:pPr>
        <w:ind w:firstLine="643"/>
        <w:rPr>
          <w:rFonts w:ascii="??_GB2312" w:hAnsi="??_GB2312" w:eastAsia="Times New Roman" w:cs="??_GB2312"/>
          <w:bCs/>
          <w:sz w:val="32"/>
          <w:szCs w:val="32"/>
        </w:rPr>
      </w:pPr>
      <w:r>
        <w:rPr>
          <w:rFonts w:hint="eastAsia" w:ascii="宋体" w:hAnsi="宋体" w:cs="宋体"/>
          <w:bCs/>
          <w:sz w:val="32"/>
          <w:szCs w:val="32"/>
        </w:rPr>
        <w:t>五、一般公共预算财政拨款支出决算表</w:t>
      </w:r>
    </w:p>
    <w:p>
      <w:pPr>
        <w:ind w:firstLine="622"/>
        <w:rPr>
          <w:rFonts w:ascii="??_GB2312" w:hAnsi="??_GB2312" w:eastAsia="Times New Roman" w:cs="??_GB2312"/>
          <w:bCs/>
          <w:sz w:val="32"/>
          <w:szCs w:val="32"/>
        </w:rPr>
      </w:pPr>
      <w:r>
        <w:rPr>
          <w:rFonts w:hint="eastAsia" w:ascii="宋体" w:hAnsi="宋体" w:cs="宋体"/>
          <w:bCs/>
          <w:sz w:val="32"/>
          <w:szCs w:val="32"/>
        </w:rPr>
        <w:t>六、一般公共预算财政拨款基本支出决算表</w:t>
      </w:r>
    </w:p>
    <w:p>
      <w:pPr>
        <w:ind w:firstLine="622"/>
        <w:rPr>
          <w:rFonts w:ascii="??_GB2312" w:hAnsi="??_GB2312" w:eastAsia="Times New Roman" w:cs="??_GB2312"/>
          <w:bCs/>
          <w:sz w:val="32"/>
          <w:szCs w:val="32"/>
        </w:rPr>
      </w:pPr>
      <w:r>
        <w:rPr>
          <w:rFonts w:hint="eastAsia" w:ascii="宋体" w:hAnsi="宋体" w:cs="宋体"/>
          <w:bCs/>
          <w:sz w:val="32"/>
          <w:szCs w:val="32"/>
        </w:rPr>
        <w:t>七、政府性基金预算财政拨款收入支出决算表</w:t>
      </w:r>
      <w:r>
        <w:rPr>
          <w:rFonts w:ascii="??_GB2312" w:hAnsi="??_GB2312" w:eastAsia="Times New Roman" w:cs="??_GB2312"/>
          <w:bCs/>
          <w:sz w:val="32"/>
          <w:szCs w:val="32"/>
        </w:rPr>
        <w:t xml:space="preserve"> </w:t>
      </w:r>
    </w:p>
    <w:p>
      <w:pPr>
        <w:ind w:firstLine="643"/>
        <w:rPr>
          <w:rFonts w:ascii="??_GB2312" w:hAnsi="??_GB2312" w:eastAsia="Times New Roman" w:cs="??_GB2312"/>
          <w:bCs/>
          <w:sz w:val="32"/>
          <w:szCs w:val="32"/>
        </w:rPr>
      </w:pPr>
      <w:r>
        <w:rPr>
          <w:rFonts w:hint="eastAsia" w:ascii="宋体" w:hAnsi="宋体" w:cs="宋体"/>
          <w:bCs/>
          <w:sz w:val="32"/>
          <w:szCs w:val="32"/>
        </w:rPr>
        <w:t>八、国有资本经营预算财政拨款收入支出决算表</w:t>
      </w:r>
    </w:p>
    <w:p>
      <w:pPr>
        <w:ind w:firstLine="643"/>
        <w:rPr>
          <w:rFonts w:ascii="??_GB2312" w:hAnsi="??_GB2312" w:eastAsia="Times New Roman" w:cs="??_GB2312"/>
          <w:bCs/>
          <w:sz w:val="32"/>
          <w:szCs w:val="32"/>
        </w:rPr>
      </w:pPr>
      <w:r>
        <w:rPr>
          <w:rFonts w:hint="eastAsia" w:ascii="宋体" w:hAnsi="宋体" w:cs="宋体"/>
          <w:bCs/>
          <w:sz w:val="32"/>
          <w:szCs w:val="32"/>
        </w:rPr>
        <w:t>九、</w:t>
      </w:r>
      <w:r>
        <w:rPr>
          <w:rFonts w:ascii="??_GB2312" w:hAnsi="??_GB2312" w:eastAsia="Times New Roman" w:cs="??_GB2312"/>
          <w:bCs/>
          <w:sz w:val="32"/>
          <w:szCs w:val="32"/>
        </w:rPr>
        <w:t>“</w:t>
      </w:r>
      <w:r>
        <w:rPr>
          <w:rFonts w:hint="eastAsia" w:ascii="宋体" w:hAnsi="宋体" w:cs="宋体"/>
          <w:bCs/>
          <w:sz w:val="32"/>
          <w:szCs w:val="32"/>
        </w:rPr>
        <w:t>三公</w:t>
      </w:r>
      <w:r>
        <w:rPr>
          <w:rFonts w:ascii="??_GB2312" w:hAnsi="??_GB2312" w:eastAsia="Times New Roman" w:cs="??_GB2312"/>
          <w:bCs/>
          <w:sz w:val="32"/>
          <w:szCs w:val="32"/>
        </w:rPr>
        <w:t>”</w:t>
      </w:r>
      <w:r>
        <w:rPr>
          <w:rFonts w:hint="eastAsia" w:ascii="宋体" w:hAnsi="宋体" w:cs="宋体"/>
          <w:bCs/>
          <w:sz w:val="32"/>
          <w:szCs w:val="32"/>
        </w:rPr>
        <w:t>经费及相关信息统计表</w:t>
      </w:r>
    </w:p>
    <w:p>
      <w:pPr>
        <w:ind w:firstLine="643"/>
        <w:rPr>
          <w:rFonts w:ascii="??_GB2312" w:hAnsi="??_GB2312" w:eastAsia="Times New Roman" w:cs="??_GB2312"/>
          <w:bCs/>
          <w:sz w:val="32"/>
          <w:szCs w:val="32"/>
        </w:rPr>
      </w:pPr>
      <w:r>
        <w:rPr>
          <w:rFonts w:hint="eastAsia" w:ascii="宋体" w:hAnsi="宋体" w:cs="宋体"/>
          <w:bCs/>
          <w:sz w:val="32"/>
          <w:szCs w:val="32"/>
        </w:rPr>
        <w:t>十、政府采购情况表</w:t>
      </w:r>
    </w:p>
    <w:p>
      <w:pPr>
        <w:widowControl/>
        <w:spacing w:after="0" w:line="560" w:lineRule="exact"/>
        <w:ind w:firstLine="640" w:firstLineChars="200"/>
        <w:jc w:val="left"/>
        <w:rPr>
          <w:rFonts w:ascii="??_GB2312" w:hAnsi="??_GB2312" w:eastAsia="Times New Roman" w:cs="??_GB2312"/>
          <w:bCs/>
          <w:kern w:val="0"/>
          <w:sz w:val="32"/>
          <w:szCs w:val="32"/>
        </w:rPr>
        <w:sectPr>
          <w:headerReference r:id="rId7" w:type="first"/>
          <w:footerReference r:id="rId10" w:type="first"/>
          <w:headerReference r:id="rId5" w:type="default"/>
          <w:footerReference r:id="rId8" w:type="default"/>
          <w:headerReference r:id="rId6" w:type="even"/>
          <w:footerReference r:id="rId9" w:type="even"/>
          <w:pgSz w:w="16838" w:h="11906" w:orient="landscape"/>
          <w:pgMar w:top="1588" w:right="850" w:bottom="1474" w:left="850" w:header="851" w:footer="992" w:gutter="0"/>
          <w:cols w:space="425" w:num="1"/>
          <w:docGrid w:type="lines" w:linePitch="312" w:charSpace="0"/>
        </w:sectPr>
      </w:pPr>
    </w:p>
    <w:p>
      <w:pPr>
        <w:pStyle w:val="2"/>
        <w:spacing w:line="560" w:lineRule="exact"/>
        <w:jc w:val="center"/>
        <w:rPr>
          <w:rFonts w:ascii="宋体" w:cs="ArialUnicodeMS"/>
          <w:color w:val="000000"/>
          <w:kern w:val="0"/>
        </w:rPr>
      </w:pPr>
      <w:r>
        <w:rPr>
          <w:rFonts w:hint="eastAsia" w:ascii="宋体" w:hAnsi="宋体" w:cs="ArialUnicodeMS"/>
          <w:color w:val="000000"/>
          <w:kern w:val="0"/>
        </w:rPr>
        <w:t>第三部分</w:t>
      </w:r>
      <w:r>
        <w:rPr>
          <w:rFonts w:ascii="宋体" w:hAnsi="宋体" w:cs="ArialUnicodeMS"/>
          <w:color w:val="000000"/>
          <w:kern w:val="0"/>
        </w:rPr>
        <w:t xml:space="preserve"> </w:t>
      </w:r>
      <w:r>
        <w:rPr>
          <w:rFonts w:hint="eastAsia" w:ascii="宋体" w:hAnsi="宋体" w:cs="ArialUnicodeMS"/>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本部门2017年度年初结转和结余0万元，本年收入50132.88万元；本年支出46037.21万元、年末结转和结余4095.67万元。与2016年度决算相比，本年收入增加4044.88万元，增长8.77%，主要是财政拨款比上年增加。本年支出减少50.79万元，降低0.11%，主要是项目建设资金未全部支出，形成结转。</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ascii="??_GB2312" w:eastAsia="Times New Roman" w:cs="DengXian-Regular"/>
          <w:sz w:val="32"/>
          <w:szCs w:val="32"/>
        </w:rPr>
      </w:pPr>
      <w:r>
        <w:rPr>
          <w:rFonts w:ascii="??_GB2312" w:eastAsia="Times New Roman" w:cs="DengXian-Regular"/>
          <w:sz w:val="32"/>
          <w:szCs w:val="32"/>
        </w:rPr>
        <w:t>本部门2017年度本年收入合计50132.88万元，其中：财政拨款收入46592.37万元，占92.94%；事业收入1494.47万元，占2.98%；其他收入2046.04万元，占4.08%。如图所示：</w:t>
      </w:r>
    </w:p>
    <w:p>
      <w:pPr>
        <w:adjustRightInd w:val="0"/>
        <w:snapToGrid w:val="0"/>
        <w:spacing w:line="560" w:lineRule="exact"/>
        <w:ind w:firstLine="640" w:firstLineChars="200"/>
        <w:rPr>
          <w:rFonts w:ascii="??_GB2312" w:eastAsia="Times New Roman" w:cs="DengXian-Regular"/>
          <w:sz w:val="32"/>
          <w:szCs w:val="32"/>
        </w:rPr>
      </w:pPr>
      <w:r>
        <w:rPr>
          <w:rFonts w:ascii="??_GB2312" w:eastAsia="Times New Roman" w:cs="DengXian-Regular"/>
          <w:sz w:val="32"/>
          <w:szCs w:val="32"/>
        </w:rPr>
        <w:t>图1：收入决算结构饼状图</w:t>
      </w:r>
    </w:p>
    <w:p>
      <w:pPr>
        <w:adjustRightInd w:val="0"/>
        <w:snapToGrid w:val="0"/>
        <w:spacing w:after="0" w:line="240" w:lineRule="auto"/>
        <w:rPr>
          <w:rFonts w:ascii="??_GB2312" w:eastAsia="Times New Roman" w:cs="DengXian-Regular"/>
          <w:sz w:val="32"/>
          <w:szCs w:val="32"/>
        </w:rPr>
      </w:pPr>
      <w:r>
        <w:pict>
          <v:shape id="_x0000_i1025" o:spt="75" type="#_x0000_t75" style="height:217.5pt;width:361.5pt;" filled="f" o:preferrelative="t" stroked="f" coordsize="21600,21600">
            <v:path/>
            <v:fill on="f" focussize="0,0"/>
            <v:stroke on="f" joinstyle="miter"/>
            <v:imagedata r:id="rId12"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pStyle w:val="3"/>
        <w:spacing w:before="0" w:after="0" w:line="560" w:lineRule="exact"/>
        <w:ind w:firstLine="640" w:firstLineChars="200"/>
        <w:rPr>
          <w:rFonts w:ascii="??_GB2312" w:eastAsia="Times New Roman" w:cs="DengXian-Regular"/>
          <w:b w:val="0"/>
          <w:bCs w:val="0"/>
        </w:rPr>
      </w:pPr>
      <w:r>
        <w:rPr>
          <w:rFonts w:ascii="??_GB2312" w:eastAsia="Times New Roman" w:cs="DengXian-Regular"/>
          <w:b w:val="0"/>
          <w:bCs w:val="0"/>
        </w:rPr>
        <w:t>本部门2017年度本年支出合计46037.21万元，其中：基本支出38395万元，占83.4%；项目支出7600.69万元，占16.51%，上缴上级支出41.53万元，占0.09%。如图所示：</w:t>
      </w:r>
    </w:p>
    <w:p>
      <w:pPr>
        <w:rPr>
          <w:rFonts w:ascii="??_GB2312" w:eastAsia="Times New Roman" w:cs="DengXian-Regular"/>
          <w:sz w:val="32"/>
          <w:szCs w:val="32"/>
        </w:rPr>
      </w:pPr>
      <w:r>
        <w:rPr>
          <w:rFonts w:ascii="??_GB2312" w:eastAsia="Times New Roman" w:cs="DengXian-Regular"/>
          <w:sz w:val="32"/>
          <w:szCs w:val="32"/>
        </w:rPr>
        <w:t>图2：支出决算结构饼状图</w:t>
      </w:r>
    </w:p>
    <w:p>
      <w:pPr>
        <w:rPr>
          <w:rFonts w:ascii="??_GB2312" w:eastAsia="Times New Roman" w:cs="DengXian-Regular"/>
          <w:sz w:val="32"/>
          <w:szCs w:val="32"/>
        </w:rPr>
      </w:pPr>
      <w:r>
        <w:pict>
          <v:shape id="_x0000_i1026" o:spt="75" type="#_x0000_t75" style="height:217.5pt;width:361.5pt;" filled="f" o:preferrelative="t" stroked="f" coordsize="21600,21600">
            <v:path/>
            <v:fill on="f" focussize="0,0"/>
            <v:stroke on="f" joinstyle="miter"/>
            <v:imagedata r:id="rId13"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 xml:space="preserve">2016 </w:t>
      </w:r>
      <w:r>
        <w:rPr>
          <w:rFonts w:hint="eastAsia" w:ascii="楷体_GB2312" w:eastAsia="楷体_GB2312" w:cs="DengXian-Bold"/>
          <w:b/>
          <w:bCs/>
          <w:sz w:val="32"/>
          <w:szCs w:val="32"/>
        </w:rPr>
        <w:t>年度决算对比情况</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本部门2017年度财政拨款年初结转和结余0万元、本年收入46592.37万元；本年支出42507.71万元、年末结转和结余4084.66万元。与2016年度决算相比，财政拨款本年收入增加2062.37万元，增长4.63%，主要是人员经费增加；本年支出减少2022.32万元，降低4.54%，主要是项目建设资金结转较多。</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其中，一般公共预算财政拨款年初结转和结余0万元、本年收入46581.37万元；本年支出42496.71万元、年末结转和结余4084.66万元。与2016年度决算相比，一般公共预算财政拨款本年收入增加2062.37万元，增长4.63%，主要是人员经费增加；本年支出减少2022.32万元，降低4.54%，主要是项目建设资金结转较多。</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政府性基金预算财政拨款年初结转和结余0万元、本年收入11万元；本年支出11万元、年末结转和结余0万元。与2016年度决算相比，政府性基金预算财政拨款本年收入相同；本年支出也相同。</w:t>
      </w:r>
    </w:p>
    <w:p>
      <w:pPr>
        <w:spacing w:after="0" w:line="560" w:lineRule="exact"/>
        <w:ind w:firstLine="643" w:firstLineChars="200"/>
        <w:rPr>
          <w:rFonts w:ascii="??_GB2312" w:eastAsia="Times New Roman"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本部门2017年度财政拨款本年收入较2017年初预算增加2873.23万元，增长6.57%，主要是人员经费增加；本年支出增减少1222.43万元，降低2.8%，主要是项目资金结转较多。</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其中，本部门2017年度一般公共预算财政拨款本年收入较2017年初预算增加2873.23万元，增长6.57%，主要是人员经费增加；本年支出减少1222.43万元，降低2.8%，主要是项目资金结转较多。</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本部门2017年度政府性基金预算财政拨款本年收入与2017年初预算相同，本年支出也相同。</w:t>
      </w:r>
    </w:p>
    <w:p>
      <w:pPr>
        <w:pStyle w:val="3"/>
        <w:spacing w:before="0" w:after="0" w:line="560" w:lineRule="exact"/>
        <w:ind w:firstLine="643" w:firstLineChars="200"/>
        <w:rPr>
          <w:rFonts w:ascii="黑体" w:eastAsia="黑体"/>
        </w:rPr>
      </w:pPr>
      <w:r>
        <w:rPr>
          <w:rFonts w:hint="eastAsia" w:ascii="黑体" w:eastAsia="黑体"/>
        </w:rPr>
        <w:t>五、“三公”</w:t>
      </w:r>
      <w:r>
        <w:rPr>
          <w:rFonts w:ascii="黑体" w:eastAsia="黑体"/>
        </w:rPr>
        <w:t xml:space="preserve"> </w:t>
      </w:r>
      <w:r>
        <w:rPr>
          <w:rFonts w:hint="eastAsia" w:ascii="黑体" w:eastAsia="黑体"/>
        </w:rPr>
        <w:t>经费支出决算情况说明</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本部门2017年度“三公”经费支出共计14.14万元，较年初预算减少9.42万元，降低39.98%，主要是减少公务用车后，公务用车运行维护费用降低；较2016年度决算减少0.18万元，降低1.26%，主要是公务接待费用降低。具体情况如下：</w:t>
      </w:r>
    </w:p>
    <w:p>
      <w:pPr>
        <w:adjustRightInd w:val="0"/>
        <w:snapToGrid w:val="0"/>
        <w:spacing w:after="0" w:line="560" w:lineRule="exact"/>
        <w:ind w:firstLine="643" w:firstLineChars="200"/>
        <w:rPr>
          <w:rFonts w:ascii="??_GB2312" w:eastAsia="Times New Roman" w:cs="DengXian-Regular"/>
          <w:sz w:val="32"/>
          <w:szCs w:val="32"/>
        </w:rPr>
      </w:pP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ascii="??_GB2312" w:eastAsia="Times New Roman" w:cs="DengXian-Regular"/>
          <w:sz w:val="32"/>
          <w:szCs w:val="32"/>
        </w:rPr>
        <w:t>本部门2017年度参加其他单位组织的因公出国（境）团组0个，本单位无出国（境）团组。较年初预算无增减变化；较2016年度决算无增减变化。</w:t>
      </w:r>
    </w:p>
    <w:p>
      <w:pPr>
        <w:adjustRightInd w:val="0"/>
        <w:snapToGrid w:val="0"/>
        <w:spacing w:after="0" w:line="560" w:lineRule="exact"/>
        <w:ind w:firstLine="643" w:firstLineChars="200"/>
        <w:rPr>
          <w:rFonts w:ascii="??_GB2312" w:eastAsia="Times New Roman" w:cs="DengXian-Regular"/>
          <w:sz w:val="32"/>
          <w:szCs w:val="32"/>
        </w:rPr>
      </w:pPr>
      <w:r>
        <w:rPr>
          <w:rFonts w:hint="eastAsia" w:ascii="楷体_GB2312" w:eastAsia="楷体_GB2312" w:cs="DengXian-Bold"/>
          <w:b/>
          <w:bCs/>
          <w:sz w:val="32"/>
          <w:szCs w:val="32"/>
        </w:rPr>
        <w:t>（二）公务用车购置及运行维护费支出</w:t>
      </w:r>
      <w:r>
        <w:rPr>
          <w:rFonts w:ascii="楷体_GB2312" w:eastAsia="楷体_GB2312" w:cs="DengXian-Bold"/>
          <w:b/>
          <w:bCs/>
          <w:sz w:val="32"/>
          <w:szCs w:val="32"/>
        </w:rPr>
        <w:t>13.23</w:t>
      </w:r>
      <w:r>
        <w:rPr>
          <w:rFonts w:hint="eastAsia" w:ascii="楷体_GB2312" w:eastAsia="楷体_GB2312" w:cs="DengXian-Bold"/>
          <w:b/>
          <w:bCs/>
          <w:sz w:val="32"/>
          <w:szCs w:val="32"/>
        </w:rPr>
        <w:t>万元。</w:t>
      </w:r>
      <w:r>
        <w:rPr>
          <w:rFonts w:ascii="??_GB2312" w:eastAsia="Times New Roman" w:cs="DengXian-Regular"/>
          <w:sz w:val="32"/>
          <w:szCs w:val="32"/>
        </w:rPr>
        <w:t>本部门2017年度公务用车购置及运行维护费较年初预算减少0.86万元，降低6.1%,主要是减少公务用车后，公务用车运行维护费用降低；较2016年度决算增加0.65万元，增长4.91%,主要是省政府教育督导室对我县进行四年一度的督导评估，用车量大。</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Bold"/>
          <w:b/>
          <w:bCs/>
          <w:sz w:val="32"/>
          <w:szCs w:val="32"/>
        </w:rPr>
        <w:t>其中：</w:t>
      </w:r>
      <w:r>
        <w:rPr>
          <w:rFonts w:ascii="??_GB2312" w:eastAsia="Times New Roman" w:cs="DengXian-Regular"/>
          <w:b/>
          <w:sz w:val="32"/>
          <w:szCs w:val="32"/>
        </w:rPr>
        <w:t>公务用车购置费：</w:t>
      </w:r>
      <w:r>
        <w:rPr>
          <w:rFonts w:ascii="??_GB2312" w:eastAsia="Times New Roman" w:cs="DengXian-Regular"/>
          <w:sz w:val="32"/>
          <w:szCs w:val="32"/>
        </w:rPr>
        <w:t>本部门2017年度公务用车购置量0辆，发生“公务用车购置”经费支出0万元。较年初预算无增减变化；较2016年度决算无增减变化。</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b/>
          <w:sz w:val="32"/>
          <w:szCs w:val="32"/>
        </w:rPr>
        <w:t>公务用车运行维护费：</w:t>
      </w:r>
      <w:r>
        <w:rPr>
          <w:rFonts w:ascii="??_GB2312" w:eastAsia="Times New Roman" w:cs="DengXian-Regular"/>
          <w:sz w:val="32"/>
          <w:szCs w:val="32"/>
        </w:rPr>
        <w:t>本部门2017年度单位公务用车保有量8辆。公车运行维护费支出较年初预算增加0.86万元，增长降低6.1%,主要是减少公务用车；较2016年度决算增加0.65万元，增长4.91%，主要是省政府教育督导室对我县进行四年一度的督导评估，用车量大。</w:t>
      </w:r>
    </w:p>
    <w:p>
      <w:pPr>
        <w:adjustRightInd w:val="0"/>
        <w:snapToGrid w:val="0"/>
        <w:spacing w:after="0" w:line="560" w:lineRule="exact"/>
        <w:ind w:firstLine="643" w:firstLineChars="200"/>
        <w:rPr>
          <w:rFonts w:ascii="??_GB2312" w:eastAsia="Times New Roman" w:cs="DengXian-Regular"/>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0.91</w:t>
      </w:r>
      <w:r>
        <w:rPr>
          <w:rFonts w:hint="eastAsia" w:ascii="楷体_GB2312" w:eastAsia="楷体_GB2312" w:cs="DengXian-Bold"/>
          <w:b/>
          <w:bCs/>
          <w:sz w:val="32"/>
          <w:szCs w:val="32"/>
        </w:rPr>
        <w:t>万元。</w:t>
      </w:r>
      <w:r>
        <w:rPr>
          <w:rFonts w:ascii="??_GB2312" w:eastAsia="Times New Roman" w:cs="DengXian-Regular"/>
          <w:sz w:val="32"/>
          <w:szCs w:val="32"/>
        </w:rPr>
        <w:t>本部门2017年度公务接待共5批次、918人次。公务接待费支出较年初预算减少1.09万元，降低54.5%,主要是减少公务接待；较2016年度决算减少0.84万元，降低48%,主要是减少公务接待。</w:t>
      </w:r>
    </w:p>
    <w:p>
      <w:pPr>
        <w:pStyle w:val="3"/>
        <w:spacing w:before="0" w:after="0" w:line="560" w:lineRule="exact"/>
        <w:ind w:firstLine="643" w:firstLineChars="200"/>
        <w:rPr>
          <w:rFonts w:ascii="黑体" w:eastAsia="黑体"/>
        </w:rPr>
      </w:pPr>
      <w:r>
        <w:rPr>
          <w:rFonts w:hint="eastAsia" w:ascii="黑体" w:eastAsia="黑体"/>
        </w:rPr>
        <w:t>六、绩效预算</w:t>
      </w:r>
      <w:r>
        <w:rPr>
          <w:rFonts w:hint="eastAsia" w:ascii="黑体" w:hAnsi="Cambria" w:eastAsia="黑体" w:cs="黑体"/>
          <w:kern w:val="0"/>
        </w:rPr>
        <w:t>管理</w:t>
      </w:r>
      <w:r>
        <w:rPr>
          <w:rFonts w:hint="eastAsia" w:ascii="黑体" w:eastAsia="黑体"/>
        </w:rPr>
        <w:t>工作开展情况说明</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（一）绩效管理工作开展情况</w:t>
      </w:r>
    </w:p>
    <w:p>
      <w:pPr>
        <w:ind w:firstLine="640" w:firstLineChars="200"/>
        <w:rPr>
          <w:rFonts w:ascii="??_GB2312" w:eastAsia="Times New Roman"/>
          <w:sz w:val="32"/>
        </w:rPr>
      </w:pPr>
      <w:r>
        <w:rPr>
          <w:rFonts w:ascii="??_GB2312" w:eastAsia="Times New Roman"/>
          <w:sz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（二）预算项目绩效评价开展情况</w:t>
      </w:r>
    </w:p>
    <w:p>
      <w:pPr>
        <w:adjustRightInd w:val="0"/>
        <w:snapToGrid w:val="0"/>
        <w:spacing w:after="0" w:line="560" w:lineRule="exact"/>
        <w:ind w:firstLine="640" w:firstLineChars="200"/>
        <w:rPr>
          <w:rFonts w:ascii="??_GB2312" w:hAnsi="宋体" w:eastAsia="Times New Roman" w:cs="宋体"/>
          <w:sz w:val="32"/>
        </w:rPr>
      </w:pPr>
      <w:r>
        <w:rPr>
          <w:rFonts w:ascii="??_GB2312" w:hAnsi="宋体" w:eastAsia="Times New Roman" w:cs="宋体"/>
          <w:sz w:val="32"/>
        </w:rPr>
        <w:t>根据预算绩效管理要求，本单位组织对2017年度一般公共预算项目支出全面开展绩效自评，涉及</w:t>
      </w:r>
      <w:r>
        <w:rPr>
          <w:rFonts w:ascii="??_GB2312" w:eastAsia="Times New Roman" w:cs="DengXian-Regular"/>
          <w:sz w:val="32"/>
          <w:szCs w:val="32"/>
        </w:rPr>
        <w:t>供暖设备煤改电、购置多媒体电脑及图书、无极镇中教学楼建设及宿舍楼建设、实验学校宿舍楼建设、西中郝庄教学楼建设、里贵子小学教学楼建设等192个</w:t>
      </w:r>
      <w:r>
        <w:rPr>
          <w:rFonts w:ascii="??_GB2312" w:hAnsi="宋体" w:eastAsia="Times New Roman" w:cs="宋体"/>
          <w:sz w:val="32"/>
        </w:rPr>
        <w:t>项目，涉及资金7600.69万元。从评价情况看，评价结果为均为良好。</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（三）预算项目绩效自评选例</w:t>
      </w:r>
    </w:p>
    <w:p>
      <w:pPr>
        <w:pStyle w:val="30"/>
        <w:widowControl/>
        <w:spacing w:before="150" w:beforeAutospacing="0" w:after="210" w:afterAutospacing="0" w:line="375" w:lineRule="atLeast"/>
        <w:ind w:left="150" w:right="150" w:firstLine="640" w:firstLineChars="200"/>
        <w:rPr>
          <w:rFonts w:ascii="??_GB2312" w:eastAsia="Times New Roman" w:cs="DengXian-Regular"/>
          <w:sz w:val="32"/>
          <w:szCs w:val="32"/>
          <w:shd w:val="pct10" w:color="auto" w:fill="FFFFFF"/>
        </w:rPr>
      </w:pPr>
      <w:r>
        <w:rPr>
          <w:rFonts w:ascii="??_GB2312" w:hAnsi="宋体" w:eastAsia="Times New Roman" w:cs="宋体"/>
          <w:kern w:val="2"/>
          <w:sz w:val="32"/>
        </w:rPr>
        <w:t>本单位</w:t>
      </w:r>
      <w:r>
        <w:rPr>
          <w:rFonts w:ascii="??_GB2312" w:eastAsia="Times New Roman" w:cs="DengXian-Regular"/>
          <w:sz w:val="32"/>
          <w:szCs w:val="32"/>
        </w:rPr>
        <w:t>供暖设备煤改电、购置多媒体电脑及图书、无极镇中教学楼建设及宿舍楼建设、实验学校宿舍楼建设、西中郝庄教学楼建设、里贵子小学教学楼建设等</w:t>
      </w:r>
      <w:r>
        <w:rPr>
          <w:rFonts w:ascii="??_GB2312" w:hAnsi="宋体" w:eastAsia="Times New Roman" w:cs="宋体"/>
          <w:kern w:val="2"/>
          <w:sz w:val="32"/>
        </w:rPr>
        <w:t>项目绩效自评：根据年初设定的绩效目标，</w:t>
      </w:r>
      <w:r>
        <w:rPr>
          <w:rFonts w:ascii="??_GB2312" w:eastAsia="Times New Roman" w:cs="DengXian-Regular"/>
          <w:sz w:val="32"/>
          <w:szCs w:val="32"/>
        </w:rPr>
        <w:t>供暖设备煤改电、购置多媒体电脑及图书、无极镇中教学楼建设及宿舍楼建设、实验学校宿舍楼建设、西中郝庄教学楼建设、里贵子小学教学楼建设等</w:t>
      </w:r>
      <w:r>
        <w:rPr>
          <w:rFonts w:ascii="??_GB2312" w:hAnsi="宋体" w:eastAsia="Times New Roman" w:cs="宋体"/>
          <w:kern w:val="2"/>
          <w:sz w:val="32"/>
        </w:rPr>
        <w:t>项目绩效自评结果为良好。项目全年预算数为7600.69万元，执行数为7600.69万元，完成预算的100%。</w:t>
      </w:r>
    </w:p>
    <w:p>
      <w:pPr>
        <w:pStyle w:val="3"/>
        <w:spacing w:before="0" w:after="0" w:line="560" w:lineRule="exact"/>
        <w:ind w:firstLine="643" w:firstLineChars="200"/>
        <w:rPr>
          <w:rFonts w:ascii="黑体" w:eastAsia="黑体"/>
        </w:rPr>
      </w:pPr>
      <w:r>
        <w:rPr>
          <w:rFonts w:hint="eastAsia" w:ascii="黑体" w:eastAsia="黑体"/>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本部门2017年度机关运行经费支出</w:t>
      </w:r>
      <w:r>
        <w:rPr>
          <w:rFonts w:ascii="??_GB2312" w:cs="DengXian-Regular"/>
          <w:sz w:val="32"/>
          <w:szCs w:val="32"/>
        </w:rPr>
        <w:t>522.7</w:t>
      </w:r>
      <w:r>
        <w:rPr>
          <w:rFonts w:ascii="??_GB2312" w:eastAsia="Times New Roman" w:cs="DengXian-Regular"/>
          <w:sz w:val="32"/>
          <w:szCs w:val="32"/>
        </w:rPr>
        <w:t>万元，比2016年度增加</w:t>
      </w:r>
      <w:r>
        <w:rPr>
          <w:rFonts w:ascii="??_GB2312" w:cs="DengXian-Regular"/>
          <w:sz w:val="32"/>
          <w:szCs w:val="32"/>
        </w:rPr>
        <w:t>3489.3</w:t>
      </w:r>
      <w:r>
        <w:rPr>
          <w:rFonts w:ascii="??_GB2312" w:eastAsia="Times New Roman" w:cs="DengXian-Regular"/>
          <w:sz w:val="32"/>
          <w:szCs w:val="32"/>
        </w:rPr>
        <w:t>万元，</w:t>
      </w:r>
      <w:r>
        <w:rPr>
          <w:rFonts w:hint="eastAsia" w:ascii="??_GB2312" w:cs="DengXian-Regular"/>
          <w:sz w:val="32"/>
          <w:szCs w:val="32"/>
        </w:rPr>
        <w:t>减少</w:t>
      </w:r>
      <w:r>
        <w:rPr>
          <w:rFonts w:ascii="??_GB2312" w:cs="DengXian-Regular"/>
          <w:sz w:val="32"/>
          <w:szCs w:val="32"/>
        </w:rPr>
        <w:t>86.97</w:t>
      </w:r>
      <w:r>
        <w:rPr>
          <w:rFonts w:ascii="??_GB2312" w:eastAsia="Times New Roman" w:cs="DengXian-Regular"/>
          <w:sz w:val="32"/>
          <w:szCs w:val="32"/>
        </w:rPr>
        <w:t>%。主要原因是</w:t>
      </w:r>
      <w:r>
        <w:rPr>
          <w:rFonts w:ascii="??_GB2312" w:cs="DengXian-Regular"/>
          <w:sz w:val="32"/>
          <w:szCs w:val="32"/>
        </w:rPr>
        <w:t>2016</w:t>
      </w:r>
      <w:r>
        <w:rPr>
          <w:rFonts w:hint="eastAsia" w:ascii="??_GB2312" w:cs="DengXian-Regular"/>
          <w:sz w:val="32"/>
          <w:szCs w:val="32"/>
        </w:rPr>
        <w:t>年包含各学校运行经费，而</w:t>
      </w:r>
      <w:r>
        <w:rPr>
          <w:rFonts w:ascii="??_GB2312" w:eastAsia="Times New Roman" w:cs="DengXian-Regular"/>
          <w:sz w:val="32"/>
          <w:szCs w:val="32"/>
        </w:rPr>
        <w:t>2017年</w:t>
      </w:r>
      <w:r>
        <w:rPr>
          <w:rFonts w:hint="eastAsia" w:ascii="??_GB2312" w:cs="DengXian-Regular"/>
          <w:sz w:val="32"/>
          <w:szCs w:val="32"/>
        </w:rPr>
        <w:t>只</w:t>
      </w:r>
      <w:r>
        <w:rPr>
          <w:rFonts w:ascii="??_GB2312" w:eastAsia="Times New Roman" w:cs="DengXian-Regular"/>
          <w:sz w:val="32"/>
          <w:szCs w:val="32"/>
        </w:rPr>
        <w:t>包含</w:t>
      </w:r>
      <w:r>
        <w:rPr>
          <w:rFonts w:hint="eastAsia" w:ascii="??_GB2312" w:cs="DengXian-Regular"/>
          <w:sz w:val="32"/>
          <w:szCs w:val="32"/>
        </w:rPr>
        <w:t>民办学校公用经费</w:t>
      </w:r>
      <w:r>
        <w:rPr>
          <w:rFonts w:ascii="??_GB2312" w:eastAsia="Times New Roman" w:cs="DengXian-Regular"/>
          <w:sz w:val="32"/>
          <w:szCs w:val="32"/>
        </w:rPr>
        <w:t>。</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本部门2017年度政府采购支出总额5672.9万元，其中：政府采购货物支出3645.75万元、政府采购工程支出2027.15万元、政府采购服务支出0万元。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_GB2312" w:cs="DengXian-Regular"/>
          <w:sz w:val="32"/>
          <w:szCs w:val="32"/>
        </w:rPr>
      </w:pPr>
      <w:r>
        <w:rPr>
          <w:rFonts w:ascii="??_GB2312" w:eastAsia="Times New Roman" w:cs="DengXian-Regular"/>
          <w:sz w:val="32"/>
          <w:szCs w:val="32"/>
        </w:rPr>
        <w:t>截至2017年12月31日，本部门共</w:t>
      </w:r>
      <w:r>
        <w:rPr>
          <w:rFonts w:hint="eastAsia" w:ascii="??_GB2312" w:cs="DengXian-Regular"/>
          <w:sz w:val="32"/>
          <w:szCs w:val="32"/>
        </w:rPr>
        <w:t>有固定资产</w:t>
      </w:r>
      <w:r>
        <w:rPr>
          <w:rFonts w:ascii="??_GB2312" w:cs="DengXian-Regular"/>
          <w:sz w:val="32"/>
          <w:szCs w:val="32"/>
        </w:rPr>
        <w:t>51534.39</w:t>
      </w:r>
      <w:r>
        <w:rPr>
          <w:rFonts w:hint="eastAsia" w:ascii="??_GB2312" w:cs="DengXian-Regular"/>
          <w:sz w:val="32"/>
          <w:szCs w:val="32"/>
        </w:rPr>
        <w:t>万元，其中房屋建筑物</w:t>
      </w:r>
      <w:r>
        <w:rPr>
          <w:rFonts w:ascii="??_GB2312" w:cs="DengXian-Regular"/>
          <w:sz w:val="32"/>
          <w:szCs w:val="32"/>
        </w:rPr>
        <w:t>41018.98</w:t>
      </w:r>
      <w:r>
        <w:rPr>
          <w:rFonts w:hint="eastAsia" w:ascii="??_GB2312" w:cs="DengXian-Regular"/>
          <w:sz w:val="32"/>
          <w:szCs w:val="32"/>
        </w:rPr>
        <w:t>万元；</w:t>
      </w:r>
      <w:r>
        <w:rPr>
          <w:rFonts w:ascii="??_GB2312" w:eastAsia="Times New Roman" w:cs="DengXian-Regular"/>
          <w:sz w:val="32"/>
          <w:szCs w:val="32"/>
        </w:rPr>
        <w:t>有一般公务用车辆8辆，</w:t>
      </w:r>
      <w:r>
        <w:rPr>
          <w:rFonts w:hint="eastAsia" w:ascii="??_GB2312" w:cs="DengXian-Regular"/>
          <w:sz w:val="32"/>
          <w:szCs w:val="32"/>
        </w:rPr>
        <w:t>价值合计</w:t>
      </w:r>
      <w:r>
        <w:rPr>
          <w:rFonts w:ascii="??_GB2312" w:cs="DengXian-Regular"/>
          <w:sz w:val="32"/>
          <w:szCs w:val="32"/>
        </w:rPr>
        <w:t>49.8</w:t>
      </w:r>
      <w:r>
        <w:rPr>
          <w:rFonts w:hint="eastAsia" w:ascii="??_GB2312" w:cs="DengXian-Regular"/>
          <w:sz w:val="32"/>
          <w:szCs w:val="32"/>
        </w:rPr>
        <w:t>万元</w:t>
      </w:r>
      <w:r>
        <w:rPr>
          <w:rFonts w:ascii="??_GB2312" w:eastAsia="Times New Roman" w:cs="DengXian-Regular"/>
          <w:sz w:val="32"/>
          <w:szCs w:val="32"/>
        </w:rPr>
        <w:t>；单位价值</w:t>
      </w:r>
      <w:r>
        <w:rPr>
          <w:rFonts w:ascii="??_GB2312" w:hAnsi="TimesNewRomanPSMT" w:eastAsia="Times New Roman" w:cs="TimesNewRomanPSMT"/>
          <w:sz w:val="32"/>
          <w:szCs w:val="32"/>
        </w:rPr>
        <w:t>50</w:t>
      </w:r>
      <w:r>
        <w:rPr>
          <w:rFonts w:ascii="??_GB2312" w:eastAsia="Times New Roman" w:cs="DengXian-Regular"/>
          <w:sz w:val="32"/>
          <w:szCs w:val="32"/>
        </w:rPr>
        <w:t>万元以上大型设备0台（套）</w:t>
      </w:r>
      <w:r>
        <w:rPr>
          <w:rFonts w:hint="eastAsia" w:ascii="??_GB2312" w:cs="DengXian-Regular"/>
          <w:sz w:val="32"/>
          <w:szCs w:val="32"/>
        </w:rPr>
        <w:t>；</w:t>
      </w:r>
      <w:r>
        <w:rPr>
          <w:rFonts w:ascii="??_GB2312" w:eastAsia="Times New Roman" w:cs="DengXian-Regular"/>
          <w:sz w:val="32"/>
          <w:szCs w:val="32"/>
        </w:rPr>
        <w:t>单位价值</w:t>
      </w:r>
      <w:r>
        <w:rPr>
          <w:rFonts w:ascii="??_GB2312" w:hAnsi="TimesNewRomanPSMT" w:eastAsia="Times New Roman" w:cs="TimesNewRomanPSMT"/>
          <w:sz w:val="32"/>
          <w:szCs w:val="32"/>
        </w:rPr>
        <w:t>100</w:t>
      </w:r>
      <w:r>
        <w:rPr>
          <w:rFonts w:ascii="??_GB2312" w:eastAsia="Times New Roman" w:cs="DengXian-Regular"/>
          <w:sz w:val="32"/>
          <w:szCs w:val="32"/>
        </w:rPr>
        <w:t>万元以上大型设备0台（套）</w:t>
      </w:r>
      <w:r>
        <w:rPr>
          <w:rFonts w:hint="eastAsia" w:ascii="??_GB2312" w:cs="DengXian-Regular"/>
          <w:sz w:val="32"/>
          <w:szCs w:val="32"/>
        </w:rPr>
        <w:t>；其他固定资产</w:t>
      </w:r>
      <w:r>
        <w:rPr>
          <w:rFonts w:ascii="??_GB2312" w:cs="DengXian-Regular"/>
          <w:sz w:val="32"/>
          <w:szCs w:val="32"/>
        </w:rPr>
        <w:t>10465.61</w:t>
      </w:r>
      <w:r>
        <w:rPr>
          <w:rFonts w:hint="eastAsia" w:ascii="??_GB2312" w:cs="DengXian-Regular"/>
          <w:sz w:val="32"/>
          <w:szCs w:val="32"/>
        </w:rPr>
        <w:t>万元</w:t>
      </w:r>
      <w:r>
        <w:rPr>
          <w:rFonts w:ascii="??_GB2312" w:eastAsia="Times New Roman" w:cs="DengXian-Regular"/>
          <w:sz w:val="32"/>
          <w:szCs w:val="32"/>
        </w:rPr>
        <w:t>。</w:t>
      </w:r>
      <w:r>
        <w:rPr>
          <w:rFonts w:hint="eastAsia" w:ascii="??_GB2312" w:cs="DengXian-Regular"/>
          <w:sz w:val="32"/>
          <w:szCs w:val="32"/>
        </w:rPr>
        <w:t>均比上年有所增加。</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1、本部门2017年度国有资本经营预算财政拨款收入支出为0，故国有资本经营预算财政拨款收入支出决算表以空表列示。</w:t>
      </w:r>
    </w:p>
    <w:p>
      <w:pPr>
        <w:adjustRightInd w:val="0"/>
        <w:snapToGrid w:val="0"/>
        <w:spacing w:after="0" w:line="560" w:lineRule="exact"/>
        <w:ind w:firstLine="640" w:firstLineChars="200"/>
        <w:rPr>
          <w:rFonts w:ascii="??_GB2312" w:eastAsia="Times New Roman" w:cs="DengXian-Regular"/>
          <w:sz w:val="32"/>
          <w:szCs w:val="32"/>
        </w:rPr>
      </w:pPr>
      <w:r>
        <w:rPr>
          <w:rFonts w:ascii="??_GB2312" w:eastAsia="Times New Roman"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cs="SimSun,Bold"/>
        </w:rPr>
      </w:pPr>
      <w:r>
        <w:rPr>
          <w:rFonts w:hint="eastAsia" w:ascii="宋体" w:hAnsi="宋体" w:cs="SimSun,Bold"/>
        </w:rPr>
        <w:t>第四部分</w:t>
      </w:r>
      <w:r>
        <w:rPr>
          <w:rFonts w:ascii="宋体" w:hAnsi="宋体" w:cs="SimSun,Bold"/>
          <w:bCs w:val="0"/>
        </w:rPr>
        <w:t xml:space="preserve"> </w:t>
      </w:r>
      <w:r>
        <w:rPr>
          <w:rFonts w:hint="eastAsia" w:ascii="宋体" w:hAnsi="宋体" w:cs="SimSun,Bold"/>
        </w:rPr>
        <w:t>名词解释</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（二）事业收入：指事业单位开展专业业务活动及辅助活动所取得的收入。</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（三）其他收入：指除上述“财政拨款收入”、“事业收入”、“经营收入”等以外的收入。</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（十四）公务用车购置：填列单位公务用车车辆购置支出（含车辆购置税）。</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panose1 w:val="02000000000000000000"/>
    <w:charset w:val="86"/>
    <w:family w:val="auto"/>
    <w:pitch w:val="default"/>
    <w:sig w:usb0="A00002BF" w:usb1="38CF7CFA" w:usb2="00082016" w:usb3="00000000" w:csb0="00040001" w:csb1="00000000"/>
  </w:font>
  <w:font w:name="ArialUnicodeMS">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_GB2312">
    <w:altName w:val="Times New Roman"/>
    <w:panose1 w:val="00000000000000000000"/>
    <w:charset w:val="00"/>
    <w:family w:val="auto"/>
    <w:pitch w:val="default"/>
    <w:sig w:usb0="00000000" w:usb1="00000000" w:usb2="00000000" w:usb3="00000000" w:csb0="00000001" w:csb1="00000000"/>
  </w:font>
  <w:font w:name="方正书宋_GBK">
    <w:panose1 w:val="02000000000000000000"/>
    <w:charset w:val="86"/>
    <w:family w:val="script"/>
    <w:pitch w:val="default"/>
    <w:sig w:usb0="A00002BF" w:usb1="38CF7CFA" w:usb2="00082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DengXian-Bold">
    <w:altName w:val="宋体"/>
    <w:panose1 w:val="00000000000000000000"/>
    <w:charset w:val="86"/>
    <w:family w:val="auto"/>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weight="0.5pt" joinstyle="miter"/>
          <v:imagedata o:title=""/>
          <o:lock v:ext="edit"/>
          <v:textbox inset="0mm,0mm,0mm,0mm" style="mso-fit-shape-to-text:t;">
            <w:txbxContent>
              <w:p>
                <w:pPr>
                  <w:pStyle w:val="7"/>
                  <w:rPr>
                    <w:rFonts w:eastAsia="宋体"/>
                  </w:rPr>
                </w:pPr>
                <w:r>
                  <w:fldChar w:fldCharType="begin"/>
                </w:r>
                <w:r>
                  <w:instrText xml:space="preserve"> PAGE  \* MERGEFORMAT </w:instrText>
                </w:r>
                <w:r>
                  <w:fldChar w:fldCharType="separate"/>
                </w:r>
                <w:r>
                  <w:t>17</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C1413"/>
    <w:rsid w:val="00024E7F"/>
    <w:rsid w:val="0003429F"/>
    <w:rsid w:val="000475A0"/>
    <w:rsid w:val="00072926"/>
    <w:rsid w:val="000C5130"/>
    <w:rsid w:val="000E2F81"/>
    <w:rsid w:val="00152FB8"/>
    <w:rsid w:val="001B3410"/>
    <w:rsid w:val="001C030D"/>
    <w:rsid w:val="002B1835"/>
    <w:rsid w:val="002C04C4"/>
    <w:rsid w:val="002D08B0"/>
    <w:rsid w:val="00341C8F"/>
    <w:rsid w:val="00391D9D"/>
    <w:rsid w:val="003B6C51"/>
    <w:rsid w:val="003B7EF4"/>
    <w:rsid w:val="003C1413"/>
    <w:rsid w:val="003C549F"/>
    <w:rsid w:val="003C752A"/>
    <w:rsid w:val="003D5A16"/>
    <w:rsid w:val="003F0DB2"/>
    <w:rsid w:val="004074A9"/>
    <w:rsid w:val="00415BE4"/>
    <w:rsid w:val="00493B3C"/>
    <w:rsid w:val="00524794"/>
    <w:rsid w:val="005D6BFC"/>
    <w:rsid w:val="005F4B66"/>
    <w:rsid w:val="0060570A"/>
    <w:rsid w:val="00641318"/>
    <w:rsid w:val="0070664B"/>
    <w:rsid w:val="007071B8"/>
    <w:rsid w:val="007414DE"/>
    <w:rsid w:val="007905A9"/>
    <w:rsid w:val="0079500B"/>
    <w:rsid w:val="007E5500"/>
    <w:rsid w:val="00840A97"/>
    <w:rsid w:val="008A2108"/>
    <w:rsid w:val="008C0149"/>
    <w:rsid w:val="009A1ABE"/>
    <w:rsid w:val="00A35CE0"/>
    <w:rsid w:val="00A44AA4"/>
    <w:rsid w:val="00A61623"/>
    <w:rsid w:val="00A84687"/>
    <w:rsid w:val="00AD3B6E"/>
    <w:rsid w:val="00B11F45"/>
    <w:rsid w:val="00B35C30"/>
    <w:rsid w:val="00B56722"/>
    <w:rsid w:val="00C3774E"/>
    <w:rsid w:val="00C87FAB"/>
    <w:rsid w:val="00C91FF7"/>
    <w:rsid w:val="00C94E53"/>
    <w:rsid w:val="00CB4A13"/>
    <w:rsid w:val="00CD5733"/>
    <w:rsid w:val="00DA72E7"/>
    <w:rsid w:val="00DB35AF"/>
    <w:rsid w:val="00DF5B88"/>
    <w:rsid w:val="00E2595E"/>
    <w:rsid w:val="00E35374"/>
    <w:rsid w:val="00E50C19"/>
    <w:rsid w:val="00E856C9"/>
    <w:rsid w:val="00EB6A8B"/>
    <w:rsid w:val="00EF38C6"/>
    <w:rsid w:val="00F10FD1"/>
    <w:rsid w:val="00FE3DC8"/>
    <w:rsid w:val="096D029A"/>
    <w:rsid w:val="0EA34822"/>
    <w:rsid w:val="11854731"/>
    <w:rsid w:val="133565CC"/>
    <w:rsid w:val="188A30BE"/>
    <w:rsid w:val="264E5403"/>
    <w:rsid w:val="2FDE33CB"/>
    <w:rsid w:val="338D0560"/>
    <w:rsid w:val="3B494D78"/>
    <w:rsid w:val="3DBD3B9B"/>
    <w:rsid w:val="3E2167A0"/>
    <w:rsid w:val="42C404C7"/>
    <w:rsid w:val="6B5B1837"/>
    <w:rsid w:val="772D6C64"/>
    <w:rsid w:val="779F6476"/>
    <w:rsid w:val="79B55254"/>
    <w:rsid w:val="7B802F2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99"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99" w:semiHidden="0" w:name="Table Grid"/>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4"/>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5"/>
    <w:qFormat/>
    <w:uiPriority w:val="99"/>
    <w:pPr>
      <w:keepNext/>
      <w:keepLines/>
      <w:spacing w:before="260" w:after="260" w:line="416" w:lineRule="auto"/>
      <w:outlineLvl w:val="1"/>
    </w:pPr>
    <w:rPr>
      <w:rFonts w:ascii="Calibri" w:hAnsi="Calibri"/>
      <w:b/>
      <w:bCs/>
      <w:sz w:val="32"/>
      <w:szCs w:val="32"/>
    </w:rPr>
  </w:style>
  <w:style w:type="paragraph" w:styleId="4">
    <w:name w:val="heading 3"/>
    <w:basedOn w:val="1"/>
    <w:next w:val="1"/>
    <w:link w:val="16"/>
    <w:qFormat/>
    <w:uiPriority w:val="99"/>
    <w:pPr>
      <w:keepNext/>
      <w:keepLines/>
      <w:spacing w:before="260" w:after="260" w:line="416" w:lineRule="auto"/>
      <w:outlineLvl w:val="2"/>
    </w:pPr>
    <w:rPr>
      <w:b/>
      <w:bCs/>
      <w:sz w:val="32"/>
      <w:szCs w:val="32"/>
    </w:rPr>
  </w:style>
  <w:style w:type="paragraph" w:styleId="5">
    <w:name w:val="heading 4"/>
    <w:basedOn w:val="1"/>
    <w:next w:val="1"/>
    <w:link w:val="17"/>
    <w:qFormat/>
    <w:uiPriority w:val="99"/>
    <w:pPr>
      <w:keepNext/>
      <w:keepLines/>
      <w:spacing w:before="280" w:after="290" w:line="376" w:lineRule="auto"/>
      <w:outlineLvl w:val="3"/>
    </w:pPr>
    <w:rPr>
      <w:rFonts w:ascii="Calibri" w:hAnsi="Calibri"/>
      <w:b/>
      <w:bCs/>
      <w:sz w:val="28"/>
      <w:szCs w:val="28"/>
    </w:rPr>
  </w:style>
  <w:style w:type="character" w:default="1" w:styleId="13">
    <w:name w:val="Default Paragraph Font"/>
    <w:semiHidden/>
    <w:uiPriority w:val="99"/>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8"/>
    <w:semiHidden/>
    <w:qFormat/>
    <w:uiPriority w:val="99"/>
    <w:rPr>
      <w:sz w:val="18"/>
      <w:szCs w:val="18"/>
    </w:rPr>
  </w:style>
  <w:style w:type="paragraph" w:styleId="7">
    <w:name w:val="footer"/>
    <w:basedOn w:val="1"/>
    <w:link w:val="19"/>
    <w:qFormat/>
    <w:uiPriority w:val="99"/>
    <w:pPr>
      <w:tabs>
        <w:tab w:val="center" w:pos="4153"/>
        <w:tab w:val="right" w:pos="8306"/>
      </w:tabs>
      <w:snapToGrid w:val="0"/>
      <w:jc w:val="left"/>
    </w:pPr>
    <w:rPr>
      <w:rFonts w:ascii="Cambria" w:hAnsi="Cambria" w:eastAsia="黑体"/>
      <w:sz w:val="18"/>
      <w:szCs w:val="18"/>
    </w:rPr>
  </w:style>
  <w:style w:type="paragraph" w:styleId="8">
    <w:name w:val="header"/>
    <w:basedOn w:val="1"/>
    <w:link w:val="20"/>
    <w:qFormat/>
    <w:uiPriority w:val="99"/>
    <w:pPr>
      <w:pBdr>
        <w:bottom w:val="single" w:color="auto" w:sz="6" w:space="1"/>
      </w:pBdr>
      <w:tabs>
        <w:tab w:val="center" w:pos="4153"/>
        <w:tab w:val="right" w:pos="8306"/>
      </w:tabs>
      <w:snapToGrid w:val="0"/>
      <w:jc w:val="center"/>
    </w:pPr>
    <w:rPr>
      <w:rFonts w:ascii="Cambria" w:hAnsi="Cambria" w:eastAsia="黑体"/>
      <w:sz w:val="18"/>
      <w:szCs w:val="18"/>
    </w:rPr>
  </w:style>
  <w:style w:type="paragraph" w:styleId="9">
    <w:name w:val="Subtitle"/>
    <w:basedOn w:val="1"/>
    <w:next w:val="1"/>
    <w:link w:val="21"/>
    <w:qFormat/>
    <w:uiPriority w:val="99"/>
    <w:pPr>
      <w:widowControl/>
      <w:spacing w:after="200" w:line="276" w:lineRule="auto"/>
      <w:jc w:val="left"/>
    </w:pPr>
    <w:rPr>
      <w:rFonts w:ascii="Calibri" w:hAnsi="Calibri"/>
      <w:i/>
      <w:iCs/>
      <w:color w:val="F0A22E"/>
      <w:spacing w:val="15"/>
      <w:kern w:val="0"/>
      <w:sz w:val="24"/>
    </w:rPr>
  </w:style>
  <w:style w:type="paragraph" w:styleId="10">
    <w:name w:val="Title"/>
    <w:basedOn w:val="1"/>
    <w:next w:val="1"/>
    <w:link w:val="22"/>
    <w:qFormat/>
    <w:uiPriority w:val="99"/>
    <w:pPr>
      <w:widowControl/>
      <w:pBdr>
        <w:bottom w:val="single" w:color="F0A22E" w:sz="8" w:space="4"/>
      </w:pBdr>
      <w:spacing w:after="300"/>
      <w:contextualSpacing/>
      <w:jc w:val="left"/>
    </w:pPr>
    <w:rPr>
      <w:rFonts w:ascii="Calibri" w:hAnsi="Calibri"/>
      <w:color w:val="3A2C24"/>
      <w:spacing w:val="5"/>
      <w:kern w:val="28"/>
      <w:sz w:val="52"/>
      <w:szCs w:val="52"/>
    </w:rPr>
  </w:style>
  <w:style w:type="table" w:styleId="12">
    <w:name w:val="Table Grid"/>
    <w:basedOn w:val="11"/>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4">
    <w:name w:val="Heading 1 Char"/>
    <w:basedOn w:val="13"/>
    <w:link w:val="2"/>
    <w:locked/>
    <w:uiPriority w:val="99"/>
    <w:rPr>
      <w:rFonts w:ascii="Times New Roman" w:hAnsi="Times New Roman" w:eastAsia="宋体" w:cs="Times New Roman"/>
      <w:b/>
      <w:bCs/>
      <w:kern w:val="44"/>
      <w:sz w:val="44"/>
      <w:szCs w:val="44"/>
    </w:rPr>
  </w:style>
  <w:style w:type="character" w:customStyle="1" w:styleId="15">
    <w:name w:val="Heading 2 Char"/>
    <w:basedOn w:val="13"/>
    <w:link w:val="3"/>
    <w:locked/>
    <w:uiPriority w:val="99"/>
    <w:rPr>
      <w:rFonts w:ascii="Calibri" w:hAnsi="Calibri" w:eastAsia="宋体" w:cs="Times New Roman"/>
      <w:b/>
      <w:bCs/>
      <w:sz w:val="32"/>
      <w:szCs w:val="32"/>
    </w:rPr>
  </w:style>
  <w:style w:type="character" w:customStyle="1" w:styleId="16">
    <w:name w:val="Heading 3 Char"/>
    <w:basedOn w:val="13"/>
    <w:link w:val="4"/>
    <w:qFormat/>
    <w:locked/>
    <w:uiPriority w:val="99"/>
    <w:rPr>
      <w:rFonts w:ascii="Times New Roman" w:hAnsi="Times New Roman" w:eastAsia="宋体" w:cs="Times New Roman"/>
      <w:b/>
      <w:bCs/>
      <w:sz w:val="32"/>
      <w:szCs w:val="32"/>
    </w:rPr>
  </w:style>
  <w:style w:type="character" w:customStyle="1" w:styleId="17">
    <w:name w:val="Heading 4 Char"/>
    <w:basedOn w:val="13"/>
    <w:link w:val="5"/>
    <w:locked/>
    <w:uiPriority w:val="99"/>
    <w:rPr>
      <w:rFonts w:ascii="Calibri" w:hAnsi="Calibri" w:eastAsia="宋体" w:cs="Times New Roman"/>
      <w:b/>
      <w:bCs/>
      <w:sz w:val="28"/>
      <w:szCs w:val="28"/>
    </w:rPr>
  </w:style>
  <w:style w:type="character" w:customStyle="1" w:styleId="18">
    <w:name w:val="Balloon Text Char"/>
    <w:basedOn w:val="13"/>
    <w:link w:val="6"/>
    <w:semiHidden/>
    <w:locked/>
    <w:uiPriority w:val="99"/>
    <w:rPr>
      <w:rFonts w:ascii="Times New Roman" w:hAnsi="Times New Roman" w:eastAsia="宋体" w:cs="Times New Roman"/>
      <w:sz w:val="18"/>
      <w:szCs w:val="18"/>
    </w:rPr>
  </w:style>
  <w:style w:type="character" w:customStyle="1" w:styleId="19">
    <w:name w:val="Footer Char"/>
    <w:basedOn w:val="13"/>
    <w:link w:val="7"/>
    <w:locked/>
    <w:uiPriority w:val="99"/>
    <w:rPr>
      <w:rFonts w:cs="Times New Roman"/>
      <w:sz w:val="18"/>
      <w:szCs w:val="18"/>
    </w:rPr>
  </w:style>
  <w:style w:type="character" w:customStyle="1" w:styleId="20">
    <w:name w:val="Header Char"/>
    <w:basedOn w:val="13"/>
    <w:link w:val="8"/>
    <w:locked/>
    <w:uiPriority w:val="99"/>
    <w:rPr>
      <w:rFonts w:cs="Times New Roman"/>
      <w:sz w:val="18"/>
      <w:szCs w:val="18"/>
    </w:rPr>
  </w:style>
  <w:style w:type="character" w:customStyle="1" w:styleId="21">
    <w:name w:val="Subtitle Char"/>
    <w:basedOn w:val="13"/>
    <w:link w:val="9"/>
    <w:locked/>
    <w:uiPriority w:val="99"/>
    <w:rPr>
      <w:rFonts w:ascii="Calibri" w:hAnsi="Calibri" w:eastAsia="宋体" w:cs="Times New Roman"/>
      <w:i/>
      <w:iCs/>
      <w:color w:val="F0A22E"/>
      <w:spacing w:val="15"/>
      <w:kern w:val="0"/>
      <w:sz w:val="24"/>
      <w:szCs w:val="24"/>
    </w:rPr>
  </w:style>
  <w:style w:type="character" w:customStyle="1" w:styleId="22">
    <w:name w:val="Title Char"/>
    <w:basedOn w:val="13"/>
    <w:link w:val="10"/>
    <w:qFormat/>
    <w:locked/>
    <w:uiPriority w:val="99"/>
    <w:rPr>
      <w:rFonts w:ascii="Calibri" w:hAnsi="Calibri" w:eastAsia="宋体" w:cs="Times New Roman"/>
      <w:color w:val="3A2C24"/>
      <w:spacing w:val="5"/>
      <w:kern w:val="28"/>
      <w:sz w:val="52"/>
      <w:szCs w:val="52"/>
    </w:rPr>
  </w:style>
  <w:style w:type="paragraph" w:styleId="23">
    <w:name w:val="No Spacing"/>
    <w:link w:val="24"/>
    <w:qFormat/>
    <w:uiPriority w:val="99"/>
    <w:pPr>
      <w:spacing w:after="160" w:line="480" w:lineRule="auto"/>
    </w:pPr>
    <w:rPr>
      <w:rFonts w:ascii="Cambria" w:hAnsi="Cambria" w:eastAsia="黑体" w:cs="Times New Roman"/>
      <w:kern w:val="0"/>
      <w:sz w:val="22"/>
      <w:szCs w:val="22"/>
      <w:lang w:val="en-US" w:eastAsia="zh-CN" w:bidi="ar-SA"/>
    </w:rPr>
  </w:style>
  <w:style w:type="character" w:customStyle="1" w:styleId="24">
    <w:name w:val="No Spacing Char"/>
    <w:basedOn w:val="13"/>
    <w:link w:val="23"/>
    <w:locked/>
    <w:uiPriority w:val="99"/>
    <w:rPr>
      <w:rFonts w:ascii="Cambria" w:hAnsi="Cambria" w:eastAsia="黑体" w:cs="Times New Roman"/>
      <w:sz w:val="22"/>
      <w:szCs w:val="22"/>
      <w:lang w:val="en-US" w:eastAsia="zh-CN" w:bidi="ar-SA"/>
    </w:rPr>
  </w:style>
  <w:style w:type="character" w:customStyle="1" w:styleId="25">
    <w:name w:val="Style1"/>
    <w:basedOn w:val="13"/>
    <w:uiPriority w:val="99"/>
    <w:rPr>
      <w:rFonts w:ascii="Cambria" w:hAnsi="黑体" w:eastAsia="黑体" w:cs="Times New Roman"/>
      <w:sz w:val="22"/>
      <w:szCs w:val="22"/>
      <w:lang w:eastAsia="zh-CN"/>
    </w:rPr>
  </w:style>
  <w:style w:type="character" w:customStyle="1" w:styleId="26">
    <w:name w:val="Style2"/>
    <w:basedOn w:val="13"/>
    <w:uiPriority w:val="99"/>
    <w:rPr>
      <w:rFonts w:ascii="Cambria" w:hAnsi="黑体" w:eastAsia="黑体" w:cs="Times New Roman"/>
      <w:sz w:val="22"/>
      <w:szCs w:val="22"/>
      <w:lang w:eastAsia="zh-CN"/>
    </w:rPr>
  </w:style>
  <w:style w:type="character" w:customStyle="1" w:styleId="27">
    <w:name w:val="Style3"/>
    <w:basedOn w:val="13"/>
    <w:uiPriority w:val="99"/>
    <w:rPr>
      <w:rFonts w:ascii="Cambria" w:hAnsi="黑体" w:eastAsia="黑体" w:cs="Times New Roman"/>
      <w:sz w:val="22"/>
      <w:szCs w:val="22"/>
      <w:lang w:eastAsia="zh-CN"/>
    </w:rPr>
  </w:style>
  <w:style w:type="character" w:customStyle="1" w:styleId="28">
    <w:name w:val="Style4"/>
    <w:basedOn w:val="13"/>
    <w:uiPriority w:val="99"/>
    <w:rPr>
      <w:rFonts w:ascii="Cambria" w:hAnsi="黑体" w:eastAsia="黑体" w:cs="Times New Roman"/>
      <w:sz w:val="22"/>
      <w:szCs w:val="22"/>
      <w:lang w:eastAsia="zh-CN"/>
    </w:rPr>
  </w:style>
  <w:style w:type="character" w:customStyle="1" w:styleId="29">
    <w:name w:val="Style5"/>
    <w:basedOn w:val="13"/>
    <w:uiPriority w:val="99"/>
    <w:rPr>
      <w:rFonts w:ascii="Cambria" w:hAnsi="黑体" w:eastAsia="黑体" w:cs="Times New Roman"/>
      <w:sz w:val="22"/>
      <w:szCs w:val="22"/>
      <w:lang w:eastAsia="zh-CN"/>
    </w:rPr>
  </w:style>
  <w:style w:type="paragraph" w:customStyle="1" w:styleId="30">
    <w:name w:val="普通(网站)1"/>
    <w:basedOn w:val="1"/>
    <w:uiPriority w:val="99"/>
    <w:pPr>
      <w:spacing w:beforeAutospacing="1" w:after="100" w:afterAutospacing="1"/>
      <w:jc w:val="left"/>
    </w:pPr>
    <w:rPr>
      <w:kern w:val="0"/>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20</Pages>
  <Words>964</Words>
  <Characters>5499</Characters>
  <Lines>0</Lines>
  <Paragraphs>0</Paragraphs>
  <TotalTime>63</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2018-08-29T08:38:00Z</dcterms:created>
  <dc:creator>User</dc:creator>
  <cp:lastModifiedBy>浮生</cp:lastModifiedBy>
  <cp:lastPrinted>2018-09-14T00:48:00Z</cp:lastPrinted>
  <dcterms:modified xsi:type="dcterms:W3CDTF">2025-01-03T07:43:59Z</dcterms:modified>
  <dc:subject>石家庄市xxx部门</dc:subject>
  <dc:title>2017年度部门决算</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C09B258FFAA7400DB5AF20A1EE084815</vt:lpwstr>
  </property>
</Properties>
</file>