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bookmarkStart w:id="0" w:name="_GoBack"/>
      <w:bookmarkEnd w:id="0"/>
      <w:r>
        <w:rPr>
          <w:rFonts w:ascii="黑体" w:hAnsi="宋体" w:eastAsia="黑体"/>
          <w:color w:val="002060"/>
          <w:sz w:val="72"/>
          <w:szCs w:val="72"/>
        </w:rPr>
        <w:pict>
          <v:shape id="图片 7" o:spid="_x0000_s1041" o:spt="75" type="#_x0000_t75" style="position:absolute;left:0pt;margin-left:-78.45pt;margin-top:-106.4pt;height:850.15pt;width:596.6pt;z-index:-251652096;mso-width-relative:page;mso-height-relative:page;" filled="f" o:preferrelative="t" stroked="f" coordsize="21600,21600">
            <v:path/>
            <v:fill on="f" focussize="0,0"/>
            <v:stroke on="f" joinstyle="miter"/>
            <v:imagedata r:id="rId12" o:title=""/>
            <o:lock v:ext="edit" aspectratio="t"/>
          </v:shape>
        </w:pict>
      </w:r>
    </w:p>
    <w:p>
      <w:pPr>
        <w:widowControl/>
        <w:jc w:val="center"/>
        <w:rPr>
          <w:rFonts w:ascii="黑体" w:hAnsi="宋体" w:eastAsia="黑体"/>
          <w:color w:val="002060"/>
          <w:sz w:val="72"/>
          <w:szCs w:val="72"/>
        </w:rPr>
      </w:pPr>
      <w:r>
        <w:rPr>
          <w:sz w:val="72"/>
        </w:rPr>
        <w:pict>
          <v:rect id="文本框 8" o:spid="_x0000_s1031" o:spt="1" style="position:absolute;left:0pt;margin-left:-82.8pt;margin-top:43.25pt;height:166.25pt;width:596.2pt;z-index:251659264;mso-width-relative:page;mso-height-relative:page;" filled="f" o:preferrelative="t" stroked="f" coordsize="21600,21600">
            <v:path/>
            <v:fill on="f" focussize="0,0"/>
            <v:stroke on="f"/>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无极县人大办</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w:t>
                  </w:r>
                </w:p>
                <w:p>
                  <w:pPr>
                    <w:rPr>
                      <w:color w:val="FDEFBE"/>
                      <w:sz w:val="96"/>
                      <w:szCs w:val="96"/>
                    </w:rPr>
                  </w:pPr>
                </w:p>
              </w:txbxContent>
            </v:textbox>
          </v:rect>
        </w:pic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楷体" w:hAnsi="楷体" w:eastAsia="楷体" w:cs="楷体"/>
          <w:b/>
          <w:sz w:val="40"/>
          <w:szCs w:val="40"/>
        </w:rPr>
      </w:pPr>
    </w:p>
    <w:p>
      <w:pPr>
        <w:widowControl/>
        <w:jc w:val="center"/>
        <w:sectPr>
          <w:headerReference r:id="rId7" w:type="first"/>
          <w:footerReference r:id="rId10" w:type="first"/>
          <w:headerReference r:id="rId5" w:type="default"/>
          <w:footerReference r:id="rId8" w:type="default"/>
          <w:headerReference r:id="rId6" w:type="even"/>
          <w:footerReference r:id="rId9" w:type="even"/>
          <w:pgSz w:w="11906" w:h="16838"/>
          <w:pgMar w:top="2098" w:right="1474" w:bottom="1985" w:left="1588" w:header="851" w:footer="992" w:gutter="0"/>
          <w:cols w:space="720"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624" w:beforeLines="200" w:after="0" w:line="1000" w:lineRule="exact"/>
        <w:jc w:val="center"/>
        <w:rPr>
          <w:rFonts w:ascii="黑体" w:eastAsia="黑体"/>
          <w:sz w:val="48"/>
          <w:szCs w:val="48"/>
        </w:rPr>
      </w:pP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无极县人大办</w:t>
      </w:r>
      <w:r>
        <w:rPr>
          <w:rFonts w:eastAsia="黑体"/>
          <w:sz w:val="32"/>
          <w:szCs w:val="32"/>
        </w:rPr>
        <w:t>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ascii="宋体" w:hAnsi="宋体" w:cs="ArialUnicodeMS"/>
          <w:color w:val="000000"/>
          <w:kern w:val="0"/>
        </w:rPr>
        <w:pict>
          <v:shape id="图片 12" o:spid="_x0000_s1026" o:spt="75" type="#_x0000_t75" style="position:absolute;left:0pt;margin-left:-80.4pt;margin-top:-106.15pt;height:844.65pt;width:597.3pt;z-index:-251651072;mso-width-relative:page;mso-height-relative:page;" filled="f" o:preferrelative="t" stroked="f" coordsize="21600,21600">
            <v:path/>
            <v:fill on="f" focussize="0,0"/>
            <v:stroke on="f" joinstyle="miter"/>
            <v:imagedata r:id="rId13" o:title=""/>
            <o:lock v:ext="edit" aspectratio="t"/>
          </v:shape>
        </w:pict>
      </w:r>
      <w:r>
        <w:rPr>
          <w:sz w:val="72"/>
        </w:rPr>
        <w:pict>
          <v:rect id="文本框 118" o:spid="_x0000_s1035" o:spt="1" style="position:absolute;left:0pt;margin-left:-97pt;margin-top:259.1pt;height:81.7pt;width:613.65pt;z-index:251660288;mso-width-relative:page;mso-height-relative:page;" filled="f" o:preferrelative="t" stroked="f" coordsize="21600,21600">
            <v:path/>
            <v:fill on="f" focussize="0,0"/>
            <v:stroke on="f"/>
            <v:imagedata o:title=""/>
            <o:lock v:ext="edit"/>
            <v:textbox>
              <w:txbxContent>
                <w:p>
                  <w:pPr>
                    <w:widowControl/>
                    <w:jc w:val="center"/>
                    <w:rPr>
                      <w:color w:val="FDEFBE"/>
                      <w:sz w:val="96"/>
                      <w:szCs w:val="96"/>
                    </w:rPr>
                  </w:pPr>
                  <w:r>
                    <w:rPr>
                      <w:rFonts w:hint="eastAsia" w:ascii="黑体" w:hAnsi="宋体" w:eastAsia="黑体"/>
                      <w:color w:val="FDEFBE"/>
                      <w:sz w:val="96"/>
                      <w:szCs w:val="96"/>
                    </w:rPr>
                    <w:t>第一部分  部门概况</w:t>
                  </w:r>
                </w:p>
              </w:txbxContent>
            </v:textbox>
          </v:rect>
        </w:pict>
      </w:r>
    </w:p>
    <w:p/>
    <w:p/>
    <w:p/>
    <w:p/>
    <w:p/>
    <w:p/>
    <w:p/>
    <w:p/>
    <w:p/>
    <w:p/>
    <w:p/>
    <w:p/>
    <w:p/>
    <w:p/>
    <w:p/>
    <w:p>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一、部门职责</w:t>
      </w:r>
    </w:p>
    <w:p>
      <w:pPr>
        <w:ind w:firstLine="640" w:firstLineChars="200"/>
        <w:rPr>
          <w:rFonts w:ascii="??" w:hAnsi="??"/>
          <w:sz w:val="32"/>
        </w:rPr>
      </w:pPr>
      <w:r>
        <w:rPr>
          <w:rFonts w:hint="eastAsia" w:ascii="仿宋" w:hAnsi="仿宋" w:eastAsia="仿宋" w:cs="宋体"/>
          <w:sz w:val="32"/>
          <w:szCs w:val="32"/>
        </w:rPr>
        <w:t>根据宪法和地方组织法的规定，县级人民代表大会是地方国家权力机关，主要职能是在本行政区域内，保证宪法、法律行政法规和上级人大及其常委会决议的遵守和执行，保证国家计划和国家预算的执行；审查和批准本行政区域内国民经济和社会发展计划、预算以及它们执行情况的报告；讨论决定本行政区域内的重大事项；选举本级人大常委会的组成人员和一府两院国家机关组成人员，并组织人大代表开展视察、调查、执法检查、评议等活动，充分发扬社会主义民主，反映社会各界意见，促进一府两院工作开展。</w:t>
      </w:r>
    </w:p>
    <w:p>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二、机构设置</w:t>
      </w:r>
    </w:p>
    <w:p>
      <w:pPr>
        <w:spacing w:after="0"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从决算编报单位构成看，纳入2018 年度本部门决算汇编范围的独立核算单位（以下简称“单位”）共1 个，具体情况如下：</w:t>
      </w:r>
    </w:p>
    <w:tbl>
      <w:tblPr>
        <w:tblStyle w:val="10"/>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序号</w:t>
            </w:r>
          </w:p>
        </w:tc>
        <w:tc>
          <w:tcPr>
            <w:tcW w:w="348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单位名称</w:t>
            </w:r>
          </w:p>
        </w:tc>
        <w:tc>
          <w:tcPr>
            <w:tcW w:w="244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单位基本性质</w:t>
            </w:r>
          </w:p>
        </w:tc>
        <w:tc>
          <w:tcPr>
            <w:tcW w:w="266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1</w:t>
            </w:r>
          </w:p>
        </w:tc>
        <w:tc>
          <w:tcPr>
            <w:tcW w:w="3485" w:type="dxa"/>
          </w:tcPr>
          <w:p>
            <w:pPr>
              <w:spacing w:after="0" w:line="560" w:lineRule="exact"/>
              <w:rPr>
                <w:rFonts w:ascii="仿宋_GB2312" w:hAnsi="Cambria" w:eastAsia="仿宋_GB2312" w:cs="ArialUnicodeMS"/>
                <w:kern w:val="0"/>
                <w:sz w:val="28"/>
                <w:szCs w:val="28"/>
              </w:rPr>
            </w:pPr>
            <w:r>
              <w:rPr>
                <w:rFonts w:hint="eastAsia" w:ascii="仿宋" w:hAnsi="仿宋" w:eastAsia="仿宋" w:cs="仿宋"/>
                <w:sz w:val="32"/>
                <w:szCs w:val="32"/>
              </w:rPr>
              <w:t>无极县人大办</w:t>
            </w:r>
          </w:p>
        </w:tc>
        <w:tc>
          <w:tcPr>
            <w:tcW w:w="2445" w:type="dxa"/>
          </w:tcPr>
          <w:p>
            <w:pPr>
              <w:spacing w:after="0" w:line="560" w:lineRule="exact"/>
              <w:jc w:val="center"/>
              <w:rPr>
                <w:rFonts w:ascii="仿宋_GB2312" w:hAnsi="Cambria" w:eastAsia="仿宋_GB2312" w:cs="ArialUnicodeMS"/>
                <w:kern w:val="0"/>
                <w:sz w:val="28"/>
                <w:szCs w:val="28"/>
              </w:rPr>
            </w:pPr>
            <w:r>
              <w:rPr>
                <w:rFonts w:hint="eastAsia" w:ascii="仿宋" w:hAnsi="仿宋" w:eastAsia="仿宋" w:cs="仿宋"/>
                <w:sz w:val="32"/>
                <w:szCs w:val="32"/>
              </w:rPr>
              <w:t>行政单位</w:t>
            </w:r>
          </w:p>
        </w:tc>
        <w:tc>
          <w:tcPr>
            <w:tcW w:w="2665" w:type="dxa"/>
          </w:tcPr>
          <w:p>
            <w:pPr>
              <w:spacing w:after="0" w:line="560" w:lineRule="exact"/>
              <w:jc w:val="center"/>
              <w:rPr>
                <w:rFonts w:ascii="仿宋_GB2312" w:hAnsi="Cambria" w:eastAsia="仿宋_GB2312" w:cs="ArialUnicodeMS"/>
                <w:kern w:val="0"/>
                <w:sz w:val="28"/>
                <w:szCs w:val="28"/>
              </w:rPr>
            </w:pPr>
            <w:r>
              <w:rPr>
                <w:rFonts w:hint="eastAsia" w:ascii="仿宋" w:hAnsi="仿宋" w:eastAsia="仿宋" w:cs="仿宋"/>
                <w:sz w:val="32"/>
                <w:szCs w:val="32"/>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2</w:t>
            </w:r>
          </w:p>
        </w:tc>
        <w:tc>
          <w:tcPr>
            <w:tcW w:w="3485" w:type="dxa"/>
          </w:tcPr>
          <w:p>
            <w:pPr>
              <w:spacing w:after="0" w:line="560" w:lineRule="exact"/>
              <w:rPr>
                <w:rFonts w:ascii="仿宋_GB2312" w:hAnsi="Cambria" w:eastAsia="仿宋_GB2312" w:cs="ArialUnicodeMS"/>
                <w:kern w:val="0"/>
                <w:sz w:val="28"/>
                <w:szCs w:val="28"/>
              </w:rPr>
            </w:pPr>
          </w:p>
        </w:tc>
        <w:tc>
          <w:tcPr>
            <w:tcW w:w="2445" w:type="dxa"/>
          </w:tcPr>
          <w:p>
            <w:pPr>
              <w:spacing w:after="0" w:line="560" w:lineRule="exact"/>
              <w:jc w:val="center"/>
              <w:rPr>
                <w:rFonts w:ascii="仿宋_GB2312" w:hAnsi="Cambria" w:eastAsia="仿宋_GB2312" w:cs="ArialUnicodeMS"/>
                <w:kern w:val="0"/>
                <w:sz w:val="28"/>
                <w:szCs w:val="28"/>
              </w:rPr>
            </w:pPr>
          </w:p>
        </w:tc>
        <w:tc>
          <w:tcPr>
            <w:tcW w:w="2665" w:type="dxa"/>
          </w:tcPr>
          <w:p>
            <w:pPr>
              <w:spacing w:after="0" w:line="560" w:lineRule="exact"/>
              <w:jc w:val="center"/>
              <w:rPr>
                <w:rFonts w:ascii="仿宋_GB2312" w:hAnsi="Cambria"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3</w:t>
            </w:r>
          </w:p>
        </w:tc>
        <w:tc>
          <w:tcPr>
            <w:tcW w:w="3485" w:type="dxa"/>
          </w:tcPr>
          <w:p>
            <w:pPr>
              <w:spacing w:after="0" w:line="560" w:lineRule="exact"/>
              <w:rPr>
                <w:rFonts w:ascii="仿宋_GB2312" w:hAnsi="Cambria" w:eastAsia="仿宋_GB2312" w:cs="ArialUnicodeMS"/>
                <w:kern w:val="0"/>
                <w:sz w:val="28"/>
                <w:szCs w:val="28"/>
              </w:rPr>
            </w:pPr>
          </w:p>
        </w:tc>
        <w:tc>
          <w:tcPr>
            <w:tcW w:w="2445" w:type="dxa"/>
          </w:tcPr>
          <w:p>
            <w:pPr>
              <w:spacing w:after="0" w:line="560" w:lineRule="exact"/>
              <w:jc w:val="center"/>
              <w:rPr>
                <w:rFonts w:ascii="仿宋_GB2312" w:hAnsi="Cambria" w:eastAsia="仿宋_GB2312" w:cs="ArialUnicodeMS"/>
                <w:kern w:val="0"/>
                <w:sz w:val="28"/>
                <w:szCs w:val="28"/>
              </w:rPr>
            </w:pPr>
          </w:p>
        </w:tc>
        <w:tc>
          <w:tcPr>
            <w:tcW w:w="2665" w:type="dxa"/>
          </w:tcPr>
          <w:p>
            <w:pPr>
              <w:spacing w:after="0" w:line="560" w:lineRule="exact"/>
              <w:jc w:val="center"/>
              <w:rPr>
                <w:rFonts w:ascii="仿宋_GB2312" w:hAnsi="Cambria" w:eastAsia="仿宋_GB2312" w:cs="ArialUnicodeMS"/>
                <w:kern w:val="0"/>
                <w:sz w:val="28"/>
                <w:szCs w:val="28"/>
              </w:rPr>
            </w:pPr>
          </w:p>
        </w:tc>
      </w:tr>
    </w:tbl>
    <w:p>
      <w:pPr>
        <w:widowControl/>
        <w:spacing w:line="560" w:lineRule="exact"/>
        <w:rPr>
          <w:rFonts w:ascii="黑体" w:hAnsi="Cambria" w:eastAsia="黑体" w:cs="MS-UIGothic,Bold"/>
          <w:bCs/>
          <w:kern w:val="0"/>
          <w:sz w:val="52"/>
          <w:szCs w:val="52"/>
        </w:rPr>
      </w:pPr>
    </w:p>
    <w:p>
      <w:pPr>
        <w:widowControl/>
        <w:spacing w:line="560" w:lineRule="exact"/>
        <w:sectPr>
          <w:pgSz w:w="11906" w:h="16838"/>
          <w:pgMar w:top="2098" w:right="1474" w:bottom="1984" w:left="1588" w:header="851" w:footer="992" w:gutter="0"/>
          <w:cols w:space="720" w:num="1"/>
          <w:docGrid w:type="lines" w:linePitch="312" w:charSpace="0"/>
        </w:sectPr>
      </w:pPr>
    </w:p>
    <w:p>
      <w:pPr>
        <w:widowControl/>
        <w:spacing w:line="560" w:lineRule="exact"/>
        <w:jc w:val="center"/>
        <w:rPr>
          <w:rFonts w:ascii="黑体" w:hAnsi="Cambria" w:eastAsia="黑体" w:cs="MS-UIGothic,Bold"/>
          <w:bCs/>
          <w:kern w:val="0"/>
          <w:sz w:val="52"/>
          <w:szCs w:val="52"/>
        </w:rPr>
      </w:pPr>
      <w:r>
        <w:rPr>
          <w:rFonts w:ascii="宋体" w:hAnsi="宋体" w:cs="ArialUnicodeMS"/>
          <w:color w:val="000000"/>
          <w:kern w:val="0"/>
        </w:rPr>
        <w:pict>
          <v:shape id="图片 16" o:spid="_x0000_s1027" o:spt="75" type="#_x0000_t75" style="position:absolute;left:0pt;margin-left:-80.3pt;margin-top:-104.2pt;height:840.95pt;width:596.15pt;z-index:-251650048;mso-width-relative:page;mso-height-relative:page;" filled="f" o:preferrelative="t" stroked="f" coordsize="21600,21600">
            <v:path/>
            <v:fill on="f" focussize="0,0"/>
            <v:stroke on="f" joinstyle="miter"/>
            <v:imagedata r:id="rId13" o:title=""/>
            <o:lock v:ext="edit" aspectratio="t"/>
          </v:shape>
        </w:pict>
      </w:r>
    </w:p>
    <w:p>
      <w:pPr>
        <w:widowControl/>
        <w:spacing w:line="560" w:lineRule="exact"/>
        <w:jc w:val="center"/>
        <w:rPr>
          <w:rFonts w:ascii="黑体" w:hAnsi="Cambria" w:eastAsia="黑体" w:cs="MS-UIGothic,Bold"/>
          <w:bCs/>
          <w:kern w:val="0"/>
          <w:sz w:val="52"/>
          <w:szCs w:val="52"/>
        </w:rPr>
      </w:pPr>
    </w:p>
    <w:p>
      <w:pPr>
        <w:rPr>
          <w:rFonts w:ascii="宋体" w:hAnsi="宋体" w:cs="ArialUnicodeMS"/>
          <w:color w:val="000000"/>
          <w:kern w:val="0"/>
        </w:rPr>
      </w:pPr>
    </w:p>
    <w:p>
      <w:pPr>
        <w:sectPr>
          <w:pgSz w:w="11906" w:h="16838"/>
          <w:pgMar w:top="2098" w:right="1474" w:bottom="1984" w:left="1588" w:header="851" w:footer="992" w:gutter="0"/>
          <w:cols w:space="720" w:num="1"/>
          <w:docGrid w:type="lines" w:linePitch="312" w:charSpace="0"/>
        </w:sectPr>
      </w:pPr>
      <w:r>
        <w:rPr>
          <w:sz w:val="72"/>
        </w:rPr>
        <w:pict>
          <v:rect id="文本框 17" o:spid="_x0000_s1032" o:spt="1" style="position:absolute;left:0pt;margin-left:-73.9pt;margin-top:120.3pt;height:159.1pt;width:596.2pt;z-index:251661312;mso-width-relative:page;mso-height-relative:page;" filled="f" o:preferrelative="t" stroked="f" coordsize="21600,21600">
            <v:path/>
            <v:fill on="f" focussize="0,0"/>
            <v:stroke on="f"/>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2018年度部门决算报表</w:t>
                  </w:r>
                </w:p>
              </w:txbxContent>
            </v:textbox>
          </v:rect>
        </w:pict>
      </w:r>
    </w:p>
    <w:tbl>
      <w:tblPr>
        <w:tblStyle w:val="10"/>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452.52</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472.58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452.52</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472.58</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21.105</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1.04</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473.62</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473.62</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26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682" w:hRule="atLeast"/>
          <w:jc w:val="center"/>
        </w:trPr>
        <w:tc>
          <w:tcPr>
            <w:tcW w:w="235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Cs/>
                <w:color w:val="000000"/>
                <w:szCs w:val="21"/>
              </w:rPr>
            </w:pPr>
            <w:r>
              <w:rPr>
                <w:rFonts w:hint="eastAsia" w:ascii="宋体" w:hAnsi="宋体" w:cs="宋体"/>
                <w:bCs/>
                <w:color w:val="000000"/>
                <w:szCs w:val="21"/>
              </w:rPr>
              <w:t>452.52</w:t>
            </w:r>
          </w:p>
        </w:tc>
        <w:tc>
          <w:tcPr>
            <w:tcW w:w="920"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Cs/>
                <w:color w:val="000000"/>
                <w:szCs w:val="21"/>
              </w:rPr>
            </w:pPr>
            <w:r>
              <w:rPr>
                <w:rFonts w:hint="eastAsia" w:ascii="宋体" w:hAnsi="宋体" w:cs="宋体"/>
                <w:bCs/>
                <w:color w:val="000000"/>
                <w:szCs w:val="21"/>
              </w:rPr>
              <w:t>452.52</w:t>
            </w:r>
          </w:p>
        </w:tc>
        <w:tc>
          <w:tcPr>
            <w:tcW w:w="921"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1</w:t>
            </w:r>
          </w:p>
        </w:tc>
      </w:tr>
      <w:tr>
        <w:tblPrEx>
          <w:tblCellMar>
            <w:top w:w="0" w:type="dxa"/>
            <w:left w:w="0" w:type="dxa"/>
            <w:bottom w:w="0" w:type="dxa"/>
            <w:right w:w="0" w:type="dxa"/>
          </w:tblCellMar>
        </w:tblPrEx>
        <w:trPr>
          <w:trHeight w:val="909"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15" w:lineRule="auto"/>
              <w:jc w:val="left"/>
              <w:textAlignment w:val="center"/>
              <w:rPr>
                <w:rFonts w:ascii="宋体" w:hAnsi="宋体" w:cs="宋体"/>
                <w:color w:val="000000"/>
                <w:szCs w:val="21"/>
              </w:rPr>
            </w:pPr>
            <w:r>
              <w:rPr>
                <w:rFonts w:ascii="宋体" w:hAnsi="宋体"/>
                <w:color w:val="000000"/>
                <w:sz w:val="22"/>
              </w:rPr>
              <w:t>一般公共服务支出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452.52</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452.52</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cs="宋体"/>
                <w:color w:val="000000"/>
                <w:szCs w:val="21"/>
              </w:rPr>
            </w:pPr>
            <w:r>
              <w:rPr>
                <w:rFonts w:hint="eastAsia" w:ascii="宋体" w:hAnsi="宋体" w:cs="宋体"/>
                <w:color w:val="000000"/>
                <w:szCs w:val="21"/>
              </w:rPr>
              <w:t>人大事务</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452.52</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452.52</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2010101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cs="宋体"/>
                <w:color w:val="000000"/>
                <w:szCs w:val="21"/>
              </w:rPr>
            </w:pPr>
            <w:r>
              <w:rPr>
                <w:rFonts w:hint="eastAsia" w:ascii="宋体" w:hAnsi="宋体" w:cs="宋体"/>
                <w:color w:val="000000"/>
                <w:szCs w:val="21"/>
              </w:rPr>
              <w:t>行政运行</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hint="eastAsia" w:ascii="宋体" w:hAnsi="宋体" w:cs="宋体"/>
                <w:color w:val="000000"/>
                <w:szCs w:val="21"/>
              </w:rPr>
              <w:t>401.48</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hint="eastAsia" w:ascii="宋体" w:hAnsi="宋体" w:cs="宋体"/>
                <w:color w:val="000000"/>
                <w:szCs w:val="21"/>
              </w:rPr>
              <w:t>401.48</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2010104</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cs="宋体"/>
                <w:color w:val="000000"/>
                <w:szCs w:val="21"/>
              </w:rPr>
            </w:pPr>
            <w:r>
              <w:rPr>
                <w:rFonts w:hint="eastAsia" w:ascii="宋体" w:hAnsi="宋体" w:cs="宋体"/>
                <w:color w:val="000000"/>
                <w:szCs w:val="21"/>
              </w:rPr>
              <w:t>人大会议</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hint="eastAsia" w:ascii="宋体" w:hAnsi="宋体" w:cs="宋体"/>
                <w:color w:val="000000"/>
                <w:szCs w:val="21"/>
              </w:rPr>
              <w:t>29</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hint="eastAsia" w:ascii="宋体" w:hAnsi="宋体" w:cs="宋体"/>
                <w:color w:val="000000"/>
                <w:szCs w:val="21"/>
              </w:rPr>
              <w:t>29</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2010108</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15" w:lineRule="auto"/>
              <w:jc w:val="left"/>
              <w:textAlignment w:val="center"/>
              <w:rPr>
                <w:rFonts w:ascii="宋体" w:hAnsi="宋体" w:cs="宋体"/>
                <w:color w:val="000000"/>
                <w:szCs w:val="21"/>
              </w:rPr>
            </w:pPr>
            <w:r>
              <w:rPr>
                <w:rFonts w:hint="eastAsia" w:ascii="宋体" w:hAnsi="宋体" w:cs="宋体"/>
                <w:color w:val="000000"/>
                <w:szCs w:val="21"/>
              </w:rPr>
              <w:t>代表工作</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hint="eastAsia" w:ascii="宋体" w:hAnsi="宋体" w:cs="宋体"/>
                <w:color w:val="000000"/>
                <w:szCs w:val="21"/>
              </w:rPr>
              <w:t>20</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hint="eastAsia" w:ascii="宋体" w:hAnsi="宋体" w:cs="宋体"/>
                <w:color w:val="000000"/>
                <w:szCs w:val="21"/>
              </w:rPr>
              <w:t>20</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166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2010199</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15" w:lineRule="auto"/>
              <w:jc w:val="left"/>
              <w:textAlignment w:val="center"/>
              <w:rPr>
                <w:rFonts w:ascii="宋体" w:hAnsi="宋体" w:cs="宋体"/>
                <w:color w:val="000000"/>
                <w:szCs w:val="21"/>
              </w:rPr>
            </w:pPr>
            <w:r>
              <w:rPr>
                <w:rFonts w:hint="eastAsia" w:ascii="宋体" w:hAnsi="宋体" w:cs="宋体"/>
                <w:color w:val="000000"/>
                <w:szCs w:val="21"/>
              </w:rPr>
              <w:t>其他人大事务支出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hint="eastAsia" w:ascii="宋体" w:hAnsi="宋体" w:cs="宋体"/>
                <w:color w:val="000000"/>
                <w:szCs w:val="21"/>
              </w:rPr>
              <w:t>2.04</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r>
              <w:rPr>
                <w:rFonts w:hint="eastAsia" w:ascii="宋体" w:hAnsi="宋体" w:cs="宋体"/>
                <w:color w:val="000000"/>
                <w:szCs w:val="21"/>
              </w:rPr>
              <w:t>2.04</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15" w:lineRule="auto"/>
              <w:jc w:val="left"/>
              <w:textAlignment w:val="center"/>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9000" w:type="dxa"/>
        <w:tblInd w:w="15" w:type="dxa"/>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663" w:hRule="atLeast"/>
        </w:trPr>
        <w:tc>
          <w:tcPr>
            <w:tcW w:w="9000" w:type="dxa"/>
            <w:gridSpan w:val="15"/>
            <w:tcBorders>
              <w:top w:val="nil"/>
              <w:left w:val="nil"/>
              <w:bottom w:val="nil"/>
              <w:right w:val="nil"/>
            </w:tcBorders>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83"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83"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40" w:lineRule="exact"/>
              <w:jc w:val="center"/>
              <w:textAlignment w:val="center"/>
              <w:rPr>
                <w:rFonts w:ascii="宋体" w:hAnsi="宋体" w:cs="宋体"/>
                <w:b/>
                <w:color w:val="000000"/>
                <w:szCs w:val="21"/>
              </w:rPr>
            </w:pPr>
            <w:r>
              <w:rPr>
                <w:rFonts w:hint="eastAsia" w:ascii="宋体" w:hAnsi="宋体" w:cs="宋体"/>
                <w:b/>
                <w:color w:val="000000"/>
                <w:szCs w:val="21"/>
              </w:rPr>
              <w:t>472.58</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ascii="宋体" w:hAnsi="宋体" w:cs="宋体"/>
                <w:b/>
                <w:color w:val="000000"/>
                <w:szCs w:val="21"/>
              </w:rPr>
            </w:pPr>
            <w:r>
              <w:rPr>
                <w:rFonts w:hint="eastAsia" w:ascii="宋体" w:hAnsi="宋体" w:cs="宋体"/>
                <w:b/>
                <w:color w:val="000000"/>
                <w:szCs w:val="21"/>
              </w:rPr>
              <w:t>403.35</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ascii="宋体" w:hAnsi="宋体" w:cs="宋体"/>
                <w:b/>
                <w:color w:val="000000"/>
                <w:szCs w:val="21"/>
              </w:rPr>
            </w:pPr>
            <w:r>
              <w:rPr>
                <w:rFonts w:hint="eastAsia" w:ascii="宋体" w:hAnsi="宋体" w:cs="宋体"/>
                <w:b/>
                <w:color w:val="000000"/>
                <w:szCs w:val="21"/>
              </w:rPr>
              <w:t>69.23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15" w:lineRule="auto"/>
              <w:jc w:val="left"/>
              <w:textAlignment w:val="center"/>
              <w:rPr>
                <w:rFonts w:ascii="宋体" w:hAnsi="宋体" w:cs="宋体"/>
                <w:color w:val="000000"/>
                <w:szCs w:val="21"/>
              </w:rPr>
            </w:pPr>
            <w:r>
              <w:rPr>
                <w:rFonts w:ascii="宋体" w:hAnsi="宋体"/>
                <w:color w:val="000000"/>
                <w:sz w:val="22"/>
              </w:rPr>
              <w:t>一般公共服务支出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472.58</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403.35</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40" w:lineRule="exact"/>
              <w:jc w:val="center"/>
              <w:textAlignment w:val="center"/>
              <w:rPr>
                <w:rFonts w:ascii="宋体" w:hAnsi="宋体" w:cs="宋体"/>
                <w:color w:val="000000"/>
                <w:szCs w:val="21"/>
              </w:rPr>
            </w:pPr>
            <w:r>
              <w:rPr>
                <w:rFonts w:hint="eastAsia" w:ascii="宋体" w:hAnsi="宋体" w:cs="宋体"/>
                <w:color w:val="000000"/>
                <w:szCs w:val="21"/>
              </w:rPr>
              <w:t>69.23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20101</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cs="宋体"/>
                <w:color w:val="000000"/>
                <w:szCs w:val="21"/>
              </w:rPr>
            </w:pPr>
            <w:r>
              <w:rPr>
                <w:rFonts w:hint="eastAsia" w:ascii="宋体" w:hAnsi="宋体" w:cs="宋体"/>
                <w:color w:val="000000"/>
                <w:szCs w:val="21"/>
              </w:rPr>
              <w:t>人大事务</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472.58</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403.35</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40" w:lineRule="exact"/>
              <w:jc w:val="center"/>
              <w:textAlignment w:val="center"/>
              <w:rPr>
                <w:rFonts w:ascii="宋体" w:hAnsi="宋体" w:cs="宋体"/>
                <w:color w:val="000000"/>
                <w:szCs w:val="21"/>
              </w:rPr>
            </w:pPr>
            <w:r>
              <w:rPr>
                <w:rFonts w:hint="eastAsia" w:ascii="宋体" w:hAnsi="宋体" w:cs="宋体"/>
                <w:color w:val="000000"/>
                <w:szCs w:val="21"/>
              </w:rPr>
              <w:t>69.23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2010101</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cs="宋体"/>
                <w:color w:val="000000"/>
                <w:szCs w:val="21"/>
              </w:rPr>
            </w:pPr>
            <w:r>
              <w:rPr>
                <w:rFonts w:hint="eastAsia" w:ascii="宋体" w:hAnsi="宋体" w:cs="宋体"/>
                <w:color w:val="000000"/>
                <w:szCs w:val="21"/>
              </w:rPr>
              <w:t>行政运行</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ascii="宋体" w:hAnsi="宋体" w:cs="宋体"/>
                <w:color w:val="000000"/>
                <w:szCs w:val="21"/>
              </w:rPr>
            </w:pPr>
            <w:r>
              <w:rPr>
                <w:rFonts w:hint="eastAsia" w:ascii="宋体" w:hAnsi="宋体" w:cs="宋体"/>
                <w:color w:val="000000"/>
                <w:szCs w:val="21"/>
              </w:rPr>
              <w:t>403.35</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ascii="宋体" w:hAnsi="宋体" w:cs="宋体"/>
                <w:color w:val="000000"/>
                <w:szCs w:val="21"/>
              </w:rPr>
            </w:pPr>
            <w:r>
              <w:rPr>
                <w:rFonts w:hint="eastAsia" w:ascii="宋体" w:hAnsi="宋体" w:cs="宋体"/>
                <w:color w:val="000000"/>
                <w:szCs w:val="21"/>
              </w:rPr>
              <w:t>403.35</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40" w:lineRule="exact"/>
              <w:jc w:val="center"/>
              <w:textAlignment w:val="center"/>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2010104</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cs="宋体"/>
                <w:color w:val="000000"/>
                <w:szCs w:val="21"/>
              </w:rPr>
            </w:pPr>
            <w:r>
              <w:rPr>
                <w:rFonts w:hint="eastAsia" w:ascii="宋体" w:hAnsi="宋体" w:cs="宋体"/>
                <w:color w:val="000000"/>
                <w:szCs w:val="21"/>
              </w:rPr>
              <w:t>人大会议</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ascii="宋体" w:hAnsi="宋体" w:cs="宋体"/>
                <w:color w:val="000000"/>
                <w:szCs w:val="21"/>
              </w:rPr>
            </w:pPr>
            <w:r>
              <w:rPr>
                <w:rFonts w:hint="eastAsia" w:ascii="宋体" w:hAnsi="宋体" w:cs="宋体"/>
                <w:color w:val="000000"/>
                <w:szCs w:val="21"/>
              </w:rPr>
              <w:t>45.57</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ascii="宋体" w:hAnsi="宋体" w:cs="宋体"/>
                <w:color w:val="000000"/>
                <w:szCs w:val="21"/>
              </w:rPr>
            </w:pPr>
            <w:r>
              <w:rPr>
                <w:rFonts w:hint="eastAsia" w:ascii="宋体" w:hAnsi="宋体" w:cs="宋体"/>
                <w:color w:val="000000"/>
                <w:szCs w:val="21"/>
              </w:rPr>
              <w:t>0</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40" w:lineRule="exact"/>
              <w:jc w:val="center"/>
              <w:textAlignment w:val="center"/>
              <w:rPr>
                <w:rFonts w:ascii="宋体" w:hAnsi="宋体" w:cs="宋体"/>
                <w:color w:val="000000"/>
                <w:szCs w:val="21"/>
              </w:rPr>
            </w:pPr>
            <w:r>
              <w:rPr>
                <w:rFonts w:hint="eastAsia" w:ascii="宋体" w:hAnsi="宋体" w:cs="宋体"/>
                <w:color w:val="000000"/>
                <w:szCs w:val="21"/>
              </w:rPr>
              <w:t>45.57</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2010108</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15" w:lineRule="auto"/>
              <w:jc w:val="left"/>
              <w:textAlignment w:val="center"/>
              <w:rPr>
                <w:rFonts w:ascii="宋体" w:hAnsi="宋体" w:cs="宋体"/>
                <w:color w:val="000000"/>
                <w:szCs w:val="21"/>
              </w:rPr>
            </w:pPr>
            <w:r>
              <w:rPr>
                <w:rFonts w:hint="eastAsia" w:ascii="宋体" w:hAnsi="宋体" w:cs="宋体"/>
                <w:color w:val="000000"/>
                <w:szCs w:val="21"/>
              </w:rPr>
              <w:t>代表工作</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ascii="宋体" w:hAnsi="宋体" w:cs="宋体"/>
                <w:color w:val="000000"/>
                <w:szCs w:val="21"/>
              </w:rPr>
            </w:pPr>
            <w:r>
              <w:rPr>
                <w:rFonts w:hint="eastAsia" w:ascii="宋体" w:hAnsi="宋体" w:cs="宋体"/>
                <w:color w:val="000000"/>
                <w:szCs w:val="21"/>
              </w:rPr>
              <w:t>21.61</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ascii="宋体" w:hAnsi="宋体" w:cs="宋体"/>
                <w:color w:val="000000"/>
                <w:szCs w:val="21"/>
              </w:rPr>
            </w:pPr>
            <w:r>
              <w:rPr>
                <w:rFonts w:hint="eastAsia" w:ascii="宋体" w:hAnsi="宋体" w:cs="宋体"/>
                <w:color w:val="000000"/>
                <w:szCs w:val="21"/>
              </w:rPr>
              <w:t>0</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ascii="宋体" w:hAnsi="宋体" w:cs="宋体"/>
                <w:color w:val="000000"/>
                <w:szCs w:val="21"/>
              </w:rPr>
            </w:pPr>
            <w:r>
              <w:rPr>
                <w:rFonts w:hint="eastAsia" w:ascii="宋体" w:hAnsi="宋体" w:cs="宋体"/>
                <w:color w:val="000000"/>
                <w:szCs w:val="21"/>
              </w:rPr>
              <w:t>21.61</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2010199</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15" w:lineRule="auto"/>
              <w:jc w:val="left"/>
              <w:textAlignment w:val="center"/>
              <w:rPr>
                <w:rFonts w:ascii="宋体" w:hAnsi="宋体" w:cs="宋体"/>
                <w:color w:val="000000"/>
                <w:szCs w:val="21"/>
              </w:rPr>
            </w:pPr>
            <w:r>
              <w:rPr>
                <w:rFonts w:hint="eastAsia" w:ascii="宋体" w:hAnsi="宋体" w:cs="宋体"/>
                <w:color w:val="000000"/>
                <w:szCs w:val="21"/>
              </w:rPr>
              <w:t>其他人大事务支出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ascii="宋体" w:hAnsi="宋体" w:cs="宋体"/>
                <w:color w:val="000000"/>
                <w:szCs w:val="21"/>
              </w:rPr>
            </w:pPr>
            <w:r>
              <w:rPr>
                <w:rFonts w:hint="eastAsia" w:ascii="宋体" w:hAnsi="宋体" w:cs="宋体"/>
                <w:color w:val="000000"/>
                <w:szCs w:val="21"/>
              </w:rPr>
              <w:t>2.04</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ascii="宋体" w:hAnsi="宋体" w:cs="宋体"/>
                <w:color w:val="000000"/>
                <w:szCs w:val="21"/>
              </w:rPr>
            </w:pPr>
            <w:r>
              <w:rPr>
                <w:rFonts w:hint="eastAsia" w:ascii="宋体" w:hAnsi="宋体" w:cs="宋体"/>
                <w:color w:val="000000"/>
                <w:szCs w:val="21"/>
              </w:rPr>
              <w:t>0</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ascii="宋体" w:hAnsi="宋体" w:cs="宋体"/>
                <w:color w:val="000000"/>
                <w:szCs w:val="21"/>
              </w:rPr>
            </w:pPr>
            <w:r>
              <w:rPr>
                <w:rFonts w:hint="eastAsia" w:ascii="宋体" w:hAnsi="宋体" w:cs="宋体"/>
                <w:color w:val="000000"/>
                <w:szCs w:val="21"/>
              </w:rPr>
              <w:t>2.04</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cs="宋体"/>
                <w:color w:val="000000"/>
                <w:szCs w:val="21"/>
              </w:rPr>
            </w:pP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20" w:lineRule="exact"/>
              <w:jc w:val="lef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cs="宋体"/>
                <w:color w:val="000000"/>
                <w:szCs w:val="21"/>
              </w:rPr>
            </w:pP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20" w:lineRule="exact"/>
              <w:jc w:val="lef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91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cs="宋体"/>
                <w:color w:val="000000"/>
                <w:szCs w:val="21"/>
              </w:rPr>
            </w:pP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20" w:lineRule="exact"/>
              <w:jc w:val="lef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right"/>
              <w:textAlignment w:val="center"/>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420" w:firstLineChars="200"/>
        <w:jc w:val="left"/>
        <w:sectPr>
          <w:pgSz w:w="11906" w:h="16838"/>
          <w:pgMar w:top="2098" w:right="1474" w:bottom="1984" w:left="1588" w:header="851" w:footer="992" w:gutter="0"/>
          <w:cols w:space="720" w:num="1"/>
          <w:docGrid w:type="lines" w:linePitch="312" w:charSpace="0"/>
        </w:sectPr>
      </w:pPr>
    </w:p>
    <w:tbl>
      <w:tblPr>
        <w:tblStyle w:val="10"/>
        <w:tblW w:w="8940" w:type="dxa"/>
        <w:tblInd w:w="15"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574" w:hRule="atLeast"/>
        </w:trPr>
        <w:tc>
          <w:tcPr>
            <w:tcW w:w="8940" w:type="dxa"/>
            <w:gridSpan w:val="12"/>
            <w:tcBorders>
              <w:top w:val="nil"/>
              <w:left w:val="nil"/>
              <w:bottom w:val="nil"/>
              <w:right w:val="nil"/>
            </w:tcBorders>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65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452.52</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472.58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472.58</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right"/>
              <w:rPr>
                <w:rFonts w:ascii="宋体" w:hAnsi="宋体" w:cs="宋体"/>
                <w:color w:val="000000"/>
                <w:sz w:val="18"/>
                <w:szCs w:val="18"/>
              </w:rPr>
            </w:pPr>
            <w:r>
              <w:rPr>
                <w:rFonts w:hint="eastAsia" w:ascii="宋体" w:hAnsi="宋体" w:cs="宋体"/>
                <w:color w:val="000000"/>
                <w:sz w:val="18"/>
                <w:szCs w:val="18"/>
              </w:rPr>
              <w:t>452.52</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18"/>
                <w:szCs w:val="18"/>
              </w:rPr>
            </w:pPr>
            <w:r>
              <w:rPr>
                <w:rFonts w:hint="eastAsia" w:ascii="宋体" w:hAnsi="宋体" w:cs="宋体"/>
                <w:color w:val="000000"/>
                <w:sz w:val="18"/>
                <w:szCs w:val="18"/>
              </w:rPr>
              <w:t>472.58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18"/>
                <w:szCs w:val="18"/>
              </w:rPr>
            </w:pPr>
            <w:r>
              <w:rPr>
                <w:rFonts w:hint="eastAsia" w:ascii="宋体" w:hAnsi="宋体" w:cs="宋体"/>
                <w:color w:val="000000"/>
                <w:sz w:val="18"/>
                <w:szCs w:val="18"/>
              </w:rPr>
              <w:t>472.58</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18"/>
                <w:szCs w:val="18"/>
              </w:rPr>
            </w:pPr>
          </w:p>
        </w:tc>
      </w:tr>
      <w:tr>
        <w:tblPrEx>
          <w:tblCellMar>
            <w:top w:w="0" w:type="dxa"/>
            <w:left w:w="0" w:type="dxa"/>
            <w:bottom w:w="0" w:type="dxa"/>
            <w:right w:w="0" w:type="dxa"/>
          </w:tblCellMar>
        </w:tblPrEx>
        <w:trPr>
          <w:trHeight w:val="343"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right"/>
              <w:rPr>
                <w:rFonts w:ascii="宋体" w:hAnsi="宋体" w:cs="宋体"/>
                <w:color w:val="000000"/>
                <w:sz w:val="18"/>
                <w:szCs w:val="18"/>
              </w:rPr>
            </w:pPr>
            <w:r>
              <w:rPr>
                <w:rFonts w:hint="eastAsia" w:ascii="宋体" w:hAnsi="宋体" w:cs="宋体"/>
                <w:color w:val="000000"/>
                <w:sz w:val="18"/>
                <w:szCs w:val="18"/>
              </w:rPr>
              <w:t>21.1</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18"/>
                <w:szCs w:val="18"/>
              </w:rPr>
            </w:pPr>
            <w:r>
              <w:rPr>
                <w:rFonts w:hint="eastAsia" w:ascii="宋体" w:hAnsi="宋体" w:cs="宋体"/>
                <w:color w:val="000000"/>
                <w:sz w:val="18"/>
                <w:szCs w:val="18"/>
              </w:rPr>
              <w:t>1.04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18"/>
                <w:szCs w:val="18"/>
              </w:rPr>
            </w:pPr>
            <w:r>
              <w:rPr>
                <w:rFonts w:hint="eastAsia" w:ascii="宋体" w:hAnsi="宋体" w:cs="宋体"/>
                <w:color w:val="000000"/>
                <w:sz w:val="18"/>
                <w:szCs w:val="18"/>
              </w:rPr>
              <w:t>1.04</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right"/>
              <w:rPr>
                <w:rFonts w:ascii="宋体" w:hAnsi="宋体" w:cs="宋体"/>
                <w:color w:val="000000"/>
                <w:sz w:val="18"/>
                <w:szCs w:val="18"/>
              </w:rPr>
            </w:pPr>
            <w:r>
              <w:rPr>
                <w:rFonts w:hint="eastAsia" w:ascii="宋体" w:hAnsi="宋体" w:cs="宋体"/>
                <w:color w:val="000000"/>
                <w:sz w:val="18"/>
                <w:szCs w:val="18"/>
              </w:rPr>
              <w:t>21.1</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18"/>
                <w:szCs w:val="18"/>
              </w:rPr>
            </w:pPr>
          </w:p>
        </w:tc>
      </w:tr>
      <w:tr>
        <w:tblPrEx>
          <w:tblCellMar>
            <w:top w:w="0" w:type="dxa"/>
            <w:left w:w="0" w:type="dxa"/>
            <w:bottom w:w="0" w:type="dxa"/>
            <w:right w:w="0" w:type="dxa"/>
          </w:tblCellMar>
        </w:tblPrEx>
        <w:trPr>
          <w:trHeight w:val="445"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right"/>
              <w:rPr>
                <w:rFonts w:ascii="宋体" w:hAnsi="宋体" w:cs="宋体"/>
                <w:color w:val="000000"/>
                <w:sz w:val="18"/>
                <w:szCs w:val="18"/>
              </w:rPr>
            </w:pPr>
            <w:r>
              <w:rPr>
                <w:rFonts w:hint="eastAsia" w:ascii="宋体" w:hAnsi="宋体" w:cs="宋体"/>
                <w:color w:val="000000"/>
                <w:sz w:val="18"/>
                <w:szCs w:val="18"/>
              </w:rPr>
              <w:t>473.62</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18"/>
                <w:szCs w:val="18"/>
              </w:rPr>
            </w:pPr>
            <w:r>
              <w:rPr>
                <w:rFonts w:hint="eastAsia" w:ascii="宋体" w:hAnsi="宋体" w:cs="宋体"/>
                <w:color w:val="000000"/>
                <w:sz w:val="18"/>
                <w:szCs w:val="18"/>
              </w:rPr>
              <w:t>473.62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18"/>
                <w:szCs w:val="18"/>
              </w:rPr>
            </w:pPr>
            <w:r>
              <w:rPr>
                <w:rFonts w:hint="eastAsia" w:ascii="宋体" w:hAnsi="宋体" w:cs="宋体"/>
                <w:color w:val="000000"/>
                <w:sz w:val="18"/>
                <w:szCs w:val="18"/>
              </w:rPr>
              <w:t>473.62</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18"/>
                <w:szCs w:val="18"/>
              </w:rPr>
            </w:pPr>
          </w:p>
        </w:tc>
      </w:tr>
      <w:tr>
        <w:tblPrEx>
          <w:tblCellMar>
            <w:top w:w="0" w:type="dxa"/>
            <w:left w:w="0" w:type="dxa"/>
            <w:bottom w:w="0" w:type="dxa"/>
            <w:right w:w="0" w:type="dxa"/>
          </w:tblCellMar>
        </w:tblPrEx>
        <w:trPr>
          <w:trHeight w:val="586" w:hRule="atLeast"/>
        </w:trPr>
        <w:tc>
          <w:tcPr>
            <w:tcW w:w="8940" w:type="dxa"/>
            <w:gridSpan w:val="12"/>
            <w:tcBorders>
              <w:top w:val="nil"/>
              <w:left w:val="nil"/>
              <w:bottom w:val="nil"/>
              <w:right w:val="nil"/>
            </w:tcBorders>
            <w:tcMar>
              <w:top w:w="15" w:type="dxa"/>
              <w:left w:w="15" w:type="dxa"/>
              <w:right w:w="15" w:type="dxa"/>
            </w:tcMar>
            <w:vAlign w:val="center"/>
          </w:tcPr>
          <w:p>
            <w:pPr>
              <w:widowControl/>
              <w:spacing w:after="0" w:line="240" w:lineRule="exac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60" w:type="dxa"/>
        <w:tblInd w:w="15"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892"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40" w:lineRule="exact"/>
              <w:jc w:val="center"/>
              <w:textAlignment w:val="center"/>
              <w:rPr>
                <w:rFonts w:ascii="宋体" w:hAnsi="宋体" w:cs="宋体"/>
                <w:b/>
                <w:color w:val="000000"/>
                <w:szCs w:val="21"/>
              </w:rPr>
            </w:pPr>
            <w:r>
              <w:rPr>
                <w:rFonts w:hint="eastAsia" w:ascii="宋体" w:hAnsi="宋体" w:cs="宋体"/>
                <w:b/>
                <w:color w:val="000000"/>
                <w:szCs w:val="21"/>
              </w:rPr>
              <w:t>472.58</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ascii="宋体" w:hAnsi="宋体" w:cs="宋体"/>
                <w:b/>
                <w:color w:val="000000"/>
                <w:szCs w:val="21"/>
              </w:rPr>
            </w:pPr>
            <w:r>
              <w:rPr>
                <w:rFonts w:hint="eastAsia" w:ascii="宋体" w:hAnsi="宋体" w:cs="宋体"/>
                <w:b/>
                <w:color w:val="000000"/>
                <w:szCs w:val="21"/>
              </w:rPr>
              <w:t>403.35</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ascii="宋体" w:hAnsi="宋体" w:cs="宋体"/>
                <w:b/>
                <w:color w:val="000000"/>
                <w:szCs w:val="21"/>
              </w:rPr>
            </w:pPr>
            <w:r>
              <w:rPr>
                <w:rFonts w:hint="eastAsia" w:ascii="宋体" w:hAnsi="宋体" w:cs="宋体"/>
                <w:b/>
                <w:color w:val="000000"/>
                <w:szCs w:val="21"/>
              </w:rPr>
              <w:t>69.23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15" w:lineRule="auto"/>
              <w:jc w:val="left"/>
              <w:textAlignment w:val="center"/>
              <w:rPr>
                <w:rFonts w:ascii="宋体" w:hAnsi="宋体" w:cs="宋体"/>
                <w:color w:val="000000"/>
                <w:szCs w:val="21"/>
              </w:rPr>
            </w:pPr>
            <w:r>
              <w:rPr>
                <w:rFonts w:ascii="宋体" w:hAnsi="宋体"/>
                <w:color w:val="000000"/>
                <w:sz w:val="22"/>
              </w:rPr>
              <w:t>一般公共服务支出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472.58</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403.35</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40" w:lineRule="exact"/>
              <w:jc w:val="center"/>
              <w:textAlignment w:val="center"/>
              <w:rPr>
                <w:rFonts w:ascii="宋体" w:hAnsi="宋体" w:cs="宋体"/>
                <w:color w:val="000000"/>
                <w:szCs w:val="21"/>
              </w:rPr>
            </w:pPr>
            <w:r>
              <w:rPr>
                <w:rFonts w:hint="eastAsia" w:ascii="宋体" w:hAnsi="宋体" w:cs="宋体"/>
                <w:color w:val="000000"/>
                <w:szCs w:val="21"/>
              </w:rPr>
              <w:t>69.23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cs="宋体"/>
                <w:color w:val="000000"/>
                <w:szCs w:val="21"/>
              </w:rPr>
            </w:pPr>
            <w:r>
              <w:rPr>
                <w:rFonts w:hint="eastAsia" w:ascii="宋体" w:hAnsi="宋体" w:cs="宋体"/>
                <w:color w:val="000000"/>
                <w:szCs w:val="21"/>
              </w:rPr>
              <w:t>人大事务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472.58</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403.35</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40" w:lineRule="exact"/>
              <w:jc w:val="center"/>
              <w:textAlignment w:val="center"/>
              <w:rPr>
                <w:rFonts w:ascii="宋体" w:hAnsi="宋体" w:cs="宋体"/>
                <w:color w:val="000000"/>
                <w:szCs w:val="21"/>
              </w:rPr>
            </w:pPr>
            <w:r>
              <w:rPr>
                <w:rFonts w:hint="eastAsia" w:ascii="宋体" w:hAnsi="宋体" w:cs="宋体"/>
                <w:color w:val="000000"/>
                <w:szCs w:val="21"/>
              </w:rPr>
              <w:t>69.23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2010101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cs="宋体"/>
                <w:color w:val="000000"/>
                <w:szCs w:val="21"/>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ascii="宋体" w:hAnsi="宋体" w:cs="宋体"/>
                <w:color w:val="000000"/>
                <w:szCs w:val="21"/>
              </w:rPr>
            </w:pPr>
            <w:r>
              <w:rPr>
                <w:rFonts w:hint="eastAsia" w:ascii="宋体" w:hAnsi="宋体" w:cs="宋体"/>
                <w:color w:val="000000"/>
                <w:szCs w:val="21"/>
              </w:rPr>
              <w:t>403.35</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ascii="宋体" w:hAnsi="宋体" w:cs="宋体"/>
                <w:color w:val="000000"/>
                <w:szCs w:val="21"/>
              </w:rPr>
            </w:pPr>
            <w:r>
              <w:rPr>
                <w:rFonts w:hint="eastAsia" w:ascii="宋体" w:hAnsi="宋体" w:cs="宋体"/>
                <w:color w:val="000000"/>
                <w:szCs w:val="21"/>
              </w:rPr>
              <w:t>403.35</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40" w:lineRule="exact"/>
              <w:jc w:val="center"/>
              <w:textAlignment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2010104</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ascii="宋体" w:hAnsi="宋体" w:cs="宋体"/>
                <w:color w:val="000000"/>
                <w:szCs w:val="21"/>
              </w:rPr>
            </w:pPr>
            <w:r>
              <w:rPr>
                <w:rFonts w:hint="eastAsia" w:ascii="宋体" w:hAnsi="宋体" w:cs="宋体"/>
                <w:color w:val="000000"/>
                <w:szCs w:val="21"/>
              </w:rPr>
              <w:t>人大会议</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ascii="宋体" w:hAnsi="宋体" w:cs="宋体"/>
                <w:color w:val="000000"/>
                <w:szCs w:val="21"/>
              </w:rPr>
            </w:pPr>
            <w:r>
              <w:rPr>
                <w:rFonts w:hint="eastAsia" w:ascii="宋体" w:hAnsi="宋体" w:cs="宋体"/>
                <w:color w:val="000000"/>
                <w:szCs w:val="21"/>
              </w:rPr>
              <w:t>45.57</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ascii="宋体" w:hAnsi="宋体" w:cs="宋体"/>
                <w:color w:val="000000"/>
                <w:szCs w:val="21"/>
              </w:rPr>
            </w:pPr>
            <w:r>
              <w:rPr>
                <w:rFonts w:hint="eastAsia" w:ascii="宋体" w:hAnsi="宋体" w:cs="宋体"/>
                <w:color w:val="000000"/>
                <w:szCs w:val="21"/>
              </w:rPr>
              <w:t>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40" w:lineRule="exact"/>
              <w:jc w:val="center"/>
              <w:textAlignment w:val="center"/>
              <w:rPr>
                <w:rFonts w:ascii="宋体" w:hAnsi="宋体" w:cs="宋体"/>
                <w:color w:val="000000"/>
                <w:szCs w:val="21"/>
              </w:rPr>
            </w:pPr>
            <w:r>
              <w:rPr>
                <w:rFonts w:hint="eastAsia" w:ascii="宋体" w:hAnsi="宋体" w:cs="宋体"/>
                <w:color w:val="000000"/>
                <w:szCs w:val="21"/>
              </w:rPr>
              <w:t>45.57</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2010108</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15" w:lineRule="auto"/>
              <w:jc w:val="left"/>
              <w:textAlignment w:val="center"/>
              <w:rPr>
                <w:rFonts w:ascii="宋体" w:hAnsi="宋体" w:cs="宋体"/>
                <w:color w:val="000000"/>
                <w:szCs w:val="21"/>
              </w:rPr>
            </w:pPr>
            <w:r>
              <w:rPr>
                <w:rFonts w:hint="eastAsia" w:ascii="宋体" w:hAnsi="宋体" w:cs="宋体"/>
                <w:color w:val="000000"/>
                <w:szCs w:val="21"/>
              </w:rPr>
              <w:t>代表工作</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ascii="宋体" w:hAnsi="宋体" w:cs="宋体"/>
                <w:color w:val="000000"/>
                <w:szCs w:val="21"/>
              </w:rPr>
            </w:pPr>
            <w:r>
              <w:rPr>
                <w:rFonts w:hint="eastAsia" w:ascii="宋体" w:hAnsi="宋体" w:cs="宋体"/>
                <w:color w:val="000000"/>
                <w:szCs w:val="21"/>
              </w:rPr>
              <w:t>21.61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ascii="宋体" w:hAnsi="宋体" w:cs="宋体"/>
                <w:color w:val="000000"/>
                <w:szCs w:val="21"/>
              </w:rPr>
            </w:pPr>
            <w:r>
              <w:rPr>
                <w:rFonts w:hint="eastAsia" w:ascii="宋体" w:hAnsi="宋体" w:cs="宋体"/>
                <w:color w:val="000000"/>
                <w:szCs w:val="21"/>
              </w:rPr>
              <w:t>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ascii="宋体" w:hAnsi="宋体" w:cs="宋体"/>
                <w:color w:val="000000"/>
                <w:szCs w:val="21"/>
              </w:rPr>
            </w:pPr>
            <w:r>
              <w:rPr>
                <w:rFonts w:hint="eastAsia" w:ascii="宋体" w:hAnsi="宋体" w:cs="宋体"/>
                <w:color w:val="000000"/>
                <w:szCs w:val="21"/>
              </w:rPr>
              <w:t>21.61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2010199</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15" w:lineRule="auto"/>
              <w:jc w:val="left"/>
              <w:textAlignment w:val="center"/>
              <w:rPr>
                <w:rFonts w:ascii="宋体" w:hAnsi="宋体" w:cs="宋体"/>
                <w:color w:val="000000"/>
                <w:szCs w:val="21"/>
              </w:rPr>
            </w:pPr>
            <w:r>
              <w:rPr>
                <w:rFonts w:hint="eastAsia" w:ascii="宋体" w:hAnsi="宋体" w:cs="宋体"/>
                <w:color w:val="000000"/>
                <w:szCs w:val="21"/>
              </w:rPr>
              <w:t>其他人大事务支出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ascii="宋体" w:hAnsi="宋体" w:cs="宋体"/>
                <w:color w:val="000000"/>
                <w:szCs w:val="21"/>
              </w:rPr>
            </w:pPr>
            <w:r>
              <w:rPr>
                <w:rFonts w:hint="eastAsia" w:ascii="宋体" w:hAnsi="宋体" w:cs="宋体"/>
                <w:color w:val="000000"/>
                <w:szCs w:val="21"/>
              </w:rPr>
              <w:t>2.04</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ascii="宋体" w:hAnsi="宋体" w:cs="宋体"/>
                <w:color w:val="000000"/>
                <w:szCs w:val="21"/>
              </w:rPr>
            </w:pPr>
            <w:r>
              <w:rPr>
                <w:rFonts w:hint="eastAsia" w:ascii="宋体" w:hAnsi="宋体" w:cs="宋体"/>
                <w:color w:val="000000"/>
                <w:szCs w:val="21"/>
              </w:rPr>
              <w:t>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ascii="宋体" w:hAnsi="宋体" w:cs="宋体"/>
                <w:color w:val="000000"/>
                <w:szCs w:val="21"/>
              </w:rPr>
            </w:pPr>
            <w:r>
              <w:rPr>
                <w:rFonts w:hint="eastAsia" w:ascii="宋体" w:hAnsi="宋体" w:cs="宋体"/>
                <w:color w:val="000000"/>
                <w:szCs w:val="21"/>
              </w:rPr>
              <w:t>2.04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spacing w:line="260" w:lineRule="exact"/>
              <w:jc w:val="left"/>
              <w:textAlignment w:val="center"/>
              <w:rPr>
                <w:rFonts w:ascii="宋体" w:hAnsi="宋体" w:cs="宋体"/>
                <w:color w:val="000000"/>
                <w:szCs w:val="21"/>
              </w:rPr>
            </w:pP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left"/>
              <w:textAlignment w:val="center"/>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spacing w:line="260" w:lineRule="exact"/>
              <w:jc w:val="left"/>
              <w:textAlignment w:val="center"/>
              <w:rPr>
                <w:rFonts w:ascii="宋体" w:hAnsi="宋体" w:cs="宋体"/>
                <w:color w:val="000000"/>
                <w:szCs w:val="21"/>
              </w:rPr>
            </w:pP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left"/>
              <w:textAlignment w:val="center"/>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center"/>
              <w:textAlignment w:val="center"/>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autoSpaceDN w:val="0"/>
              <w:spacing w:line="260" w:lineRule="exact"/>
              <w:jc w:val="left"/>
              <w:textAlignment w:val="center"/>
              <w:rPr>
                <w:rFonts w:ascii="宋体" w:hAnsi="宋体" w:cs="宋体"/>
                <w:color w:val="000000"/>
                <w:szCs w:val="21"/>
              </w:rPr>
            </w:pP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left"/>
              <w:textAlignment w:val="center"/>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textAlignment w:val="center"/>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p>
        </w:tc>
        <w:tc>
          <w:tcPr>
            <w:tcW w:w="7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r>
              <w:rPr>
                <w:rFonts w:hint="eastAsia" w:ascii="宋体" w:hAnsi="宋体" w:cs="宋体"/>
                <w:color w:val="000000"/>
                <w:sz w:val="16"/>
                <w:szCs w:val="16"/>
              </w:rPr>
              <w:t>180.95</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r>
              <w:rPr>
                <w:rFonts w:hint="eastAsia" w:ascii="宋体" w:hAnsi="宋体" w:cs="宋体"/>
                <w:color w:val="000000"/>
                <w:sz w:val="16"/>
                <w:szCs w:val="16"/>
              </w:rPr>
              <w:t>50.14</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r>
              <w:rPr>
                <w:rFonts w:hint="eastAsia" w:ascii="宋体" w:hAnsi="宋体" w:cs="宋体"/>
                <w:color w:val="000000"/>
                <w:sz w:val="16"/>
                <w:szCs w:val="16"/>
              </w:rPr>
              <w:t>101.02</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r>
              <w:rPr>
                <w:rFonts w:hint="eastAsia" w:ascii="宋体" w:hAnsi="宋体" w:cs="宋体"/>
                <w:color w:val="000000"/>
                <w:sz w:val="16"/>
                <w:szCs w:val="16"/>
              </w:rPr>
              <w:t>2.51</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r>
              <w:rPr>
                <w:rFonts w:hint="eastAsia" w:ascii="宋体" w:hAnsi="宋体" w:cs="宋体"/>
                <w:color w:val="000000"/>
                <w:sz w:val="16"/>
                <w:szCs w:val="16"/>
              </w:rPr>
              <w:t>48.62</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r>
              <w:rPr>
                <w:rFonts w:hint="eastAsia" w:ascii="宋体" w:hAnsi="宋体" w:cs="宋体"/>
                <w:color w:val="000000"/>
                <w:sz w:val="16"/>
                <w:szCs w:val="16"/>
              </w:rPr>
              <w:t>9.22</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20"/>
                <w:szCs w:val="20"/>
              </w:rPr>
            </w:pPr>
            <w:r>
              <w:rPr>
                <w:rFonts w:hint="eastAsia" w:ascii="宋体" w:hAnsi="宋体" w:cs="宋体"/>
                <w:color w:val="000000"/>
                <w:sz w:val="20"/>
                <w:szCs w:val="20"/>
              </w:rPr>
              <w:t>15.22</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20"/>
                <w:szCs w:val="20"/>
              </w:rPr>
            </w:pPr>
            <w:r>
              <w:rPr>
                <w:rFonts w:hint="eastAsia" w:ascii="宋体" w:hAnsi="宋体" w:cs="宋体"/>
                <w:color w:val="000000"/>
                <w:sz w:val="20"/>
                <w:szCs w:val="20"/>
              </w:rPr>
              <w:t>15.22</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692"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r>
              <w:rPr>
                <w:rFonts w:hint="eastAsia" w:ascii="宋体" w:hAnsi="宋体" w:cs="宋体"/>
                <w:color w:val="000000"/>
                <w:sz w:val="16"/>
                <w:szCs w:val="16"/>
              </w:rPr>
              <w:t>1.78</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670"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62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671"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r>
              <w:rPr>
                <w:rFonts w:hint="eastAsia" w:ascii="宋体" w:hAnsi="宋体" w:cs="宋体"/>
                <w:color w:val="000000"/>
                <w:sz w:val="16"/>
                <w:szCs w:val="16"/>
              </w:rPr>
              <w:t>1.91</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520"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r>
              <w:rPr>
                <w:rFonts w:hint="eastAsia" w:ascii="宋体" w:hAnsi="宋体" w:cs="宋体"/>
                <w:color w:val="000000"/>
                <w:sz w:val="16"/>
                <w:szCs w:val="16"/>
              </w:rPr>
              <w:t>1.60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r>
              <w:rPr>
                <w:rFonts w:hint="eastAsia" w:ascii="宋体" w:hAnsi="宋体" w:cs="宋体"/>
                <w:color w:val="000000"/>
                <w:sz w:val="16"/>
                <w:szCs w:val="16"/>
              </w:rPr>
              <w:t>22.09</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r>
              <w:rPr>
                <w:rFonts w:hint="eastAsia" w:ascii="宋体" w:hAnsi="宋体" w:cs="宋体"/>
                <w:color w:val="000000"/>
                <w:sz w:val="16"/>
                <w:szCs w:val="16"/>
              </w:rPr>
              <w:t>157.03</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r>
              <w:rPr>
                <w:rFonts w:hint="eastAsia" w:ascii="宋体" w:hAnsi="宋体" w:cs="宋体"/>
                <w:color w:val="000000"/>
                <w:sz w:val="16"/>
                <w:szCs w:val="16"/>
              </w:rPr>
              <w:t>1.41</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r>
              <w:rPr>
                <w:rFonts w:hint="eastAsia" w:ascii="宋体" w:hAnsi="宋体" w:cs="宋体"/>
                <w:color w:val="000000"/>
                <w:sz w:val="16"/>
                <w:szCs w:val="16"/>
              </w:rPr>
              <w:t>3.66</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r>
              <w:rPr>
                <w:rFonts w:hint="eastAsia" w:ascii="宋体" w:hAnsi="宋体" w:cs="宋体"/>
                <w:color w:val="000000"/>
                <w:sz w:val="16"/>
                <w:szCs w:val="16"/>
              </w:rPr>
              <w:t>93.52</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r>
              <w:rPr>
                <w:rFonts w:hint="eastAsia" w:ascii="宋体" w:hAnsi="宋体" w:cs="宋体"/>
                <w:color w:val="000000"/>
                <w:sz w:val="16"/>
                <w:szCs w:val="16"/>
              </w:rPr>
              <w:t>42.71</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58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16"/>
                <w:szCs w:val="16"/>
              </w:rPr>
            </w:pPr>
            <w:r>
              <w:rPr>
                <w:rFonts w:hint="eastAsia" w:ascii="宋体" w:hAnsi="宋体" w:cs="宋体"/>
                <w:color w:val="000000"/>
                <w:sz w:val="16"/>
                <w:szCs w:val="16"/>
              </w:rPr>
              <w:t>4.64</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ind w:right="80"/>
              <w:jc w:val="right"/>
              <w:rPr>
                <w:rFonts w:ascii="宋体" w:hAnsi="宋体" w:cs="宋体"/>
                <w:color w:val="000000"/>
                <w:sz w:val="16"/>
                <w:szCs w:val="16"/>
              </w:rPr>
            </w:pPr>
            <w:r>
              <w:rPr>
                <w:rFonts w:hint="eastAsia" w:ascii="宋体" w:hAnsi="宋体" w:cs="宋体"/>
                <w:color w:val="000000"/>
                <w:sz w:val="16"/>
                <w:szCs w:val="16"/>
              </w:rPr>
              <w:t>15.2</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r>
              <w:rPr>
                <w:rFonts w:hint="eastAsia" w:ascii="宋体" w:hAnsi="宋体" w:cs="宋体"/>
                <w:color w:val="000000"/>
                <w:sz w:val="16"/>
                <w:szCs w:val="16"/>
              </w:rPr>
              <w:t>20.8</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16"/>
                <w:szCs w:val="16"/>
              </w:rPr>
            </w:pPr>
            <w:r>
              <w:rPr>
                <w:rFonts w:hint="eastAsia" w:ascii="宋体" w:hAnsi="宋体" w:cs="宋体"/>
                <w:color w:val="000000"/>
                <w:sz w:val="16"/>
                <w:szCs w:val="16"/>
              </w:rPr>
              <w:t>14.39</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16"/>
                <w:szCs w:val="16"/>
              </w:rPr>
            </w:pPr>
            <w:r>
              <w:rPr>
                <w:rFonts w:hint="eastAsia" w:ascii="宋体" w:hAnsi="宋体" w:cs="宋体"/>
                <w:color w:val="000000"/>
                <w:sz w:val="16"/>
                <w:szCs w:val="16"/>
              </w:rPr>
              <w:t>3.04</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autoSpaceDN w:val="0"/>
              <w:spacing w:line="260" w:lineRule="exact"/>
              <w:jc w:val="right"/>
              <w:textAlignment w:val="center"/>
              <w:rPr>
                <w:rFonts w:ascii="宋体" w:hAnsi="宋体" w:cs="宋体"/>
                <w:color w:val="000000"/>
                <w:sz w:val="16"/>
                <w:szCs w:val="16"/>
              </w:rPr>
            </w:pPr>
            <w:r>
              <w:rPr>
                <w:rFonts w:hint="eastAsia" w:ascii="宋体" w:hAnsi="宋体" w:cs="宋体"/>
                <w:color w:val="000000"/>
                <w:sz w:val="16"/>
                <w:szCs w:val="16"/>
              </w:rPr>
              <w:t>337.99</w:t>
            </w:r>
          </w:p>
        </w:tc>
        <w:tc>
          <w:tcPr>
            <w:tcW w:w="5328"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60" w:lineRule="exact"/>
              <w:jc w:val="right"/>
              <w:rPr>
                <w:rFonts w:ascii="宋体" w:hAnsi="宋体" w:cs="宋体"/>
                <w:color w:val="000000"/>
                <w:sz w:val="16"/>
                <w:szCs w:val="16"/>
              </w:rPr>
            </w:pPr>
            <w:r>
              <w:rPr>
                <w:rFonts w:hint="eastAsia" w:ascii="宋体" w:hAnsi="宋体" w:cs="宋体"/>
                <w:color w:val="000000"/>
                <w:sz w:val="16"/>
                <w:szCs w:val="16"/>
              </w:rPr>
              <w:t>65.36</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tcMar>
              <w:top w:w="15" w:type="dxa"/>
              <w:left w:w="15" w:type="dxa"/>
              <w:right w:w="15" w:type="dxa"/>
            </w:tcMar>
            <w:vAlign w:val="center"/>
          </w:tcPr>
          <w:p>
            <w:pPr>
              <w:widowControl/>
              <w:spacing w:after="0" w:line="26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260" w:lineRule="exact"/>
        <w:jc w:val="left"/>
        <w:sectPr>
          <w:pgSz w:w="11906" w:h="16838"/>
          <w:pgMar w:top="2098" w:right="1474" w:bottom="1984" w:left="1588" w:header="851" w:footer="992" w:gutter="0"/>
          <w:cols w:space="720" w:num="1"/>
          <w:docGrid w:type="lines" w:linePitch="312" w:charSpace="0"/>
        </w:sectPr>
      </w:pPr>
    </w:p>
    <w:tbl>
      <w:tblPr>
        <w:tblStyle w:val="10"/>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16</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16</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w:t>
            </w: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15.2</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15.2</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15.2</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w:t>
            </w: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60" w:type="dxa"/>
        <w:tblInd w:w="15"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840"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 xml:space="preserve">注：本表反映部门本年度政府性基金预算财政拨款收入、支出及结转和结余情况。  </w:t>
            </w:r>
          </w:p>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本部门本年度无相关收入（或支出、收支及结转结余等）情况，按要求空表列示。</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00" w:type="dxa"/>
        <w:tblInd w:w="15"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p>
        </w:tc>
        <w:tc>
          <w:tcPr>
            <w:tcW w:w="200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kern w:val="0"/>
                <w:sz w:val="22"/>
                <w:szCs w:val="22"/>
              </w:rPr>
            </w:pPr>
            <w:r>
              <w:rPr>
                <w:rFonts w:hint="eastAsia" w:ascii="宋体" w:hAnsi="宋体" w:cs="宋体"/>
                <w:color w:val="000000"/>
                <w:kern w:val="0"/>
                <w:sz w:val="22"/>
                <w:szCs w:val="22"/>
              </w:rPr>
              <w:t>注：本表反映部门本年度国有资本经营预算财政拨款支出情况。</w:t>
            </w:r>
          </w:p>
          <w:p>
            <w:pPr>
              <w:widowControl/>
              <w:spacing w:after="0" w:line="240" w:lineRule="auto"/>
              <w:jc w:val="left"/>
              <w:textAlignment w:val="center"/>
              <w:rPr>
                <w:rFonts w:ascii="宋体" w:hAnsi="宋体" w:cs="宋体"/>
                <w:color w:val="000000"/>
                <w:kern w:val="0"/>
                <w:sz w:val="22"/>
                <w:szCs w:val="22"/>
              </w:rPr>
            </w:pPr>
            <w:r>
              <w:rPr>
                <w:rFonts w:hint="eastAsia" w:ascii="宋体" w:hAnsi="宋体" w:cs="宋体"/>
                <w:color w:val="000000"/>
                <w:kern w:val="0"/>
                <w:szCs w:val="21"/>
              </w:rPr>
              <w:t>本部门本年度无相关收入（或支出、收支及结转结余等）情况，按要求空表列示。</w:t>
            </w:r>
          </w:p>
          <w:p>
            <w:pPr>
              <w:widowControl/>
              <w:spacing w:after="0" w:line="240" w:lineRule="auto"/>
              <w:jc w:val="left"/>
              <w:textAlignment w:val="center"/>
              <w:rPr>
                <w:rFonts w:ascii="宋体" w:hAnsi="宋体" w:cs="宋体"/>
                <w:color w:val="000000"/>
                <w:kern w:val="0"/>
                <w:sz w:val="22"/>
                <w:szCs w:val="22"/>
              </w:rPr>
            </w:pP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940" w:type="dxa"/>
        <w:tblInd w:w="15"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p>
        </w:tc>
        <w:tc>
          <w:tcPr>
            <w:tcW w:w="2500" w:type="dxa"/>
            <w:gridSpan w:val="3"/>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59.7</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59.7</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59.7</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59.6</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59.6</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59.6</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 xml:space="preserve">注：本表反映部门本年度纳入部门预算范围的政府采购预算及支出情况。     </w:t>
            </w:r>
          </w:p>
          <w:p>
            <w:pPr>
              <w:widowControl/>
              <w:adjustRightInd w:val="0"/>
              <w:snapToGrid w:val="0"/>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本部门本年度无相关收入（或支出、收支及结转结余等）情况，按要求空表列示。</w:t>
            </w:r>
          </w:p>
        </w:tc>
      </w:tr>
    </w:tbl>
    <w:p>
      <w:pPr>
        <w:widowControl/>
        <w:spacing w:after="0" w:line="560" w:lineRule="exact"/>
        <w:jc w:val="left"/>
        <w:rPr>
          <w:rFonts w:ascii="仿宋_GB2312" w:hAnsi="宋体" w:eastAsia="仿宋_GB2312"/>
          <w:b/>
          <w:sz w:val="28"/>
          <w:szCs w:val="28"/>
          <w:highlight w:val="yellow"/>
        </w:rPr>
      </w:pPr>
    </w:p>
    <w:p/>
    <w:p/>
    <w:p/>
    <w:p/>
    <w:p>
      <w:pPr>
        <w:tabs>
          <w:tab w:val="left" w:pos="1086"/>
        </w:tabs>
        <w:jc w:val="left"/>
        <w:sectPr>
          <w:pgSz w:w="11906" w:h="16838"/>
          <w:pgMar w:top="2098" w:right="1474" w:bottom="1984" w:left="1588" w:header="851" w:footer="992" w:gutter="0"/>
          <w:cols w:space="720" w:num="1"/>
          <w:docGrid w:type="lines" w:linePitch="312" w:charSpace="0"/>
        </w:sectPr>
      </w:pPr>
      <w:r>
        <w:rPr>
          <w:rFonts w:hint="eastAsia"/>
        </w:rPr>
        <w:tab/>
      </w:r>
    </w:p>
    <w:p>
      <w:pPr>
        <w:sectPr>
          <w:pgSz w:w="11906" w:h="16838"/>
          <w:pgMar w:top="2098" w:right="1474" w:bottom="1984" w:left="1588" w:header="851" w:footer="992" w:gutter="0"/>
          <w:cols w:space="720" w:num="1"/>
          <w:docGrid w:type="lines" w:linePitch="312" w:charSpace="0"/>
        </w:sectPr>
      </w:pPr>
      <w:r>
        <w:rPr>
          <w:rFonts w:ascii="宋体" w:hAnsi="宋体" w:cs="ArialUnicodeMS"/>
          <w:color w:val="000000"/>
          <w:kern w:val="0"/>
        </w:rPr>
        <w:pict>
          <v:shape id="_x0000_s1028" o:spid="_x0000_s1028" o:spt="75" type="#_x0000_t75" style="position:absolute;left:0pt;margin-left:-79.15pt;margin-top:-105.05pt;height:840.95pt;width:594.5pt;z-index:-251649024;mso-width-relative:page;mso-height-relative:page;" filled="f" o:preferrelative="t" stroked="f" coordsize="21600,21600">
            <v:path/>
            <v:fill on="f" focussize="0,0"/>
            <v:stroke on="f" joinstyle="miter"/>
            <v:imagedata r:id="rId13" o:title=""/>
            <o:lock v:ext="edit" aspectratio="t"/>
          </v:shape>
        </w:pict>
      </w:r>
      <w:r>
        <w:rPr>
          <w:sz w:val="72"/>
        </w:rPr>
        <w:pict>
          <v:rect id="文本框 5" o:spid="_x0000_s1033" o:spt="1" style="position:absolute;left:0pt;margin-left:-78.4pt;margin-top:232.8pt;height:159.1pt;width:596.2pt;z-index:251662336;mso-width-relative:page;mso-height-relative:page;" filled="f" o:preferrelative="t" stroked="f" coordsize="21600,21600">
            <v:path/>
            <v:fill on="f" focussize="0,0"/>
            <v:stroke on="f"/>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v:textbox>
          </v:rect>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hAnsi="Cambria" w:eastAsia="黑体"/>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highlight w:val="yellow"/>
        </w:rPr>
      </w:pPr>
      <w:r>
        <w:rPr>
          <w:rFonts w:hint="eastAsia" w:ascii="仿宋_GB2312" w:eastAsia="仿宋_GB2312" w:cs="DengXian-Regular"/>
          <w:sz w:val="32"/>
          <w:szCs w:val="32"/>
        </w:rPr>
        <w:t>本部门</w:t>
      </w:r>
      <w:r>
        <w:rPr>
          <w:rFonts w:hint="eastAsia" w:ascii="仿宋" w:hAnsi="仿宋" w:eastAsia="仿宋" w:cs="宋体"/>
          <w:sz w:val="32"/>
          <w:szCs w:val="32"/>
        </w:rPr>
        <w:t>2018年度收支总计（含结转和结余）473.62万元，</w:t>
      </w:r>
      <w:r>
        <w:rPr>
          <w:rFonts w:hint="eastAsia" w:ascii="仿宋_GB2312" w:eastAsia="仿宋_GB2312" w:cs="DengXian-Regular"/>
          <w:sz w:val="32"/>
          <w:szCs w:val="32"/>
        </w:rPr>
        <w:t>与2017年度决算相比，收支增加17.67万元，增加3.9%，主要原因是</w:t>
      </w:r>
      <w:r>
        <w:rPr>
          <w:rFonts w:hint="eastAsia" w:ascii="仿宋" w:hAnsi="仿宋" w:eastAsia="仿宋" w:cs="宋体"/>
          <w:sz w:val="32"/>
          <w:szCs w:val="32"/>
        </w:rPr>
        <w:t>人员工资调资。</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本部门2018年度本年收入合计452.52万元，其中：财政拨款收入452.52万元，占100%；事业收入0万元，占0%；经营收入0万元，占0%；其他收入0万元，占0%。如图所示：</w: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240" w:lineRule="atLeast"/>
        <w:ind w:firstLine="420" w:firstLineChars="200"/>
        <w:rPr>
          <w:rFonts w:ascii="黑体" w:eastAsia="黑体"/>
        </w:rPr>
      </w:pPr>
      <w:r>
        <w:pict>
          <v:shape id="_x0000_i1025" o:spt="75" type="#_x0000_t75" style="height:207.75pt;width:354pt;" filled="f" o:preferrelative="t" stroked="f" coordsize="21600,21600"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">
            <v:path/>
            <v:fill on="f" focussize="0,0"/>
            <v:stroke on="f" joinstyle="miter"/>
            <v:imagedata r:id="rId14" o:title=""/>
            <o:lock v:ext="edit" aspectratio="f"/>
            <w10:wrap type="none"/>
            <w10:anchorlock/>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本部门2018年度本年支出合计472.58万元，其中：基本支出403.35万元，占85.35%；项目支出69.23万元，占14.65%；经营支出0万元，占0%。如图所示：</w: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240" w:lineRule="atLeast"/>
        <w:ind w:firstLine="420" w:firstLineChars="200"/>
        <w:rPr>
          <w:rFonts w:ascii="仿宋_GB2312" w:eastAsia="仿宋_GB2312" w:cs="DengXian-Regular"/>
          <w:sz w:val="32"/>
          <w:szCs w:val="32"/>
        </w:rPr>
      </w:pPr>
      <w:r>
        <w:pict>
          <v:shape id="_x0000_i1026" o:spt="75" type="#_x0000_t75" style="height:204pt;width:340.5pt;" filled="f" o:preferrelative="t" stroked="f" coordsize="21600,21600"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">
            <v:path/>
            <v:fill on="f" focussize="0,0"/>
            <v:stroke on="f" joinstyle="miter"/>
            <v:imagedata r:id="rId15" o:title=""/>
            <o:lock v:ext="edit" aspectratio="f"/>
            <w10:wrap type="none"/>
            <w10:anchorlock/>
          </v:shape>
        </w:pict>
      </w:r>
    </w:p>
    <w:p>
      <w:pPr>
        <w:pStyle w:val="3"/>
        <w:spacing w:before="0" w:after="0" w:line="580" w:lineRule="exact"/>
        <w:rPr>
          <w:rFonts w:ascii="黑体" w:eastAsia="黑体"/>
          <w:b w:val="0"/>
          <w:bCs w:val="0"/>
        </w:rPr>
      </w:pPr>
      <w:r>
        <w:rPr>
          <w:rFonts w:hint="eastAsia" w:ascii="黑体" w:eastAsia="黑体"/>
          <w:b w:val="0"/>
          <w:bCs w:val="0"/>
        </w:rPr>
        <w:t>四、</w:t>
      </w:r>
      <w:r>
        <w:rPr>
          <w:rFonts w:hint="eastAsia" w:ascii="黑体" w:hAnsi="Cambria" w:eastAsia="黑体"/>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highlight w:val="yellow"/>
        </w:rPr>
      </w:pPr>
      <w:r>
        <w:rPr>
          <w:rFonts w:hint="eastAsia" w:ascii="仿宋_GB2312" w:eastAsia="仿宋_GB2312" w:cs="DengXian-Regular"/>
          <w:sz w:val="32"/>
          <w:szCs w:val="32"/>
        </w:rPr>
        <w:t>本部门2018年度形成的财政拨款收支均为一般公共预算财政拨款，其中一般公共预算财政拨款本年收入452.52万元, 与2017年度决算相比，收入增加17.67万元，增加3.9%，主要原因是</w:t>
      </w:r>
      <w:r>
        <w:rPr>
          <w:rFonts w:hint="eastAsia" w:ascii="仿宋" w:hAnsi="仿宋" w:eastAsia="仿宋" w:cs="宋体"/>
          <w:sz w:val="32"/>
          <w:szCs w:val="32"/>
        </w:rPr>
        <w:t>人员工资调资</w:t>
      </w:r>
      <w:r>
        <w:rPr>
          <w:rFonts w:hint="eastAsia" w:ascii="仿宋_GB2312" w:eastAsia="仿宋_GB2312" w:cs="DengXian-Regular"/>
          <w:sz w:val="32"/>
          <w:szCs w:val="32"/>
        </w:rPr>
        <w:t>；本年</w:t>
      </w:r>
      <w:r>
        <w:rPr>
          <w:rFonts w:hint="eastAsia" w:ascii="仿宋_GB2312" w:eastAsia="仿宋_GB2312" w:cs="DengXian-Regular"/>
          <w:sz w:val="32"/>
          <w:szCs w:val="32"/>
          <w:lang w:eastAsia="zh-CN"/>
        </w:rPr>
        <w:t>支出</w:t>
      </w:r>
      <w:r>
        <w:rPr>
          <w:rFonts w:hint="eastAsia" w:ascii="仿宋_GB2312" w:eastAsia="仿宋_GB2312" w:cs="DengXian-Regular"/>
          <w:sz w:val="32"/>
          <w:szCs w:val="32"/>
        </w:rPr>
        <w:t>472.58万元。与2017年度决算相比增加58.83万元，增长12.44%，主要原因是2017年项目支出结转到本年度及人员工资调整。</w: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240" w:lineRule="atLeast"/>
        <w:ind w:firstLine="640" w:firstLineChars="200"/>
        <w:rPr>
          <w:rFonts w:ascii="仿宋_GB2312" w:eastAsia="仿宋_GB2312" w:cs="DengXian-Regular"/>
          <w:sz w:val="32"/>
          <w:szCs w:val="32"/>
          <w:highlight w:val="yellow"/>
        </w:rPr>
      </w:pPr>
    </w:p>
    <w:p>
      <w:pPr>
        <w:adjustRightInd w:val="0"/>
        <w:snapToGrid w:val="0"/>
        <w:spacing w:after="0" w:line="240" w:lineRule="atLeast"/>
        <w:ind w:firstLine="420" w:firstLineChars="200"/>
      </w:pPr>
      <w:r>
        <w:pict>
          <v:shape id="_x0000_i1027" o:spt="75" type="#_x0000_t75" style="height:241.5pt;width:366.75pt;" filled="f" o:preferrelative="t" stroked="f" coordsize="21600,21600"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">
            <v:path/>
            <v:fill on="f" focussize="0,0"/>
            <v:stroke on="f" joinstyle="miter"/>
            <v:imagedata r:id="rId16" o:title=""/>
            <o:lock v:ext="edit" aspectratio="f"/>
            <w10:wrap type="none"/>
            <w10:anchorlock/>
          </v:shape>
        </w:pict>
      </w:r>
    </w:p>
    <w:p>
      <w:pPr>
        <w:adjustRightInd w:val="0"/>
        <w:snapToGrid w:val="0"/>
        <w:spacing w:after="0" w:line="580" w:lineRule="exact"/>
        <w:ind w:firstLine="420" w:firstLineChars="200"/>
      </w:pPr>
    </w:p>
    <w:p>
      <w:pPr>
        <w:adjustRightInd w:val="0"/>
        <w:snapToGrid w:val="0"/>
        <w:spacing w:after="0" w:line="580" w:lineRule="exact"/>
        <w:ind w:firstLine="420" w:firstLineChars="200"/>
      </w:pPr>
    </w:p>
    <w:p>
      <w:pPr>
        <w:spacing w:after="0" w:line="580" w:lineRule="exact"/>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452.52万元，完成年初预算的101.61%,比年初预算增加7.21万元，决算数大于预算数主要原因是人员工资增加。本年支出472.58万元，完成年初预算的106.12%,比年初预算增加27.27万元，决算数大于预算数主要原因是2017年项目支出结转到本年度及人员工资增加。</w:t>
      </w:r>
    </w:p>
    <w:p>
      <w:pPr>
        <w:adjustRightInd w:val="0"/>
        <w:snapToGrid w:val="0"/>
        <w:spacing w:after="0" w:line="580" w:lineRule="exact"/>
        <w:rPr>
          <w:rFonts w:ascii="仿宋_GB2312" w:eastAsia="仿宋_GB2312" w:cs="DengXian-Regular"/>
          <w:sz w:val="32"/>
          <w:szCs w:val="32"/>
          <w:highlight w:val="yellow"/>
        </w:rPr>
      </w:pPr>
    </w:p>
    <w:p>
      <w:pPr>
        <w:adjustRightInd w:val="0"/>
        <w:snapToGrid w:val="0"/>
        <w:spacing w:after="0" w:line="240" w:lineRule="atLeast"/>
        <w:rPr>
          <w:rFonts w:ascii="仿宋_GB2312" w:eastAsia="仿宋_GB2312" w:cs="DengXian-Regular"/>
          <w:sz w:val="32"/>
          <w:szCs w:val="32"/>
          <w:highlight w:val="yellow"/>
        </w:rPr>
      </w:pPr>
      <w:r>
        <w:pict>
          <v:shape id="_x0000_i1028" o:spt="75" type="#_x0000_t75" style="height:281.25pt;width:368.25pt;" filled="f" o:preferrelative="t" stroked="f" coordsize="21600,21600"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">
            <v:path/>
            <v:fill on="f" focussize="0,0"/>
            <v:stroke on="f" joinstyle="miter"/>
            <v:imagedata r:id="rId17" o:title=""/>
            <o:lock v:ext="edit" aspectratio="f"/>
            <w10:wrap type="none"/>
            <w10:anchorlock/>
          </v:shape>
        </w:pict>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年度财政拨款支出472.58万元，主要用于以下方面:一般公共服务（类）支出472.58万元，占100%；公共安全类（类）支出0万元，占0%；教育（类）支出0万元，占0%；科学技术（类）支出0万元，占 0%；社会保障和就业（类）支出0万元，占0%；住房保障（类）支出0万元，占 0%.</w: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240" w:lineRule="atLeast"/>
        <w:ind w:left="420" w:leftChars="200"/>
        <w:rPr>
          <w:rFonts w:ascii="楷体_GB2312" w:eastAsia="楷体_GB2312" w:cs="DengXian-Bold"/>
          <w:b/>
          <w:bCs/>
          <w:sz w:val="32"/>
          <w:szCs w:val="32"/>
        </w:rPr>
      </w:pPr>
      <w:r>
        <w:pict>
          <v:shape id="_x0000_i1029" o:spt="75" type="#_x0000_t75" style="height:261pt;width:368.25pt;" filled="f" o:preferrelative="t" stroked="f" coordsize="21600,21600"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">
            <v:path/>
            <v:fill on="f" focussize="0,0"/>
            <v:stroke on="f" joinstyle="miter"/>
            <v:imagedata r:id="rId18" o:title=""/>
            <o:lock v:ext="edit" aspectratio="f"/>
            <w10:wrap type="none"/>
            <w10:anchorlock/>
          </v:shape>
        </w:pict>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年度一般公共预算财政拨款基本支出403.35万元，其中：人员经费 337.99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65.36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“三公”经费支出共计15.2万元，</w:t>
      </w:r>
      <w:r>
        <w:rPr>
          <w:rFonts w:hint="eastAsia" w:ascii="仿宋_GB2312" w:eastAsia="仿宋_GB2312" w:cs="DengXian-Regular"/>
          <w:b/>
          <w:bCs/>
          <w:sz w:val="32"/>
          <w:szCs w:val="32"/>
        </w:rPr>
        <w:t>较年初预算减少0.8万元，降低5%，</w:t>
      </w:r>
      <w:r>
        <w:rPr>
          <w:rFonts w:hint="eastAsia" w:ascii="仿宋_GB2312" w:eastAsia="仿宋_GB2312" w:cs="DengXian-Regular"/>
          <w:sz w:val="32"/>
          <w:szCs w:val="32"/>
        </w:rPr>
        <w:t>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本部门2018年度因公出国（境）团组0个、共0人。因公出国（境）费支出较年初预算无增减变化,主要是未发生因公出国（境）费支出。</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（二）公务用车购置及运行维护费支出15.2万元。</w:t>
      </w:r>
      <w:r>
        <w:rPr>
          <w:rFonts w:hint="eastAsia" w:ascii="仿宋_GB2312" w:eastAsia="仿宋_GB2312" w:cs="DengXian-Regular"/>
          <w:sz w:val="32"/>
          <w:szCs w:val="32"/>
        </w:rPr>
        <w:t>本部门2018年度公务用车购置及运行维护费支出15.2万元，2018年度公务用车购置及运行维护费较年初预算减少0.8万元，降低0.5%,主要是公务用车费用节省开支。</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本部门2018年度公务用车购置量0辆，发生“公务用车购置”经费支出0万元。公务用车购置费支出较年初预算无增减变化,主要是</w:t>
      </w:r>
      <w:r>
        <w:rPr>
          <w:rFonts w:hint="eastAsia" w:ascii="仿宋_GB2312" w:eastAsia="仿宋_GB2312" w:cs="DengXian-Regular"/>
          <w:color w:val="000000"/>
          <w:sz w:val="32"/>
          <w:szCs w:val="32"/>
        </w:rPr>
        <w:t>未发生公务用车购置经费支出</w:t>
      </w:r>
      <w:r>
        <w:rPr>
          <w:rFonts w:hint="eastAsia" w:ascii="仿宋_GB2312" w:eastAsia="仿宋_GB2312" w:cs="DengXian-Regular"/>
          <w:sz w:val="32"/>
          <w:szCs w:val="32"/>
        </w:rPr>
        <w:t>。</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本部门2018年度单位公务用车保有量4辆。公务用车购置及运行维护费支出15.2万元，公车运行维护费支出较年初预算减少0.8万元，降低0.5%,主要原因是公务用车费用节省开支。</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本部门2018年度公务接待共0批次、0人次。公务接待费支出与年初预算无增减变化。</w:t>
      </w: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ind w:firstLine="640" w:firstLineChars="200"/>
        <w:rPr>
          <w:rFonts w:ascii="仿宋_GB2312" w:eastAsia="仿宋_GB2312" w:cs="DengXian-Regular"/>
          <w:sz w:val="32"/>
          <w:szCs w:val="32"/>
        </w:rPr>
      </w:pPr>
      <w:r>
        <w:rPr>
          <w:rFonts w:hint="eastAsia" w:ascii="仿宋_GB2312" w:eastAsia="仿宋_GB2312" w:cs="DengXian-Regular"/>
          <w:sz w:val="32"/>
          <w:szCs w:val="32"/>
        </w:rPr>
        <w:t>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良好。</w:t>
      </w:r>
      <w:r>
        <w:rPr>
          <w:rFonts w:hint="eastAsia" w:ascii="仿宋_GB2312" w:hAnsi="仿宋_GB2312" w:eastAsia="仿宋_GB2312" w:cs="仿宋_GB2312"/>
          <w:sz w:val="32"/>
          <w:szCs w:val="32"/>
        </w:rPr>
        <w:t>通过财政财务收支审计真实、合法和效益情况，维护国家财政经济秩序，促进廉政建设，保障国民经济的健康运行。贯彻落实相关法律法规及大内部审计管理制度提高审计质量和审计机关法制管理水平。包括系统综合业务管理和机关综合事务管理。充分发挥参谋助手作用和综合协调作用，推进审计事业科学协调发展。</w:t>
      </w:r>
    </w:p>
    <w:p>
      <w:pPr>
        <w:adjustRightInd w:val="0"/>
        <w:snapToGrid w:val="0"/>
        <w:spacing w:after="0" w:line="580" w:lineRule="exact"/>
        <w:ind w:firstLine="640" w:firstLineChars="200"/>
        <w:rPr>
          <w:rFonts w:ascii="仿宋_GB2312" w:eastAsia="仿宋_GB2312" w:cs="DengXian-Regular"/>
          <w:color w:val="FF0000"/>
          <w:sz w:val="32"/>
          <w:szCs w:val="32"/>
        </w:rPr>
      </w:pP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根据预算绩效管理要求，本单位组织对2018年度一般公共预算项目支出全面开展绩效自评，涉及人大会议、代表活动等2个项目，涉及资金45万元。从评价情况看，评价结果为优秀的项目有1个，良好的项目有1个。</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本部门2018年度机关运行经费支出65.36万元，比年初预算数减少11.53万元，减少14.99%。主要原因是开支减少。</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本部门2018年度政府采购支出总额59.6万元，从采购类型来看，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59.6</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截至2018年12月31日，本部门共有车辆4辆，与上年一致，主要是</w:t>
      </w:r>
      <w:r>
        <w:rPr>
          <w:rFonts w:hint="eastAsia" w:ascii="仿宋_GB2312" w:eastAsia="仿宋_GB2312" w:cs="DengXian-Regular"/>
          <w:color w:val="000000"/>
          <w:sz w:val="32"/>
          <w:szCs w:val="32"/>
        </w:rPr>
        <w:t>未发生公务用车购置经费支出</w:t>
      </w:r>
      <w:r>
        <w:rPr>
          <w:rFonts w:hint="eastAsia" w:ascii="仿宋_GB2312" w:eastAsia="仿宋_GB2312" w:cs="DengXian-Regular"/>
          <w:sz w:val="32"/>
          <w:szCs w:val="32"/>
        </w:rPr>
        <w:t>。其中，副部（省）级及以上领导用车0辆，主要领导干部用车0辆，机要通信用车0辆，应急保障用车4辆，执法执勤用车0辆，特种专业技术用车0辆，离退休干部用车0辆，其他用车0辆，其他用车主要是一般公务用车；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万元以上通用设备0台（套），比上年增加0套，主要是</w:t>
      </w:r>
      <w:r>
        <w:rPr>
          <w:rFonts w:hint="eastAsia" w:ascii="仿宋_GB2312" w:eastAsia="仿宋_GB2312" w:cs="DengXian-Regular"/>
          <w:color w:val="000000"/>
          <w:sz w:val="32"/>
          <w:szCs w:val="32"/>
        </w:rPr>
        <w:t>未发生50万元以上通用设备购置支出</w:t>
      </w:r>
      <w:r>
        <w:rPr>
          <w:rFonts w:hint="eastAsia" w:ascii="仿宋_GB2312" w:eastAsia="仿宋_GB2312" w:cs="DengXian-Regular"/>
          <w:sz w:val="32"/>
          <w:szCs w:val="32"/>
        </w:rPr>
        <w:t xml:space="preserve"> ，单位价值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万元以上专用设备0台（套）比上年增加0套,主要是</w:t>
      </w:r>
      <w:r>
        <w:rPr>
          <w:rFonts w:hint="eastAsia" w:ascii="仿宋_GB2312" w:eastAsia="仿宋_GB2312" w:cs="DengXian-Regular"/>
          <w:color w:val="000000"/>
          <w:sz w:val="32"/>
          <w:szCs w:val="32"/>
        </w:rPr>
        <w:t>未发生100万元以上通用设备购置支出</w:t>
      </w:r>
      <w:r>
        <w:rPr>
          <w:rFonts w:hint="eastAsia" w:ascii="仿宋_GB2312" w:eastAsia="仿宋_GB2312" w:cs="DengXian-Regular"/>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1、本部门2018年度政府性基金、国有资本经营无收支及结转结余情况，故</w:t>
      </w:r>
      <w:r>
        <w:rPr>
          <w:rFonts w:hint="eastAsia" w:ascii="仿宋" w:hAnsi="仿宋" w:eastAsia="仿宋" w:cs="仿宋"/>
          <w:color w:val="000000"/>
          <w:kern w:val="0"/>
          <w:sz w:val="32"/>
          <w:szCs w:val="32"/>
        </w:rPr>
        <w:t>政府性基金预算财政拨款收入支出决算表、国有资本经营预算财政拨款支出决算表</w:t>
      </w:r>
      <w:r>
        <w:rPr>
          <w:rFonts w:hint="eastAsia" w:ascii="仿宋_GB2312" w:eastAsia="仿宋_GB2312" w:cs="DengXian-Regular"/>
          <w:sz w:val="32"/>
          <w:szCs w:val="32"/>
        </w:rPr>
        <w:t>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420" w:firstLineChars="200"/>
        <w:jc w:val="left"/>
        <w:sectPr>
          <w:pgSz w:w="11906" w:h="16838"/>
          <w:pgMar w:top="2098" w:right="1474" w:bottom="1984" w:left="1588" w:header="851" w:footer="992" w:gutter="0"/>
          <w:cols w:space="720" w:num="1"/>
          <w:docGrid w:type="lines" w:linePitch="312" w:charSpace="0"/>
        </w:sectPr>
      </w:pPr>
    </w:p>
    <w:p>
      <w:pPr>
        <w:sectPr>
          <w:pgSz w:w="11906" w:h="16838"/>
          <w:pgMar w:top="2098" w:right="1474" w:bottom="1984" w:left="1588" w:header="851" w:footer="992" w:gutter="0"/>
          <w:cols w:space="720" w:num="1"/>
          <w:docGrid w:type="lines" w:linePitch="312" w:charSpace="0"/>
        </w:sectPr>
      </w:pPr>
      <w:r>
        <w:rPr>
          <w:rFonts w:ascii="宋体" w:hAnsi="宋体" w:cs="ArialUnicodeMS"/>
          <w:color w:val="000000"/>
          <w:kern w:val="0"/>
        </w:rPr>
        <w:pict>
          <v:shape id="图片 21" o:spid="_x0000_s1029" o:spt="75" type="#_x0000_t75" style="position:absolute;left:0pt;margin-left:-79.15pt;margin-top:-105.05pt;height:840.95pt;width:594.5pt;z-index:-251648000;mso-width-relative:page;mso-height-relative:page;" filled="f" o:preferrelative="t" stroked="f" coordsize="21600,21600">
            <v:path/>
            <v:fill on="f" focussize="0,0"/>
            <v:stroke on="f" joinstyle="miter"/>
            <v:imagedata r:id="rId13" o:title=""/>
            <o:lock v:ext="edit" aspectratio="t"/>
          </v:shape>
        </w:pict>
      </w:r>
      <w:r>
        <w:rPr>
          <w:sz w:val="72"/>
        </w:rPr>
        <w:pict>
          <v:rect id="文本框 22" o:spid="_x0000_s1034" o:spt="1" style="position:absolute;left:0pt;margin-left:-78.4pt;margin-top:232.8pt;height:159.1pt;width:596.2pt;z-index:251663360;mso-width-relative:page;mso-height-relative:page;" filled="f" o:preferrelative="t" stroked="f" coordsize="21600,21600">
            <v:path/>
            <v:fill on="f" focussize="0,0"/>
            <v:stroke on="f"/>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v:textbox>
          </v:rect>
        </w:pic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（一）财政拨款收入：</w:t>
      </w:r>
      <w:r>
        <w:rPr>
          <w:rFonts w:hint="eastAsia" w:ascii="仿宋_GB2312" w:hAnsi="宋体" w:eastAsia="仿宋_GB2312"/>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（二）事业收入：</w:t>
      </w:r>
      <w:r>
        <w:rPr>
          <w:rFonts w:hint="eastAsia" w:ascii="仿宋_GB2312" w:hAnsi="宋体" w:eastAsia="仿宋_GB2312"/>
          <w:color w:val="000000"/>
          <w:kern w:val="0"/>
          <w:sz w:val="32"/>
          <w:szCs w:val="32"/>
        </w:rPr>
        <w:t>指事业单位开展专业业务活动及辅助活动所取得的收入。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（三）其他收入：</w:t>
      </w:r>
      <w:r>
        <w:rPr>
          <w:rFonts w:hint="eastAsia" w:ascii="仿宋_GB2312" w:hAnsi="宋体" w:eastAsia="仿宋_GB2312"/>
          <w:color w:val="000000"/>
          <w:kern w:val="0"/>
          <w:sz w:val="32"/>
          <w:szCs w:val="32"/>
        </w:rPr>
        <w:t>指除上述“财政拨款收入”“事业收入”“经营收入”等以外的收入。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（四）用事业基金弥补收支差额：</w:t>
      </w:r>
      <w:r>
        <w:rPr>
          <w:rFonts w:hint="eastAsia" w:ascii="仿宋_GB2312" w:hAnsi="宋体" w:eastAsia="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（五）年初结转和结余：</w:t>
      </w:r>
      <w:r>
        <w:rPr>
          <w:rFonts w:hint="eastAsia" w:ascii="仿宋_GB2312" w:hAnsi="宋体" w:eastAsia="仿宋_GB2312"/>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（六）结余分配：</w:t>
      </w:r>
      <w:r>
        <w:rPr>
          <w:rFonts w:hint="eastAsia" w:ascii="仿宋_GB2312" w:hAnsi="宋体" w:eastAsia="仿宋_GB2312"/>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（七）年末结转和结余：</w:t>
      </w:r>
      <w:r>
        <w:rPr>
          <w:rFonts w:hint="eastAsia" w:ascii="仿宋_GB2312" w:hAnsi="宋体" w:eastAsia="仿宋_GB2312"/>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（八）基本支出：</w:t>
      </w:r>
      <w:r>
        <w:rPr>
          <w:rFonts w:hint="eastAsia" w:ascii="仿宋_GB2312" w:hAnsi="宋体" w:eastAsia="仿宋_GB2312"/>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（九）项目支出：</w:t>
      </w:r>
      <w:r>
        <w:rPr>
          <w:rFonts w:hint="eastAsia" w:ascii="仿宋_GB2312" w:hAnsi="宋体" w:eastAsia="仿宋_GB2312"/>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（十）资本性支出（基本建设）：</w:t>
      </w:r>
      <w:r>
        <w:rPr>
          <w:rFonts w:hint="eastAsia" w:ascii="仿宋_GB2312" w:hAnsi="宋体" w:eastAsia="仿宋_GB2312"/>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（十一）资本性支出：</w:t>
      </w:r>
      <w:r>
        <w:rPr>
          <w:rFonts w:hint="eastAsia" w:ascii="仿宋_GB2312" w:hAnsi="宋体" w:eastAsia="仿宋_GB2312"/>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（十二）“三公”经费：</w:t>
      </w:r>
      <w:r>
        <w:rPr>
          <w:rFonts w:hint="eastAsia" w:ascii="仿宋_GB2312" w:hAnsi="宋体" w:eastAsia="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（十三）其他交通费用：</w:t>
      </w:r>
      <w:r>
        <w:rPr>
          <w:rFonts w:hint="eastAsia" w:ascii="仿宋_GB2312" w:hAnsi="宋体" w:eastAsia="仿宋_GB2312"/>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（十四）公务用车购置：</w:t>
      </w:r>
      <w:r>
        <w:rPr>
          <w:rFonts w:hint="eastAsia" w:ascii="仿宋_GB2312" w:hAnsi="宋体" w:eastAsia="仿宋_GB2312"/>
          <w:color w:val="000000"/>
          <w:kern w:val="0"/>
          <w:sz w:val="32"/>
          <w:szCs w:val="32"/>
        </w:rPr>
        <w:t>填列单位公务用车购置支出（含车辆购置税、牌照费）。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（十五）其他交通工具购置：</w:t>
      </w:r>
      <w:r>
        <w:rPr>
          <w:rFonts w:hint="eastAsia" w:ascii="仿宋_GB2312" w:hAnsi="宋体" w:eastAsia="仿宋_GB2312"/>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（十六）机关运行经费：</w:t>
      </w:r>
      <w:r>
        <w:rPr>
          <w:rFonts w:hint="eastAsia" w:ascii="仿宋_GB2312" w:hAnsi="宋体" w:eastAsia="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sectPr>
          <w:pgSz w:w="11906" w:h="16838"/>
          <w:pgMar w:top="2098" w:right="1474" w:bottom="1985" w:left="1588" w:header="851" w:footer="992" w:gutter="0"/>
          <w:cols w:space="720" w:num="1"/>
          <w:docGrid w:type="lines" w:linePitch="312" w:charSpace="0"/>
        </w:sectPr>
      </w:pPr>
      <w:r>
        <w:rPr>
          <w:rFonts w:hint="eastAsia" w:ascii="仿宋_GB2312" w:hAnsi="宋体" w:eastAsia="仿宋_GB2312"/>
          <w:b/>
          <w:bCs/>
          <w:color w:val="000000"/>
          <w:kern w:val="0"/>
          <w:sz w:val="32"/>
          <w:szCs w:val="32"/>
        </w:rPr>
        <w:t>（十七）经费形式:</w:t>
      </w:r>
      <w:r>
        <w:rPr>
          <w:rFonts w:hint="eastAsia" w:ascii="仿宋_GB2312" w:hAnsi="宋体" w:eastAsia="仿宋_GB2312"/>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Pr>
        <w:widowControl/>
        <w:spacing w:after="0" w:line="560" w:lineRule="exact"/>
        <w:rPr>
          <w:rFonts w:ascii="仿宋_GB2312" w:hAnsi="Cambria" w:eastAsia="仿宋_GB2312" w:cs="ArialUnicodeMS"/>
          <w:kern w:val="0"/>
          <w:sz w:val="32"/>
          <w:szCs w:val="32"/>
        </w:rPr>
      </w:pPr>
    </w:p>
    <w:sectPr>
      <w:pgSz w:w="11906" w:h="16838"/>
      <w:pgMar w:top="2098" w:right="1474" w:bottom="1985" w:left="1588"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00" w:usb3="00000000" w:csb0="00000000" w:csb1="00000000"/>
  </w:font>
  <w:font w:name="仿宋_GB2312">
    <w:altName w:val="仿宋"/>
    <w:panose1 w:val="00000000000000000000"/>
    <w:charset w:val="86"/>
    <w:family w:val="modern"/>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
    <w:altName w:val="Times New Roman"/>
    <w:panose1 w:val="00000000000000000000"/>
    <w:charset w:val="00"/>
    <w:family w:val="auto"/>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NotTrackMoves/>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D7505"/>
    <w:rsid w:val="0008694B"/>
    <w:rsid w:val="0009183F"/>
    <w:rsid w:val="000A31F4"/>
    <w:rsid w:val="00120B5A"/>
    <w:rsid w:val="001E4D0A"/>
    <w:rsid w:val="00372013"/>
    <w:rsid w:val="00437FAF"/>
    <w:rsid w:val="00440431"/>
    <w:rsid w:val="00485C61"/>
    <w:rsid w:val="004A59DD"/>
    <w:rsid w:val="004C3354"/>
    <w:rsid w:val="004C38FA"/>
    <w:rsid w:val="004D7505"/>
    <w:rsid w:val="004E43B2"/>
    <w:rsid w:val="00500205"/>
    <w:rsid w:val="005720C7"/>
    <w:rsid w:val="00606FB3"/>
    <w:rsid w:val="00627D86"/>
    <w:rsid w:val="006314DC"/>
    <w:rsid w:val="006A23D4"/>
    <w:rsid w:val="006D76A9"/>
    <w:rsid w:val="006F08AA"/>
    <w:rsid w:val="00711BD1"/>
    <w:rsid w:val="00774032"/>
    <w:rsid w:val="007D6225"/>
    <w:rsid w:val="007F0C34"/>
    <w:rsid w:val="008E2A21"/>
    <w:rsid w:val="0093310F"/>
    <w:rsid w:val="00947CDD"/>
    <w:rsid w:val="009840A1"/>
    <w:rsid w:val="009D329F"/>
    <w:rsid w:val="00A6042C"/>
    <w:rsid w:val="00AF507F"/>
    <w:rsid w:val="00B022F0"/>
    <w:rsid w:val="00B06963"/>
    <w:rsid w:val="00B13856"/>
    <w:rsid w:val="00C13C9E"/>
    <w:rsid w:val="00C16682"/>
    <w:rsid w:val="00C35B6A"/>
    <w:rsid w:val="00D01D2B"/>
    <w:rsid w:val="00D90083"/>
    <w:rsid w:val="00DE3EF7"/>
    <w:rsid w:val="00E06273"/>
    <w:rsid w:val="00E3161C"/>
    <w:rsid w:val="00E534D9"/>
    <w:rsid w:val="00F074AA"/>
    <w:rsid w:val="04676D8C"/>
    <w:rsid w:val="04921896"/>
    <w:rsid w:val="0F1B70C9"/>
    <w:rsid w:val="24ED76A1"/>
    <w:rsid w:val="26500F1A"/>
    <w:rsid w:val="27556F66"/>
    <w:rsid w:val="2D100755"/>
    <w:rsid w:val="2F257ECC"/>
    <w:rsid w:val="355E642C"/>
    <w:rsid w:val="42667671"/>
    <w:rsid w:val="76384B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unhideWhenUsed="0" w:uiPriority="0" w:semiHidden="0" w:name="heading 2"/>
    <w:lsdException w:qFormat="1" w:unhideWhenUsed="0" w:uiPriority="0" w:semiHidden="0" w:name="heading 3"/>
    <w:lsdException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unhideWhenUsed="0" w:uiPriority="0"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uiPriority w:val="0"/>
    <w:pPr>
      <w:keepNext/>
      <w:keepLines/>
      <w:spacing w:before="340" w:after="330" w:line="578" w:lineRule="auto"/>
      <w:outlineLvl w:val="0"/>
    </w:pPr>
    <w:rPr>
      <w:b/>
      <w:bCs/>
      <w:kern w:val="44"/>
      <w:sz w:val="44"/>
      <w:szCs w:val="44"/>
    </w:rPr>
  </w:style>
  <w:style w:type="paragraph" w:styleId="3">
    <w:name w:val="heading 2"/>
    <w:basedOn w:val="1"/>
    <w:next w:val="1"/>
    <w:link w:val="13"/>
    <w:uiPriority w:val="0"/>
    <w:pPr>
      <w:keepNext/>
      <w:keepLines/>
      <w:spacing w:before="260" w:after="260" w:line="416" w:lineRule="auto"/>
      <w:outlineLvl w:val="1"/>
    </w:pPr>
    <w:rPr>
      <w:rFonts w:ascii="Calibri" w:hAnsi="Calibri" w:cs="黑体"/>
      <w:b/>
      <w:bCs/>
      <w:sz w:val="32"/>
      <w:szCs w:val="32"/>
    </w:rPr>
  </w:style>
  <w:style w:type="paragraph" w:styleId="4">
    <w:name w:val="heading 3"/>
    <w:basedOn w:val="1"/>
    <w:next w:val="1"/>
    <w:link w:val="14"/>
    <w:qFormat/>
    <w:uiPriority w:val="0"/>
    <w:pPr>
      <w:keepNext/>
      <w:keepLines/>
      <w:spacing w:before="260" w:after="260" w:line="416" w:lineRule="auto"/>
      <w:outlineLvl w:val="2"/>
    </w:pPr>
    <w:rPr>
      <w:b/>
      <w:bCs/>
      <w:sz w:val="32"/>
      <w:szCs w:val="32"/>
    </w:rPr>
  </w:style>
  <w:style w:type="paragraph" w:styleId="5">
    <w:name w:val="heading 4"/>
    <w:basedOn w:val="1"/>
    <w:next w:val="1"/>
    <w:link w:val="15"/>
    <w:uiPriority w:val="0"/>
    <w:pPr>
      <w:keepNext/>
      <w:keepLines/>
      <w:spacing w:before="280" w:after="290" w:line="376" w:lineRule="auto"/>
      <w:outlineLvl w:val="3"/>
    </w:pPr>
    <w:rPr>
      <w:rFonts w:ascii="Calibri" w:hAnsi="Calibri" w:cs="黑体"/>
      <w:b/>
      <w:bCs/>
      <w:sz w:val="28"/>
      <w:szCs w:val="28"/>
    </w:rPr>
  </w:style>
  <w:style w:type="character" w:default="1" w:styleId="11">
    <w:name w:val="Default Paragraph Font"/>
    <w:semiHidden/>
    <w:unhideWhenUsed/>
    <w:uiPriority w:val="1"/>
  </w:style>
  <w:style w:type="table" w:default="1" w:styleId="10">
    <w:name w:val="Normal Table"/>
    <w:semiHidden/>
    <w:unhideWhenUsed/>
    <w:uiPriority w:val="99"/>
    <w:tblPr>
      <w:tblCellMar>
        <w:top w:w="0" w:type="dxa"/>
        <w:left w:w="108" w:type="dxa"/>
        <w:bottom w:w="0" w:type="dxa"/>
        <w:right w:w="108" w:type="dxa"/>
      </w:tblCellMar>
    </w:tblPr>
  </w:style>
  <w:style w:type="paragraph" w:styleId="6">
    <w:name w:val="footer"/>
    <w:basedOn w:val="1"/>
    <w:link w:val="18"/>
    <w:qFormat/>
    <w:uiPriority w:val="0"/>
    <w:pPr>
      <w:tabs>
        <w:tab w:val="center" w:pos="4153"/>
        <w:tab w:val="right" w:pos="8306"/>
      </w:tabs>
      <w:snapToGrid w:val="0"/>
      <w:jc w:val="left"/>
    </w:pPr>
    <w:rPr>
      <w:sz w:val="18"/>
      <w:szCs w:val="18"/>
    </w:rPr>
  </w:style>
  <w:style w:type="paragraph" w:styleId="7">
    <w:name w:val="header"/>
    <w:basedOn w:val="1"/>
    <w:link w:val="19"/>
    <w:qFormat/>
    <w:uiPriority w:val="0"/>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20"/>
    <w:uiPriority w:val="0"/>
    <w:pPr>
      <w:widowControl/>
      <w:spacing w:after="200" w:line="276" w:lineRule="auto"/>
      <w:jc w:val="left"/>
    </w:pPr>
    <w:rPr>
      <w:rFonts w:ascii="Calibri" w:hAnsi="Calibri" w:cs="黑体"/>
      <w:i/>
      <w:iCs/>
      <w:color w:val="F0A22E"/>
      <w:spacing w:val="15"/>
      <w:kern w:val="0"/>
      <w:sz w:val="24"/>
    </w:rPr>
  </w:style>
  <w:style w:type="paragraph" w:styleId="9">
    <w:name w:val="Title"/>
    <w:basedOn w:val="1"/>
    <w:next w:val="1"/>
    <w:link w:val="21"/>
    <w:qFormat/>
    <w:uiPriority w:val="0"/>
    <w:pPr>
      <w:widowControl/>
      <w:pBdr>
        <w:bottom w:val="single" w:color="F0A22E" w:sz="8" w:space="4"/>
      </w:pBdr>
      <w:spacing w:after="300"/>
      <w:contextualSpacing/>
      <w:jc w:val="left"/>
    </w:pPr>
    <w:rPr>
      <w:rFonts w:ascii="Calibri" w:hAnsi="Calibri" w:cs="黑体"/>
      <w:color w:val="392B23"/>
      <w:spacing w:val="5"/>
      <w:kern w:val="28"/>
      <w:sz w:val="52"/>
      <w:szCs w:val="52"/>
    </w:rPr>
  </w:style>
  <w:style w:type="character" w:customStyle="1" w:styleId="12">
    <w:name w:val="标题 1 Char"/>
    <w:basedOn w:val="11"/>
    <w:link w:val="2"/>
    <w:semiHidden/>
    <w:qFormat/>
    <w:uiPriority w:val="0"/>
    <w:rPr>
      <w:rFonts w:ascii="Times New Roman" w:hAnsi="Times New Roman" w:eastAsia="宋体" w:cs="Times New Roman"/>
      <w:b/>
      <w:bCs/>
      <w:kern w:val="44"/>
      <w:sz w:val="44"/>
      <w:szCs w:val="44"/>
    </w:rPr>
  </w:style>
  <w:style w:type="character" w:customStyle="1" w:styleId="13">
    <w:name w:val="标题 2 Char"/>
    <w:basedOn w:val="11"/>
    <w:link w:val="3"/>
    <w:semiHidden/>
    <w:qFormat/>
    <w:uiPriority w:val="0"/>
    <w:rPr>
      <w:rFonts w:ascii="Calibri" w:hAnsi="Calibri" w:eastAsia="宋体" w:cs="黑体"/>
      <w:b/>
      <w:bCs/>
      <w:sz w:val="32"/>
      <w:szCs w:val="32"/>
    </w:rPr>
  </w:style>
  <w:style w:type="character" w:customStyle="1" w:styleId="14">
    <w:name w:val="标题 3 Char"/>
    <w:basedOn w:val="11"/>
    <w:link w:val="4"/>
    <w:semiHidden/>
    <w:qFormat/>
    <w:uiPriority w:val="0"/>
    <w:rPr>
      <w:rFonts w:ascii="Times New Roman" w:hAnsi="Times New Roman" w:eastAsia="宋体" w:cs="Times New Roman"/>
      <w:b/>
      <w:bCs/>
      <w:sz w:val="32"/>
      <w:szCs w:val="32"/>
    </w:rPr>
  </w:style>
  <w:style w:type="character" w:customStyle="1" w:styleId="15">
    <w:name w:val="标题 4 Char"/>
    <w:basedOn w:val="11"/>
    <w:link w:val="5"/>
    <w:semiHidden/>
    <w:qFormat/>
    <w:uiPriority w:val="0"/>
    <w:rPr>
      <w:rFonts w:ascii="Calibri" w:hAnsi="Calibri" w:eastAsia="宋体" w:cs="黑体"/>
      <w:b/>
      <w:bCs/>
      <w:sz w:val="28"/>
      <w:szCs w:val="28"/>
    </w:rPr>
  </w:style>
  <w:style w:type="character" w:customStyle="1" w:styleId="16">
    <w:name w:val="日期 Char"/>
    <w:basedOn w:val="11"/>
    <w:link w:val="17"/>
    <w:semiHidden/>
    <w:qFormat/>
    <w:uiPriority w:val="0"/>
    <w:rPr>
      <w:rFonts w:ascii="Times New Roman" w:hAnsi="Times New Roman" w:eastAsia="宋体" w:cs="Times New Roman"/>
      <w:szCs w:val="24"/>
    </w:rPr>
  </w:style>
  <w:style w:type="paragraph" w:customStyle="1" w:styleId="17">
    <w:name w:val="日期1"/>
    <w:basedOn w:val="1"/>
    <w:next w:val="1"/>
    <w:link w:val="16"/>
    <w:qFormat/>
    <w:uiPriority w:val="0"/>
    <w:pPr>
      <w:ind w:left="100" w:leftChars="2500"/>
    </w:pPr>
  </w:style>
  <w:style w:type="character" w:customStyle="1" w:styleId="18">
    <w:name w:val="页脚 Char"/>
    <w:basedOn w:val="11"/>
    <w:link w:val="6"/>
    <w:semiHidden/>
    <w:qFormat/>
    <w:uiPriority w:val="0"/>
    <w:rPr>
      <w:sz w:val="18"/>
      <w:szCs w:val="18"/>
    </w:rPr>
  </w:style>
  <w:style w:type="character" w:customStyle="1" w:styleId="19">
    <w:name w:val="页眉 Char"/>
    <w:basedOn w:val="11"/>
    <w:link w:val="7"/>
    <w:semiHidden/>
    <w:qFormat/>
    <w:uiPriority w:val="0"/>
    <w:rPr>
      <w:sz w:val="18"/>
      <w:szCs w:val="18"/>
    </w:rPr>
  </w:style>
  <w:style w:type="character" w:customStyle="1" w:styleId="20">
    <w:name w:val="副标题 Char"/>
    <w:basedOn w:val="11"/>
    <w:link w:val="8"/>
    <w:semiHidden/>
    <w:uiPriority w:val="0"/>
    <w:rPr>
      <w:rFonts w:ascii="Calibri" w:hAnsi="Calibri" w:eastAsia="宋体" w:cs="黑体"/>
      <w:i/>
      <w:iCs/>
      <w:color w:val="F0A22E"/>
      <w:spacing w:val="15"/>
      <w:kern w:val="0"/>
      <w:sz w:val="24"/>
      <w:szCs w:val="24"/>
    </w:rPr>
  </w:style>
  <w:style w:type="character" w:customStyle="1" w:styleId="21">
    <w:name w:val="标题 Char"/>
    <w:basedOn w:val="11"/>
    <w:link w:val="9"/>
    <w:semiHidden/>
    <w:uiPriority w:val="0"/>
    <w:rPr>
      <w:rFonts w:ascii="Calibri" w:hAnsi="Calibri" w:eastAsia="宋体" w:cs="黑体"/>
      <w:color w:val="392B23"/>
      <w:spacing w:val="5"/>
      <w:kern w:val="28"/>
      <w:sz w:val="52"/>
      <w:szCs w:val="52"/>
    </w:rPr>
  </w:style>
  <w:style w:type="paragraph" w:customStyle="1" w:styleId="22">
    <w:name w:val="批注框文本 Char Char"/>
    <w:basedOn w:val="1"/>
    <w:link w:val="25"/>
    <w:qFormat/>
    <w:uiPriority w:val="0"/>
    <w:rPr>
      <w:sz w:val="18"/>
      <w:szCs w:val="18"/>
    </w:rPr>
  </w:style>
  <w:style w:type="paragraph" w:customStyle="1" w:styleId="23">
    <w:name w:val="无间隔1"/>
    <w:link w:val="26"/>
    <w:qFormat/>
    <w:uiPriority w:val="0"/>
    <w:pPr>
      <w:spacing w:after="160" w:line="480" w:lineRule="auto"/>
    </w:pPr>
    <w:rPr>
      <w:rFonts w:ascii="Times New Roman" w:hAnsi="Times New Roman" w:eastAsia="宋体" w:cs="Times New Roman"/>
      <w:sz w:val="22"/>
      <w:lang w:val="en-US" w:eastAsia="zh-CN" w:bidi="ar-SA"/>
    </w:rPr>
  </w:style>
  <w:style w:type="paragraph" w:customStyle="1" w:styleId="24">
    <w:name w:val="列出段落1"/>
    <w:basedOn w:val="1"/>
    <w:qFormat/>
    <w:uiPriority w:val="0"/>
    <w:pPr>
      <w:ind w:firstLine="420" w:firstLineChars="200"/>
    </w:pPr>
  </w:style>
  <w:style w:type="character" w:customStyle="1" w:styleId="25">
    <w:name w:val="批注框文本 Char Char Char Char"/>
    <w:basedOn w:val="11"/>
    <w:link w:val="22"/>
    <w:semiHidden/>
    <w:uiPriority w:val="0"/>
    <w:rPr>
      <w:rFonts w:ascii="Times New Roman" w:hAnsi="Times New Roman" w:eastAsia="宋体" w:cs="Times New Roman"/>
      <w:sz w:val="18"/>
      <w:szCs w:val="18"/>
    </w:rPr>
  </w:style>
  <w:style w:type="character" w:customStyle="1" w:styleId="26">
    <w:name w:val="无间隔 Char"/>
    <w:basedOn w:val="11"/>
    <w:link w:val="23"/>
    <w:qFormat/>
    <w:uiPriority w:val="0"/>
    <w:rPr>
      <w:sz w:val="22"/>
      <w:lang w:val="en-US" w:eastAsia="zh-CN" w:bidi="ar-SA"/>
    </w:rPr>
  </w:style>
  <w:style w:type="character" w:customStyle="1" w:styleId="27">
    <w:name w:val="Style1"/>
    <w:basedOn w:val="11"/>
    <w:qFormat/>
    <w:uiPriority w:val="0"/>
    <w:rPr>
      <w:rFonts w:ascii="Cambria" w:hAnsi="黑体" w:eastAsia="黑体" w:cs="黑体"/>
      <w:sz w:val="22"/>
      <w:szCs w:val="22"/>
      <w:lang w:eastAsia="zh-CN"/>
    </w:rPr>
  </w:style>
  <w:style w:type="character" w:customStyle="1" w:styleId="28">
    <w:name w:val="Style2"/>
    <w:basedOn w:val="11"/>
    <w:qFormat/>
    <w:uiPriority w:val="0"/>
    <w:rPr>
      <w:rFonts w:ascii="Cambria" w:hAnsi="黑体" w:eastAsia="黑体" w:cs="黑体"/>
      <w:sz w:val="22"/>
      <w:szCs w:val="22"/>
      <w:lang w:eastAsia="zh-CN"/>
    </w:rPr>
  </w:style>
  <w:style w:type="character" w:customStyle="1" w:styleId="29">
    <w:name w:val="Style3"/>
    <w:basedOn w:val="11"/>
    <w:qFormat/>
    <w:uiPriority w:val="0"/>
    <w:rPr>
      <w:rFonts w:ascii="Cambria" w:hAnsi="黑体" w:eastAsia="黑体" w:cs="黑体"/>
      <w:szCs w:val="22"/>
      <w:lang w:eastAsia="zh-CN"/>
    </w:rPr>
  </w:style>
  <w:style w:type="character" w:customStyle="1" w:styleId="30">
    <w:name w:val="Style4"/>
    <w:basedOn w:val="11"/>
    <w:qFormat/>
    <w:uiPriority w:val="0"/>
    <w:rPr>
      <w:rFonts w:ascii="Cambria" w:hAnsi="黑体" w:eastAsia="黑体" w:cs="黑体"/>
      <w:szCs w:val="22"/>
      <w:lang w:eastAsia="zh-CN"/>
    </w:rPr>
  </w:style>
  <w:style w:type="character" w:customStyle="1" w:styleId="31">
    <w:name w:val="Style5"/>
    <w:basedOn w:val="11"/>
    <w:qFormat/>
    <w:uiPriority w:val="0"/>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jpeg"/><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41"/>
    <customShpInfo spid="_x0000_s1031"/>
    <customShpInfo spid="_x0000_s1026"/>
    <customShpInfo spid="_x0000_s1035"/>
    <customShpInfo spid="_x0000_s1027"/>
    <customShpInfo spid="_x0000_s1032"/>
    <customShpInfo spid="_x0000_s1028"/>
    <customShpInfo spid="_x0000_s1033"/>
    <customShpInfo spid="_x0000_s1029"/>
    <customShpInfo spid="_x0000_s1034"/>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32</Pages>
  <Words>1549</Words>
  <Characters>8834</Characters>
  <Lines>73</Lines>
  <Paragraphs>20</Paragraphs>
  <TotalTime>8</TotalTime>
  <ScaleCrop>false</ScaleCrop>
  <LinksUpToDate>false</LinksUpToDate>
  <CharactersWithSpaces>10363</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2019-08-30T16:40:00Z</dcterms:created>
  <dc:creator>User</dc:creator>
  <cp:lastModifiedBy>浮生</cp:lastModifiedBy>
  <cp:lastPrinted>2019-08-04T09:01:00Z</cp:lastPrinted>
  <dcterms:modified xsi:type="dcterms:W3CDTF">2025-04-22T07:02:38Z</dcterms:modified>
  <dc:subject>石家庄市xxx部门</dc:subject>
  <dc:title>2017年度部门决算</dc:title>
  <cp:revision>40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4FDDC48024D040199049F55C9416E770</vt:lpwstr>
  </property>
</Properties>
</file>