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hint="eastAsia" w:ascii="宋体" w:hAnsi="宋体" w:cs="宋体"/>
          <w:b/>
          <w:sz w:val="72"/>
          <w:szCs w:val="72"/>
        </w:rPr>
      </w:pPr>
    </w:p>
    <w:p>
      <w:pPr>
        <w:widowControl/>
        <w:jc w:val="center"/>
        <w:rPr>
          <w:rFonts w:hint="eastAsia" w:ascii="仿宋" w:hAnsi="仿宋" w:eastAsia="仿宋" w:cs="仿宋"/>
          <w:b/>
          <w:sz w:val="72"/>
          <w:szCs w:val="72"/>
        </w:rPr>
      </w:pPr>
    </w:p>
    <w:p>
      <w:pPr>
        <w:widowControl/>
        <w:jc w:val="center"/>
        <w:rPr>
          <w:rFonts w:ascii="宋体" w:hAnsi="宋体" w:cs="宋体"/>
          <w:sz w:val="72"/>
          <w:szCs w:val="72"/>
        </w:rPr>
      </w:pPr>
    </w:p>
    <w:p>
      <w:pPr>
        <w:spacing w:line="240" w:lineRule="auto"/>
        <w:jc w:val="center"/>
        <w:rPr>
          <w:rFonts w:ascii="宋体" w:hAnsi="宋体" w:cs="宋体"/>
          <w:b/>
          <w:sz w:val="72"/>
          <w:szCs w:val="72"/>
        </w:rPr>
      </w:pPr>
    </w:p>
    <w:p>
      <w:pPr>
        <w:spacing w:line="240" w:lineRule="auto"/>
        <w:jc w:val="center"/>
        <w:rPr>
          <w:rFonts w:ascii="宋体" w:hAnsi="宋体" w:cs="宋体"/>
          <w:b/>
          <w:sz w:val="72"/>
          <w:szCs w:val="72"/>
        </w:rPr>
      </w:pPr>
      <w:r>
        <w:rPr>
          <w:rFonts w:hint="eastAsia" w:ascii="宋体" w:hAnsi="宋体" w:cs="宋体"/>
          <w:b/>
          <w:sz w:val="72"/>
          <w:szCs w:val="72"/>
        </w:rPr>
        <w:t>2017年度部门决算</w:t>
      </w:r>
      <w:r>
        <w:rPr>
          <w:rFonts w:hint="eastAsia" w:ascii="宋体" w:hAnsi="宋体" w:cs="宋体"/>
          <w:b/>
          <w:sz w:val="72"/>
          <w:szCs w:val="72"/>
          <w:lang w:val="en-US" w:eastAsia="zh-CN"/>
        </w:rPr>
        <w:t>公开</w:t>
      </w:r>
    </w:p>
    <w:p>
      <w:pPr>
        <w:widowControl/>
        <w:jc w:val="center"/>
        <w:rPr>
          <w:rFonts w:ascii="宋体" w:hAnsi="宋体" w:cs="宋体"/>
          <w:b/>
          <w:sz w:val="72"/>
          <w:szCs w:val="72"/>
        </w:rPr>
      </w:pPr>
    </w:p>
    <w:p>
      <w:pPr>
        <w:widowControl/>
        <w:jc w:val="center"/>
        <w:rPr>
          <w:rFonts w:ascii="宋体" w:hAnsi="宋体" w:cs="宋体"/>
          <w:b/>
          <w:sz w:val="72"/>
          <w:szCs w:val="72"/>
        </w:rPr>
      </w:pPr>
    </w:p>
    <w:p>
      <w:pPr>
        <w:widowControl/>
        <w:jc w:val="center"/>
        <w:rPr>
          <w:rFonts w:ascii="宋体" w:hAnsi="宋体" w:cs="宋体"/>
          <w:b/>
          <w:sz w:val="72"/>
          <w:szCs w:val="72"/>
        </w:rPr>
      </w:pPr>
    </w:p>
    <w:p>
      <w:pPr>
        <w:widowControl/>
        <w:jc w:val="center"/>
        <w:rPr>
          <w:rFonts w:ascii="宋体" w:hAnsi="宋体" w:cs="宋体"/>
          <w:b/>
          <w:sz w:val="72"/>
          <w:szCs w:val="72"/>
        </w:rPr>
      </w:pPr>
    </w:p>
    <w:p>
      <w:pPr>
        <w:widowControl/>
        <w:jc w:val="center"/>
        <w:rPr>
          <w:rFonts w:ascii="宋体" w:hAnsi="宋体" w:cs="宋体"/>
          <w:b/>
          <w:sz w:val="72"/>
          <w:szCs w:val="72"/>
        </w:rPr>
      </w:pPr>
    </w:p>
    <w:p>
      <w:pPr>
        <w:pStyle w:val="23"/>
        <w:ind w:left="360" w:firstLine="0" w:firstLineChars="0"/>
        <w:jc w:val="center"/>
        <w:rPr>
          <w:rFonts w:ascii="宋体" w:hAnsi="宋体" w:cs="宋体"/>
          <w:b/>
          <w:sz w:val="44"/>
          <w:szCs w:val="44"/>
        </w:rPr>
      </w:pPr>
      <w:r>
        <w:rPr>
          <w:rFonts w:hint="eastAsia" w:ascii="宋体" w:hAnsi="宋体" w:cs="宋体"/>
          <w:b/>
          <w:sz w:val="44"/>
          <w:szCs w:val="44"/>
        </w:rPr>
        <w:t>无极县南流乡人民政府</w:t>
      </w:r>
    </w:p>
    <w:p>
      <w:pPr>
        <w:pStyle w:val="23"/>
        <w:ind w:left="360" w:firstLine="0" w:firstLineChars="0"/>
        <w:jc w:val="center"/>
        <w:rPr>
          <w:rFonts w:ascii="宋体" w:hAnsi="宋体" w:cs="宋体"/>
          <w:b/>
          <w:sz w:val="44"/>
          <w:szCs w:val="44"/>
        </w:rPr>
      </w:pPr>
      <w:r>
        <w:rPr>
          <w:rFonts w:hint="eastAsia" w:ascii="宋体" w:hAnsi="宋体" w:cs="宋体"/>
          <w:b/>
          <w:sz w:val="44"/>
          <w:szCs w:val="44"/>
        </w:rPr>
        <w:t>2018年9月30日</w:t>
      </w:r>
    </w:p>
    <w:p>
      <w:pPr>
        <w:widowControl/>
        <w:spacing w:line="580" w:lineRule="exact"/>
        <w:jc w:val="center"/>
        <w:rPr>
          <w:rFonts w:ascii="宋体" w:hAnsi="宋体" w:cs="宋体"/>
          <w:sz w:val="44"/>
          <w:szCs w:val="44"/>
        </w:rPr>
      </w:pPr>
    </w:p>
    <w:p>
      <w:pPr>
        <w:widowControl/>
        <w:spacing w:line="580" w:lineRule="exact"/>
        <w:ind w:firstLine="883" w:firstLineChars="200"/>
        <w:jc w:val="center"/>
        <w:rPr>
          <w:rFonts w:ascii="宋体" w:hAnsi="宋体" w:cs="宋体"/>
          <w:b/>
          <w:bCs/>
          <w:sz w:val="44"/>
          <w:szCs w:val="44"/>
        </w:rPr>
      </w:pPr>
      <w:r>
        <w:rPr>
          <w:rFonts w:hint="eastAsia" w:ascii="宋体" w:hAnsi="宋体" w:cs="宋体"/>
          <w:b/>
          <w:bCs/>
          <w:sz w:val="44"/>
          <w:szCs w:val="44"/>
        </w:rPr>
        <w:t>2017年度部门决算公开目录</w:t>
      </w:r>
    </w:p>
    <w:p>
      <w:pPr>
        <w:widowControl/>
        <w:spacing w:line="580" w:lineRule="exact"/>
        <w:ind w:firstLine="883" w:firstLineChars="200"/>
        <w:rPr>
          <w:rFonts w:ascii="宋体" w:hAnsi="宋体" w:cs="宋体"/>
          <w:b/>
          <w:bCs/>
          <w:sz w:val="44"/>
          <w:szCs w:val="44"/>
        </w:rPr>
      </w:pPr>
    </w:p>
    <w:p>
      <w:pPr>
        <w:widowControl/>
        <w:spacing w:line="580" w:lineRule="exact"/>
        <w:ind w:firstLine="643" w:firstLineChars="200"/>
        <w:rPr>
          <w:rFonts w:ascii="宋体" w:hAnsi="宋体" w:cs="宋体"/>
          <w:b/>
          <w:bCs/>
          <w:sz w:val="32"/>
          <w:szCs w:val="32"/>
        </w:rPr>
      </w:pPr>
      <w:r>
        <w:rPr>
          <w:rFonts w:hint="eastAsia" w:ascii="宋体" w:hAnsi="宋体" w:cs="宋体"/>
          <w:b/>
          <w:bCs/>
          <w:sz w:val="32"/>
          <w:szCs w:val="32"/>
        </w:rPr>
        <w:t>第一部分  概况</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一、部门主要职责</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二、部门决算单位构成</w:t>
      </w:r>
    </w:p>
    <w:p>
      <w:pPr>
        <w:widowControl/>
        <w:spacing w:line="580" w:lineRule="exact"/>
        <w:ind w:firstLine="643" w:firstLineChars="200"/>
        <w:rPr>
          <w:rFonts w:ascii="宋体" w:hAnsi="宋体" w:cs="宋体"/>
          <w:b/>
          <w:bCs/>
          <w:sz w:val="32"/>
          <w:szCs w:val="32"/>
        </w:rPr>
      </w:pPr>
      <w:r>
        <w:rPr>
          <w:rFonts w:hint="eastAsia" w:ascii="宋体" w:hAnsi="宋体" w:cs="宋体"/>
          <w:b/>
          <w:bCs/>
          <w:sz w:val="32"/>
          <w:szCs w:val="32"/>
        </w:rPr>
        <w:t>第二部分  南流乡2017年度部门决算报表</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一、收入支出决算总表</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二、收入决算表</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 xml:space="preserve">三、支出决算表 </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四、财政拨款收入支出决算总表</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五、一般公共预算财政拨款支出决算表</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六、一般公共预算财政拨款基本支出决算表</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 xml:space="preserve">七、政府性基金预算财政拨款收入支出决算表 </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八、国有资本经营预算财政拨款收入支出决算表</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九、“三公”经费及相关信息统计表</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十、政府采购情况表</w:t>
      </w:r>
    </w:p>
    <w:p>
      <w:pPr>
        <w:widowControl/>
        <w:spacing w:line="580" w:lineRule="exact"/>
        <w:ind w:firstLine="640" w:firstLineChars="200"/>
        <w:rPr>
          <w:rFonts w:ascii="宋体" w:hAnsi="宋体" w:cs="宋体"/>
          <w:b/>
          <w:bCs/>
          <w:sz w:val="32"/>
          <w:szCs w:val="32"/>
        </w:rPr>
      </w:pPr>
      <w:r>
        <w:rPr>
          <w:rFonts w:hint="eastAsia" w:ascii="宋体" w:hAnsi="宋体" w:cs="宋体"/>
          <w:sz w:val="32"/>
          <w:szCs w:val="32"/>
        </w:rPr>
        <w:t>第</w:t>
      </w:r>
      <w:r>
        <w:rPr>
          <w:rFonts w:hint="eastAsia" w:ascii="宋体" w:hAnsi="宋体" w:cs="宋体"/>
          <w:b/>
          <w:bCs/>
          <w:sz w:val="32"/>
          <w:szCs w:val="32"/>
        </w:rPr>
        <w:t>三部分 南流乡部门2017年部门决算情况说明</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一、收入支出决算总体情况说明</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二、收入决算情况说明</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三、支出决算情况说明</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四、财政拨款收入支出决算总体情况说明</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五、“三公”经费支出决算情况说明</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六、预算绩效管理工作开展情况说明</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七、其他重要事项的说明</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1.机关运行经费情况</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2.政府采购情况</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3.国有资产占用情况</w:t>
      </w:r>
    </w:p>
    <w:p>
      <w:pPr>
        <w:widowControl/>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4.其他需要说明的情况</w:t>
      </w:r>
    </w:p>
    <w:p>
      <w:pPr>
        <w:widowControl/>
        <w:spacing w:line="580" w:lineRule="exact"/>
        <w:ind w:firstLine="640" w:firstLineChars="200"/>
        <w:rPr>
          <w:rFonts w:hint="eastAsia" w:ascii="仿宋" w:hAnsi="仿宋" w:eastAsia="仿宋" w:cs="仿宋"/>
          <w:b w:val="0"/>
          <w:bCs w:val="0"/>
          <w:sz w:val="32"/>
          <w:szCs w:val="32"/>
        </w:rPr>
      </w:pPr>
    </w:p>
    <w:p>
      <w:pPr>
        <w:widowControl/>
        <w:spacing w:line="580" w:lineRule="exact"/>
        <w:ind w:firstLine="643" w:firstLineChars="200"/>
        <w:rPr>
          <w:rFonts w:ascii="宋体" w:hAnsi="宋体" w:cs="宋体"/>
          <w:b/>
          <w:bCs/>
          <w:sz w:val="32"/>
          <w:szCs w:val="32"/>
        </w:rPr>
      </w:pPr>
      <w:r>
        <w:rPr>
          <w:rFonts w:hint="eastAsia" w:ascii="宋体" w:hAnsi="宋体" w:cs="宋体"/>
          <w:b/>
          <w:bCs/>
          <w:sz w:val="32"/>
          <w:szCs w:val="32"/>
        </w:rPr>
        <w:t>第四部分名词解释</w:t>
      </w:r>
    </w:p>
    <w:p>
      <w:pPr>
        <w:spacing w:line="580" w:lineRule="exact"/>
        <w:rPr>
          <w:rFonts w:ascii="宋体" w:hAnsi="宋体" w:cs="宋体"/>
          <w:b/>
          <w:bCs/>
          <w:sz w:val="32"/>
          <w:szCs w:val="32"/>
        </w:rPr>
      </w:pPr>
    </w:p>
    <w:p>
      <w:pPr>
        <w:rPr>
          <w:rFonts w:ascii="宋体" w:hAnsi="宋体" w:cs="宋体"/>
          <w:sz w:val="32"/>
          <w:szCs w:val="32"/>
        </w:rPr>
      </w:pPr>
    </w:p>
    <w:p>
      <w:pPr>
        <w:rPr>
          <w:rFonts w:ascii="宋体" w:hAnsi="宋体" w:cs="宋体"/>
          <w:sz w:val="32"/>
          <w:szCs w:val="32"/>
        </w:rPr>
      </w:pPr>
    </w:p>
    <w:p>
      <w:pPr>
        <w:pStyle w:val="2"/>
        <w:spacing w:line="560" w:lineRule="exact"/>
        <w:jc w:val="both"/>
        <w:rPr>
          <w:rFonts w:ascii="宋体" w:hAnsi="宋体" w:cs="宋体"/>
          <w:color w:val="000000"/>
          <w:kern w:val="0"/>
          <w:sz w:val="44"/>
          <w:szCs w:val="44"/>
        </w:rPr>
      </w:pPr>
      <w:r>
        <w:rPr>
          <w:rFonts w:hint="eastAsia" w:ascii="宋体" w:hAnsi="宋体" w:cs="宋体"/>
          <w:color w:val="000000"/>
          <w:kern w:val="0"/>
          <w:sz w:val="44"/>
          <w:szCs w:val="44"/>
          <w:lang w:val="en-US" w:eastAsia="zh-CN"/>
        </w:rPr>
        <w:t xml:space="preserve">          </w:t>
      </w:r>
      <w:r>
        <w:rPr>
          <w:rFonts w:hint="eastAsia" w:ascii="宋体" w:hAnsi="宋体" w:cs="宋体"/>
          <w:color w:val="000000"/>
          <w:kern w:val="0"/>
          <w:sz w:val="44"/>
          <w:szCs w:val="44"/>
        </w:rPr>
        <w:t>第一部分 部门概况</w:t>
      </w:r>
    </w:p>
    <w:p>
      <w:pPr>
        <w:pStyle w:val="3"/>
        <w:spacing w:before="0" w:after="0" w:line="560" w:lineRule="exact"/>
        <w:ind w:firstLine="643" w:firstLineChars="200"/>
        <w:rPr>
          <w:rFonts w:ascii="宋体" w:hAnsi="宋体" w:eastAsia="宋体" w:cs="宋体"/>
          <w:kern w:val="0"/>
        </w:rPr>
      </w:pPr>
      <w:r>
        <w:rPr>
          <w:rFonts w:hint="eastAsia" w:ascii="宋体" w:hAnsi="宋体" w:eastAsia="宋体" w:cs="宋体"/>
          <w:kern w:val="0"/>
        </w:rPr>
        <w:t>一、部门职责</w:t>
      </w:r>
    </w:p>
    <w:p>
      <w:pPr>
        <w:ind w:firstLine="832" w:firstLineChars="260"/>
        <w:jc w:val="left"/>
        <w:outlineLvl w:val="0"/>
        <w:rPr>
          <w:rFonts w:hint="eastAsia" w:ascii="仿宋" w:hAnsi="仿宋" w:eastAsia="仿宋" w:cs="仿宋"/>
          <w:kern w:val="0"/>
          <w:sz w:val="32"/>
          <w:szCs w:val="32"/>
        </w:rPr>
      </w:pPr>
      <w:r>
        <w:rPr>
          <w:rFonts w:hint="eastAsia" w:ascii="仿宋" w:hAnsi="仿宋" w:eastAsia="仿宋" w:cs="仿宋"/>
          <w:kern w:val="0"/>
          <w:sz w:val="32"/>
          <w:szCs w:val="32"/>
        </w:rPr>
        <w:t>乡镇党委、政府要通过组织群众、宣传群众、教育群众，切实贯彻落实党和国家在农村的各项方针政策和法律法规，执行本级人民代表大会的决议和上级行政机关的决定和命令，围绕农业、农村、农民搞好服务。</w:t>
      </w:r>
    </w:p>
    <w:p>
      <w:pPr>
        <w:pStyle w:val="3"/>
        <w:spacing w:before="0" w:after="0" w:line="560" w:lineRule="exact"/>
        <w:ind w:firstLine="643" w:firstLineChars="200"/>
        <w:rPr>
          <w:rFonts w:ascii="宋体" w:hAnsi="宋体" w:eastAsia="宋体" w:cs="宋体"/>
          <w:kern w:val="0"/>
        </w:rPr>
      </w:pPr>
      <w:r>
        <w:rPr>
          <w:rFonts w:hint="eastAsia" w:ascii="宋体" w:hAnsi="宋体" w:eastAsia="宋体" w:cs="宋体"/>
          <w:kern w:val="0"/>
        </w:rPr>
        <w:t>二、部门决算单位构成</w:t>
      </w:r>
    </w:p>
    <w:p>
      <w:pPr>
        <w:ind w:firstLine="832" w:firstLineChars="260"/>
        <w:jc w:val="left"/>
        <w:outlineLvl w:val="0"/>
        <w:rPr>
          <w:rFonts w:hint="eastAsia" w:ascii="仿宋" w:hAnsi="仿宋" w:eastAsia="仿宋" w:cs="仿宋"/>
          <w:kern w:val="0"/>
          <w:sz w:val="32"/>
          <w:szCs w:val="32"/>
        </w:rPr>
      </w:pPr>
      <w:r>
        <w:rPr>
          <w:rFonts w:hint="eastAsia" w:ascii="仿宋" w:hAnsi="仿宋" w:eastAsia="仿宋" w:cs="仿宋"/>
          <w:kern w:val="0"/>
          <w:sz w:val="32"/>
          <w:szCs w:val="32"/>
        </w:rPr>
        <w:t>2017 年度，纳入本部门决算汇编范围的独立核算单位（以下简称“单位”）共1个，是无极县南流乡人民政府，单位基本性质为行政单位，预算管理级次为一级预算单位，执行行政单位会计制度，较上年无增减变化。</w:t>
      </w:r>
    </w:p>
    <w:tbl>
      <w:tblPr>
        <w:tblStyle w:val="10"/>
        <w:tblpPr w:leftFromText="180" w:rightFromText="180" w:vertAnchor="text" w:horzAnchor="page" w:tblpX="1662" w:tblpY="762"/>
        <w:tblOverlap w:val="never"/>
        <w:tblW w:w="9184"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09"/>
        <w:gridCol w:w="1156"/>
        <w:gridCol w:w="1098"/>
        <w:gridCol w:w="26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tblHeader/>
        </w:trPr>
        <w:tc>
          <w:tcPr>
            <w:tcW w:w="4309" w:type="dxa"/>
            <w:vAlign w:val="center"/>
          </w:tcPr>
          <w:p>
            <w:pPr>
              <w:ind w:firstLine="361"/>
              <w:jc w:val="center"/>
              <w:rPr>
                <w:rFonts w:hint="eastAsia" w:ascii="仿宋" w:hAnsi="仿宋" w:eastAsia="仿宋" w:cs="仿宋"/>
                <w:b w:val="0"/>
                <w:bCs/>
                <w:sz w:val="32"/>
                <w:szCs w:val="32"/>
              </w:rPr>
            </w:pPr>
            <w:r>
              <w:rPr>
                <w:rFonts w:hint="eastAsia" w:ascii="仿宋" w:hAnsi="仿宋" w:eastAsia="仿宋" w:cs="仿宋"/>
                <w:b w:val="0"/>
                <w:bCs/>
                <w:sz w:val="32"/>
                <w:szCs w:val="32"/>
              </w:rPr>
              <w:t>单位名称</w:t>
            </w:r>
          </w:p>
        </w:tc>
        <w:tc>
          <w:tcPr>
            <w:tcW w:w="1156" w:type="dxa"/>
            <w:vAlign w:val="center"/>
          </w:tcPr>
          <w:p>
            <w:pPr>
              <w:rPr>
                <w:rFonts w:hint="eastAsia" w:ascii="仿宋" w:hAnsi="仿宋" w:eastAsia="仿宋" w:cs="仿宋"/>
                <w:b w:val="0"/>
                <w:bCs/>
                <w:sz w:val="32"/>
                <w:szCs w:val="32"/>
              </w:rPr>
            </w:pPr>
            <w:r>
              <w:rPr>
                <w:rFonts w:hint="eastAsia" w:ascii="仿宋" w:hAnsi="仿宋" w:eastAsia="仿宋" w:cs="仿宋"/>
                <w:b w:val="0"/>
                <w:bCs/>
                <w:sz w:val="32"/>
                <w:szCs w:val="32"/>
              </w:rPr>
              <w:t>单位规格</w:t>
            </w:r>
          </w:p>
        </w:tc>
        <w:tc>
          <w:tcPr>
            <w:tcW w:w="1098" w:type="dxa"/>
            <w:vAlign w:val="center"/>
          </w:tcPr>
          <w:p>
            <w:pPr>
              <w:jc w:val="center"/>
              <w:rPr>
                <w:rFonts w:hint="eastAsia" w:ascii="仿宋" w:hAnsi="仿宋" w:eastAsia="仿宋" w:cs="仿宋"/>
                <w:b w:val="0"/>
                <w:bCs/>
                <w:sz w:val="32"/>
                <w:szCs w:val="32"/>
              </w:rPr>
            </w:pPr>
            <w:r>
              <w:rPr>
                <w:rFonts w:hint="eastAsia" w:ascii="仿宋" w:hAnsi="仿宋" w:eastAsia="仿宋" w:cs="仿宋"/>
                <w:b w:val="0"/>
                <w:bCs/>
                <w:sz w:val="32"/>
                <w:szCs w:val="32"/>
              </w:rPr>
              <w:t>单位性质</w:t>
            </w:r>
          </w:p>
        </w:tc>
        <w:tc>
          <w:tcPr>
            <w:tcW w:w="2621" w:type="dxa"/>
            <w:vAlign w:val="center"/>
          </w:tcPr>
          <w:p>
            <w:pPr>
              <w:ind w:firstLine="361"/>
              <w:jc w:val="center"/>
              <w:rPr>
                <w:rFonts w:hint="eastAsia" w:ascii="仿宋" w:hAnsi="仿宋" w:eastAsia="仿宋" w:cs="仿宋"/>
                <w:b w:val="0"/>
                <w:bCs/>
                <w:sz w:val="32"/>
                <w:szCs w:val="32"/>
              </w:rPr>
            </w:pPr>
            <w:r>
              <w:rPr>
                <w:rFonts w:hint="eastAsia" w:ascii="仿宋" w:hAnsi="仿宋" w:eastAsia="仿宋" w:cs="仿宋"/>
                <w:b w:val="0"/>
                <w:bCs/>
                <w:sz w:val="32"/>
                <w:szCs w:val="32"/>
              </w:rPr>
              <w:t>财政供给政策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trPr>
        <w:tc>
          <w:tcPr>
            <w:tcW w:w="4309" w:type="dxa"/>
            <w:vAlign w:val="center"/>
          </w:tcPr>
          <w:p>
            <w:pPr>
              <w:ind w:firstLine="480"/>
              <w:jc w:val="center"/>
              <w:rPr>
                <w:rFonts w:hint="eastAsia" w:ascii="仿宋" w:hAnsi="仿宋" w:eastAsia="仿宋" w:cs="仿宋"/>
                <w:sz w:val="32"/>
                <w:szCs w:val="32"/>
              </w:rPr>
            </w:pPr>
            <w:r>
              <w:rPr>
                <w:rFonts w:hint="eastAsia" w:ascii="仿宋" w:hAnsi="仿宋" w:eastAsia="仿宋" w:cs="仿宋"/>
                <w:sz w:val="32"/>
                <w:szCs w:val="32"/>
              </w:rPr>
              <w:t>石家庄市无极县南流乡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人民政府</w:t>
            </w:r>
          </w:p>
        </w:tc>
        <w:tc>
          <w:tcPr>
            <w:tcW w:w="1156"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行政</w:t>
            </w:r>
          </w:p>
        </w:tc>
        <w:tc>
          <w:tcPr>
            <w:tcW w:w="1098"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正科级</w:t>
            </w:r>
          </w:p>
        </w:tc>
        <w:tc>
          <w:tcPr>
            <w:tcW w:w="2621" w:type="dxa"/>
            <w:vAlign w:val="center"/>
          </w:tcPr>
          <w:p>
            <w:pPr>
              <w:ind w:firstLine="480"/>
              <w:jc w:val="center"/>
              <w:rPr>
                <w:rFonts w:hint="eastAsia" w:ascii="仿宋" w:hAnsi="仿宋" w:eastAsia="仿宋" w:cs="仿宋"/>
                <w:sz w:val="32"/>
                <w:szCs w:val="32"/>
              </w:rPr>
            </w:pPr>
            <w:r>
              <w:rPr>
                <w:rFonts w:hint="eastAsia" w:ascii="仿宋" w:hAnsi="仿宋" w:eastAsia="仿宋" w:cs="仿宋"/>
                <w:sz w:val="32"/>
                <w:szCs w:val="32"/>
              </w:rPr>
              <w:t>财政拨款</w:t>
            </w:r>
          </w:p>
        </w:tc>
      </w:tr>
    </w:tbl>
    <w:p>
      <w:pPr>
        <w:spacing w:line="560" w:lineRule="exact"/>
        <w:rPr>
          <w:rFonts w:ascii="宋体" w:hAnsi="宋体" w:cs="宋体"/>
          <w:kern w:val="0"/>
          <w:sz w:val="32"/>
          <w:szCs w:val="32"/>
        </w:rPr>
      </w:pPr>
    </w:p>
    <w:p>
      <w:pPr>
        <w:jc w:val="center"/>
        <w:rPr>
          <w:rFonts w:hint="eastAsia" w:ascii="宋体" w:hAnsi="宋体" w:cs="宋体"/>
          <w:b/>
          <w:sz w:val="32"/>
          <w:szCs w:val="32"/>
        </w:rPr>
      </w:pPr>
    </w:p>
    <w:p>
      <w:pPr>
        <w:jc w:val="center"/>
        <w:rPr>
          <w:rFonts w:hint="eastAsia" w:ascii="宋体" w:hAnsi="宋体" w:cs="宋体"/>
          <w:b/>
          <w:sz w:val="32"/>
          <w:szCs w:val="32"/>
        </w:rPr>
      </w:pPr>
    </w:p>
    <w:p>
      <w:pPr>
        <w:jc w:val="center"/>
        <w:rPr>
          <w:rFonts w:hint="eastAsia" w:ascii="宋体" w:hAnsi="宋体" w:cs="宋体"/>
          <w:b/>
          <w:sz w:val="44"/>
          <w:szCs w:val="44"/>
        </w:rPr>
      </w:pPr>
      <w:r>
        <w:rPr>
          <w:rFonts w:hint="eastAsia" w:ascii="宋体" w:hAnsi="宋体" w:cs="宋体"/>
          <w:b/>
          <w:sz w:val="44"/>
          <w:szCs w:val="44"/>
        </w:rPr>
        <w:t>第二部分  南流乡部门2017年度部门决算</w:t>
      </w:r>
    </w:p>
    <w:p>
      <w:pPr>
        <w:jc w:val="center"/>
        <w:rPr>
          <w:rFonts w:ascii="宋体" w:hAnsi="宋体" w:cs="宋体"/>
          <w:b/>
          <w:sz w:val="44"/>
          <w:szCs w:val="44"/>
        </w:rPr>
      </w:pPr>
      <w:r>
        <w:rPr>
          <w:rFonts w:hint="eastAsia" w:ascii="宋体" w:hAnsi="宋体" w:cs="宋体"/>
          <w:b/>
          <w:sz w:val="44"/>
          <w:szCs w:val="44"/>
        </w:rPr>
        <w:t>报表</w:t>
      </w:r>
    </w:p>
    <w:p>
      <w:pPr>
        <w:jc w:val="center"/>
        <w:rPr>
          <w:rFonts w:ascii="宋体" w:hAnsi="宋体" w:cs="宋体"/>
          <w:b/>
          <w:sz w:val="32"/>
          <w:szCs w:val="32"/>
        </w:rPr>
      </w:pPr>
      <w:r>
        <w:rPr>
          <w:rFonts w:hint="eastAsia" w:ascii="宋体" w:hAnsi="宋体" w:cs="宋体"/>
          <w:b/>
          <w:sz w:val="32"/>
          <w:szCs w:val="32"/>
        </w:rPr>
        <w:t>（详见附件）</w:t>
      </w:r>
    </w:p>
    <w:p>
      <w:pPr>
        <w:ind w:firstLine="643"/>
        <w:jc w:val="left"/>
        <w:rPr>
          <w:rFonts w:hint="eastAsia" w:ascii="仿宋" w:hAnsi="仿宋" w:eastAsia="仿宋" w:cs="仿宋"/>
          <w:b w:val="0"/>
          <w:bCs/>
          <w:sz w:val="32"/>
          <w:szCs w:val="32"/>
        </w:rPr>
      </w:pPr>
      <w:r>
        <w:rPr>
          <w:rFonts w:hint="eastAsia" w:ascii="仿宋" w:hAnsi="仿宋" w:eastAsia="仿宋" w:cs="仿宋"/>
          <w:b w:val="0"/>
          <w:bCs/>
          <w:sz w:val="32"/>
          <w:szCs w:val="32"/>
        </w:rPr>
        <w:t>一、收入支出决算总表</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二、收入决算表</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 xml:space="preserve">三、支出决算表 </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四、财政拨款收入支出决算总表</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五、一般公共预算财政拨款支出决算表</w:t>
      </w:r>
    </w:p>
    <w:p>
      <w:pPr>
        <w:ind w:firstLine="622"/>
        <w:rPr>
          <w:rFonts w:hint="eastAsia" w:ascii="仿宋" w:hAnsi="仿宋" w:eastAsia="仿宋" w:cs="仿宋"/>
          <w:b w:val="0"/>
          <w:bCs/>
          <w:sz w:val="32"/>
          <w:szCs w:val="32"/>
        </w:rPr>
      </w:pPr>
      <w:r>
        <w:rPr>
          <w:rFonts w:hint="eastAsia" w:ascii="仿宋" w:hAnsi="仿宋" w:eastAsia="仿宋" w:cs="仿宋"/>
          <w:b w:val="0"/>
          <w:bCs/>
          <w:sz w:val="32"/>
          <w:szCs w:val="32"/>
        </w:rPr>
        <w:t>六、一般公共预算财政拨款基本支出决算表</w:t>
      </w:r>
    </w:p>
    <w:p>
      <w:pPr>
        <w:ind w:firstLine="622"/>
        <w:rPr>
          <w:rFonts w:hint="eastAsia" w:ascii="仿宋" w:hAnsi="仿宋" w:eastAsia="仿宋" w:cs="仿宋"/>
          <w:b w:val="0"/>
          <w:bCs/>
          <w:sz w:val="32"/>
          <w:szCs w:val="32"/>
        </w:rPr>
      </w:pPr>
      <w:r>
        <w:rPr>
          <w:rFonts w:hint="eastAsia" w:ascii="仿宋" w:hAnsi="仿宋" w:eastAsia="仿宋" w:cs="仿宋"/>
          <w:b w:val="0"/>
          <w:bCs/>
          <w:sz w:val="32"/>
          <w:szCs w:val="32"/>
        </w:rPr>
        <w:t xml:space="preserve">七、政府性基金预算财政拨款收入支出决算表 </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八、国有资本经营预算财政拨款收入支出决算表</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九、“三公”经费及相关信息统计表</w:t>
      </w:r>
    </w:p>
    <w:p>
      <w:pPr>
        <w:ind w:firstLine="643"/>
        <w:rPr>
          <w:rFonts w:hint="eastAsia" w:ascii="仿宋" w:hAnsi="仿宋" w:eastAsia="仿宋" w:cs="仿宋"/>
          <w:b w:val="0"/>
          <w:bCs/>
          <w:color w:val="000000"/>
          <w:kern w:val="0"/>
          <w:sz w:val="32"/>
          <w:szCs w:val="32"/>
        </w:rPr>
      </w:pPr>
      <w:r>
        <w:rPr>
          <w:rFonts w:hint="eastAsia" w:ascii="仿宋" w:hAnsi="仿宋" w:eastAsia="仿宋" w:cs="仿宋"/>
          <w:b w:val="0"/>
          <w:bCs/>
          <w:sz w:val="32"/>
          <w:szCs w:val="32"/>
        </w:rPr>
        <w:t>十、政府采购情况表</w:t>
      </w:r>
    </w:p>
    <w:p>
      <w:pPr>
        <w:pStyle w:val="2"/>
        <w:spacing w:line="560" w:lineRule="exact"/>
        <w:jc w:val="center"/>
        <w:rPr>
          <w:rFonts w:hint="eastAsia" w:ascii="宋体" w:hAnsi="宋体" w:cs="宋体"/>
          <w:color w:val="000000"/>
          <w:kern w:val="0"/>
          <w:sz w:val="44"/>
          <w:szCs w:val="44"/>
        </w:rPr>
      </w:pPr>
    </w:p>
    <w:p>
      <w:pPr>
        <w:pStyle w:val="2"/>
        <w:spacing w:line="560" w:lineRule="exact"/>
        <w:jc w:val="center"/>
        <w:rPr>
          <w:rFonts w:ascii="宋体" w:hAnsi="宋体" w:cs="宋体"/>
          <w:color w:val="000000"/>
          <w:kern w:val="0"/>
          <w:sz w:val="44"/>
          <w:szCs w:val="44"/>
        </w:rPr>
      </w:pPr>
      <w:r>
        <w:rPr>
          <w:rFonts w:hint="eastAsia" w:ascii="宋体" w:hAnsi="宋体" w:cs="宋体"/>
          <w:color w:val="000000"/>
          <w:kern w:val="0"/>
          <w:sz w:val="44"/>
          <w:szCs w:val="44"/>
        </w:rPr>
        <w:t>第三部分部门决算情况说明</w:t>
      </w:r>
    </w:p>
    <w:p>
      <w:pPr>
        <w:pStyle w:val="3"/>
        <w:spacing w:before="0" w:after="0" w:line="560" w:lineRule="exact"/>
        <w:ind w:firstLine="643" w:firstLineChars="200"/>
        <w:rPr>
          <w:rFonts w:hint="eastAsia" w:ascii="黑体" w:hAnsi="黑体" w:eastAsia="黑体" w:cs="黑体"/>
        </w:rPr>
      </w:pPr>
      <w:r>
        <w:rPr>
          <w:rFonts w:hint="eastAsia" w:ascii="黑体" w:hAnsi="黑体" w:eastAsia="黑体" w:cs="黑体"/>
        </w:rPr>
        <w:t>一、收入</w:t>
      </w:r>
      <w:r>
        <w:rPr>
          <w:rFonts w:hint="eastAsia" w:ascii="黑体" w:hAnsi="黑体" w:eastAsia="黑体" w:cs="黑体"/>
          <w:kern w:val="0"/>
        </w:rPr>
        <w:t>支出</w:t>
      </w:r>
      <w:r>
        <w:rPr>
          <w:rFonts w:hint="eastAsia" w:ascii="黑体" w:hAnsi="黑体" w:eastAsia="黑体" w:cs="黑体"/>
        </w:rPr>
        <w:t>决算总体情况说明</w:t>
      </w:r>
    </w:p>
    <w:p>
      <w:pPr>
        <w:adjustRightInd w:val="0"/>
        <w:snapToGrid w:val="0"/>
        <w:spacing w:after="0" w:line="560" w:lineRule="exact"/>
        <w:ind w:firstLine="640" w:firstLineChars="200"/>
        <w:rPr>
          <w:rFonts w:hint="eastAsia" w:ascii="仿宋" w:hAnsi="仿宋" w:eastAsia="仿宋" w:cs="仿宋"/>
          <w:sz w:val="32"/>
          <w:szCs w:val="32"/>
        </w:rPr>
      </w:pPr>
      <w:r>
        <w:rPr>
          <w:rFonts w:hint="eastAsia" w:ascii="仿宋" w:hAnsi="仿宋" w:eastAsia="仿宋" w:cs="仿宋"/>
          <w:b w:val="0"/>
          <w:bCs/>
          <w:sz w:val="32"/>
          <w:szCs w:val="32"/>
          <w:lang w:val="en-US" w:eastAsia="zh-CN"/>
        </w:rPr>
        <w:t xml:space="preserve">   </w:t>
      </w:r>
      <w:r>
        <w:rPr>
          <w:rFonts w:hint="eastAsia" w:ascii="仿宋" w:hAnsi="仿宋" w:eastAsia="仿宋" w:cs="仿宋"/>
          <w:b w:val="0"/>
          <w:bCs/>
          <w:sz w:val="32"/>
          <w:szCs w:val="32"/>
        </w:rPr>
        <w:t>本部门2017年度年初结转和结余0万元，本年收入316.61万元；本年支出310.59万元，年末结转和结余6.02万元。与2016年度决算相比，本年收入增加51.91万元，增长</w:t>
      </w:r>
      <w:r>
        <w:rPr>
          <w:rFonts w:hint="eastAsia" w:ascii="仿宋" w:hAnsi="仿宋" w:eastAsia="仿宋" w:cs="仿宋"/>
          <w:sz w:val="32"/>
          <w:szCs w:val="32"/>
        </w:rPr>
        <w:t>19.61%，主要原因是工作量增加，日常公用经费增多。本年支出减少66.11万元，下降17.55%，主要是2017年度项目支出减少较多。</w:t>
      </w:r>
    </w:p>
    <w:p>
      <w:pPr>
        <w:pStyle w:val="3"/>
        <w:spacing w:before="0" w:after="0" w:line="560" w:lineRule="exact"/>
        <w:ind w:firstLine="643" w:firstLineChars="200"/>
        <w:rPr>
          <w:rFonts w:hint="eastAsia" w:ascii="黑体" w:hAnsi="黑体" w:eastAsia="黑体" w:cs="黑体"/>
        </w:rPr>
      </w:pPr>
      <w:r>
        <w:rPr>
          <w:rFonts w:hint="eastAsia" w:ascii="黑体" w:hAnsi="黑体" w:eastAsia="黑体" w:cs="黑体"/>
        </w:rPr>
        <w:t>二、收入决算情况说明</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rPr>
        <w:t>2017年部门决算收入316.61万元，其中：财政拨款收入316.61万元；上级补助收入0万元；事业收入0万元；其他收入0万元。与 2016 年度相比，收入增加51.91万元，其中财政拨款收入收入增加51.91万元，增长19.61% 其他收入增加0万元。主要原因是工作量增加，日常公用经费增多。</w:t>
      </w:r>
      <w:r>
        <w:rPr>
          <w:rFonts w:hint="eastAsia" w:ascii="仿宋" w:hAnsi="仿宋" w:eastAsia="仿宋" w:cs="仿宋"/>
          <w:sz w:val="32"/>
          <w:szCs w:val="32"/>
          <w:lang w:val="en-US" w:eastAsia="zh-CN"/>
        </w:rPr>
        <w:t>如图所示：</w:t>
      </w:r>
    </w:p>
    <w:p>
      <w:pPr>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图1：收入决算结构饼状图</w:t>
      </w:r>
    </w:p>
    <w:p>
      <w:pPr>
        <w:rPr>
          <w:rFonts w:hint="eastAsia" w:ascii="仿宋" w:hAnsi="仿宋" w:eastAsia="仿宋" w:cs="仿宋"/>
          <w:sz w:val="32"/>
          <w:szCs w:val="32"/>
          <w:lang w:val="en-US" w:eastAsia="zh-CN"/>
        </w:rPr>
      </w:pPr>
      <w:r>
        <w:rPr>
          <w:rFonts w:ascii="Times New Roman" w:hAnsi="Times New Roman" w:eastAsia="宋体" w:cs="Times New Roman"/>
          <w:kern w:val="2"/>
          <w:sz w:val="21"/>
          <w:szCs w:val="24"/>
          <w:lang w:val="en-US" w:eastAsia="zh-CN" w:bidi="ar-SA"/>
        </w:rPr>
        <w:pict>
          <v:shape id="_x0000_i1025" o:spt="75" type="#_x0000_t75" style="height:201.2pt;width:442.1pt;" fillcolor="#FFFFFF" filled="f" o:preferrelative="t" stroked="f" coordsize="21600,21600">
            <v:path/>
            <v:fill on="f" color2="#FFFFFF" focussize="0,0"/>
            <v:stroke on="f"/>
            <v:imagedata r:id="rId6" gain="65536f" blacklevel="0f" gamma="0" o:title=""/>
            <o:lock v:ext="edit" position="f" selection="f" grouping="f" rotation="f" cropping="f" text="f" aspectratio="t"/>
            <w10:wrap type="none"/>
            <w10:anchorlock/>
          </v:shape>
        </w:pict>
      </w:r>
    </w:p>
    <w:p>
      <w:pPr>
        <w:pStyle w:val="3"/>
        <w:spacing w:before="0" w:after="0" w:line="560" w:lineRule="exact"/>
        <w:ind w:firstLine="643" w:firstLineChars="200"/>
        <w:rPr>
          <w:rFonts w:hint="eastAsia" w:ascii="黑体" w:hAnsi="黑体" w:eastAsia="黑体" w:cs="黑体"/>
        </w:rPr>
      </w:pPr>
      <w:r>
        <w:rPr>
          <w:rFonts w:hint="eastAsia" w:ascii="黑体" w:hAnsi="黑体" w:eastAsia="黑体" w:cs="黑体"/>
        </w:rPr>
        <w:t>三、支出决算情况说明</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2017年部门决算支出310.59万元，其中：基本支出310.59万元；项目支出0万元。 其中： 财政拨款支出310.59万元，占 100%。与 2016 年度相比，支出减少66.11万元。主要原因是2017年度项目支出减少较多。</w:t>
      </w:r>
      <w:r>
        <w:rPr>
          <w:rFonts w:hint="eastAsia" w:ascii="仿宋" w:hAnsi="仿宋" w:eastAsia="仿宋" w:cs="仿宋"/>
          <w:sz w:val="32"/>
          <w:szCs w:val="32"/>
          <w:lang w:val="en-US" w:eastAsia="zh-CN"/>
        </w:rPr>
        <w:t>如图所示：</w:t>
      </w:r>
    </w:p>
    <w:p>
      <w:pPr>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图2：支出决算结构饼状图</w:t>
      </w:r>
    </w:p>
    <w:p>
      <w:pPr>
        <w:ind w:firstLine="420" w:firstLineChars="200"/>
        <w:rPr>
          <w:rFonts w:hint="eastAsia" w:ascii="仿宋" w:hAnsi="仿宋" w:eastAsia="仿宋" w:cs="仿宋"/>
          <w:sz w:val="32"/>
          <w:szCs w:val="32"/>
          <w:lang w:val="en-US" w:eastAsia="zh-CN"/>
        </w:rPr>
      </w:pPr>
      <w:r>
        <w:rPr>
          <w:rFonts w:ascii="Times New Roman" w:hAnsi="Times New Roman" w:eastAsia="宋体" w:cs="Times New Roman"/>
          <w:kern w:val="2"/>
          <w:sz w:val="21"/>
          <w:szCs w:val="24"/>
          <w:lang w:val="en-US" w:eastAsia="zh-CN" w:bidi="ar-SA"/>
        </w:rPr>
        <w:pict>
          <v:shape id="_x0000_i1026" o:spt="75" type="#_x0000_t75" style="height:201.2pt;width:442.1pt;" fillcolor="#FFFFFF" filled="f" o:preferrelative="t" stroked="f" coordsize="21600,21600">
            <v:path/>
            <v:fill on="f" color2="#FFFFFF" focussize="0,0"/>
            <v:stroke on="f"/>
            <v:imagedata r:id="rId7" gain="65536f" blacklevel="0f" gamma="0" o:title=""/>
            <o:lock v:ext="edit" position="f" selection="f" grouping="f" rotation="f" cropping="f" text="f" aspectratio="t"/>
            <w10:wrap type="none"/>
            <w10:anchorlock/>
          </v:shape>
        </w:pict>
      </w:r>
    </w:p>
    <w:p>
      <w:pPr>
        <w:pStyle w:val="3"/>
        <w:spacing w:before="0" w:after="0" w:line="560" w:lineRule="exact"/>
        <w:ind w:firstLine="643" w:firstLineChars="200"/>
        <w:rPr>
          <w:rFonts w:ascii="宋体" w:hAnsi="宋体" w:eastAsia="宋体" w:cs="宋体"/>
        </w:rPr>
      </w:pPr>
      <w:r>
        <w:rPr>
          <w:rFonts w:hint="eastAsia" w:ascii="黑体" w:hAnsi="黑体" w:eastAsia="黑体" w:cs="黑体"/>
        </w:rPr>
        <w:t>四、</w:t>
      </w:r>
      <w:r>
        <w:rPr>
          <w:rFonts w:hint="eastAsia" w:ascii="黑体" w:hAnsi="黑体" w:eastAsia="黑体" w:cs="黑体"/>
          <w:kern w:val="0"/>
        </w:rPr>
        <w:t>财政</w:t>
      </w:r>
      <w:r>
        <w:rPr>
          <w:rFonts w:hint="eastAsia" w:ascii="黑体" w:hAnsi="黑体" w:eastAsia="黑体" w:cs="黑体"/>
        </w:rPr>
        <w:t>拨款收入支出决算总体情况说明</w:t>
      </w:r>
    </w:p>
    <w:p>
      <w:pPr>
        <w:spacing w:after="0" w:line="560" w:lineRule="exact"/>
        <w:ind w:firstLine="643" w:firstLineChars="200"/>
        <w:rPr>
          <w:rFonts w:hint="eastAsia" w:ascii="仿宋" w:hAnsi="仿宋" w:eastAsia="仿宋" w:cs="仿宋"/>
          <w:b/>
          <w:bCs/>
          <w:sz w:val="32"/>
          <w:szCs w:val="32"/>
        </w:rPr>
      </w:pPr>
      <w:r>
        <w:rPr>
          <w:rFonts w:hint="eastAsia" w:ascii="仿宋" w:hAnsi="仿宋" w:eastAsia="仿宋" w:cs="仿宋"/>
          <w:b/>
          <w:bCs/>
          <w:sz w:val="32"/>
          <w:szCs w:val="32"/>
        </w:rPr>
        <w:t>（</w:t>
      </w:r>
      <w:r>
        <w:rPr>
          <w:rFonts w:hint="eastAsia" w:ascii="楷体_GB2312" w:hAnsi="楷体_GB2312" w:eastAsia="楷体_GB2312" w:cs="楷体_GB2312"/>
          <w:b/>
          <w:bCs/>
          <w:sz w:val="32"/>
          <w:szCs w:val="32"/>
        </w:rPr>
        <w:t>一）财政拨款收支与2016 年度决算对比情况</w:t>
      </w:r>
    </w:p>
    <w:p>
      <w:pPr>
        <w:adjustRightInd w:val="0"/>
        <w:snapToGrid w:val="0"/>
        <w:spacing w:after="0"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2017年度财政拨款收支全部为一般公共预算财政拨款收支。一般公共预算财政拨款年初结转和结余0万元、本年收入316.61万元；本年支出310.59万元、年末结转和结余6.02万元。与2016年度决算相比，一般公共预算财政拨款本年收入增加51.91万元，增长19.61%，主要是工作量增加，日常公用经费增多；本年支出减少66.11万元，减少17.55%，主要是2017年度项目支出减少较多。</w:t>
      </w:r>
    </w:p>
    <w:p>
      <w:pPr>
        <w:adjustRightInd w:val="0"/>
        <w:snapToGrid w:val="0"/>
        <w:spacing w:after="0"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其中，一般公共预算财政拨款年初结转和结余0万元、本年收入316.61万元；本年支出310.59万元、年末结转和结余6.02万元。与2016年度决算相比，一般公共预算财政拨款本年收入增加51.91万元，增长19.61%，主要是工作量增加，日常公用经费增多；本年支出减少66.11万元，减少17.55%，主要是2017年度项目支出减少较多。</w:t>
      </w:r>
    </w:p>
    <w:p>
      <w:pPr>
        <w:spacing w:after="0" w:line="56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（二）财政拨款收支与年初预算数对比情况</w:t>
      </w:r>
    </w:p>
    <w:p>
      <w:pPr>
        <w:adjustRightInd w:val="0"/>
        <w:snapToGrid w:val="0"/>
        <w:spacing w:after="0"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2017年度一般公共预算财政拨款本年收入较2017年初预算增加11.52万元，增长3.8%，主要是人员经费和日常公用经费预估过少；本年支出增加5.5万元，增长1.8%，主要是人员经费和日常公用经费及项目支出预估过少。</w:t>
      </w:r>
    </w:p>
    <w:p>
      <w:pPr>
        <w:adjustRightInd w:val="0"/>
        <w:snapToGrid w:val="0"/>
        <w:spacing w:after="0"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其中，本部门2017年度一般公共预算财政拨款本年收入较2017年初预算增加11.52万元，增长3.8%，主要是人员经费和日常公用经费及项目支出预估过少；本年支出增加5.5万元，增长1.8%，主要是人员经费和日常公用经费及项目支出预估过少。</w:t>
      </w:r>
    </w:p>
    <w:p>
      <w:pPr>
        <w:pStyle w:val="3"/>
        <w:spacing w:before="0" w:after="0" w:line="560" w:lineRule="exact"/>
        <w:ind w:firstLine="643" w:firstLineChars="200"/>
        <w:rPr>
          <w:rFonts w:ascii="宋体" w:hAnsi="宋体" w:eastAsia="宋体" w:cs="宋体"/>
        </w:rPr>
      </w:pPr>
      <w:r>
        <w:rPr>
          <w:rFonts w:hint="eastAsia" w:ascii="黑体" w:hAnsi="黑体" w:eastAsia="黑体" w:cs="黑体"/>
        </w:rPr>
        <w:t>五、“三公” 经费支出决算情况说明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2017年度，我乡认真落实中央</w:t>
      </w:r>
      <w:bookmarkStart w:id="0" w:name="_GoBack"/>
      <w:bookmarkEnd w:id="0"/>
      <w:r>
        <w:rPr>
          <w:rFonts w:hint="eastAsia" w:ascii="仿宋" w:hAnsi="仿宋" w:eastAsia="仿宋" w:cs="仿宋"/>
          <w:sz w:val="32"/>
          <w:szCs w:val="32"/>
        </w:rPr>
        <w:t>八项规定 精神和厉行节约要求，管理制度不断完善，“ 三公” 经费支出得到有效控制。本部门2017年度“三公”经费支出共计1.5万元，较年初预算减少1.5万元，降低50%，主要是响应上级要求，减少“三公”经费支出。较2016年度决算减少5.2万元，降低77.61%，主要是响应上级要求，减少“三公”经费支出。</w:t>
      </w:r>
    </w:p>
    <w:p>
      <w:pPr>
        <w:rPr>
          <w:rFonts w:hint="eastAsia" w:ascii="仿宋" w:hAnsi="仿宋" w:eastAsia="仿宋" w:cs="仿宋"/>
          <w:b/>
          <w:sz w:val="32"/>
          <w:szCs w:val="32"/>
        </w:rPr>
      </w:pPr>
      <w:r>
        <w:rPr>
          <w:rFonts w:hint="eastAsia" w:ascii="仿宋" w:hAnsi="仿宋" w:eastAsia="仿宋" w:cs="仿宋"/>
          <w:b/>
          <w:sz w:val="32"/>
          <w:szCs w:val="32"/>
        </w:rPr>
        <w:t>“ 三公” 经费支出2016年度、 2017年度对比明细表</w:t>
      </w:r>
    </w:p>
    <w:p>
      <w:pPr>
        <w:jc w:val="right"/>
        <w:rPr>
          <w:rFonts w:ascii="宋体" w:hAnsi="宋体" w:cs="宋体"/>
          <w:sz w:val="28"/>
          <w:szCs w:val="28"/>
        </w:rPr>
      </w:pPr>
      <w:r>
        <w:rPr>
          <w:rFonts w:hint="eastAsia" w:ascii="宋体" w:hAnsi="宋体" w:cs="宋体"/>
          <w:sz w:val="28"/>
          <w:szCs w:val="28"/>
        </w:rPr>
        <w:t>单位：万元</w:t>
      </w:r>
    </w:p>
    <w:tbl>
      <w:tblPr>
        <w:tblStyle w:val="10"/>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 三公” 经费</w:t>
            </w:r>
          </w:p>
        </w:tc>
        <w:tc>
          <w:tcPr>
            <w:tcW w:w="2131" w:type="dxa"/>
            <w:vAlign w:val="center"/>
          </w:tcPr>
          <w:p>
            <w:pPr>
              <w:jc w:val="center"/>
              <w:rPr>
                <w:rFonts w:hint="eastAsia" w:ascii="仿宋" w:hAnsi="仿宋" w:eastAsia="仿宋" w:cs="仿宋"/>
                <w:b/>
                <w:sz w:val="32"/>
                <w:szCs w:val="32"/>
              </w:rPr>
            </w:pPr>
            <w:r>
              <w:rPr>
                <w:rFonts w:hint="eastAsia" w:ascii="仿宋" w:hAnsi="仿宋" w:eastAsia="仿宋" w:cs="仿宋"/>
                <w:sz w:val="32"/>
                <w:szCs w:val="32"/>
              </w:rPr>
              <w:t>2016年支出</w:t>
            </w:r>
          </w:p>
        </w:tc>
        <w:tc>
          <w:tcPr>
            <w:tcW w:w="2130" w:type="dxa"/>
            <w:vAlign w:val="center"/>
          </w:tcPr>
          <w:p>
            <w:pPr>
              <w:jc w:val="center"/>
              <w:rPr>
                <w:rFonts w:hint="eastAsia" w:ascii="仿宋" w:hAnsi="仿宋" w:eastAsia="仿宋" w:cs="仿宋"/>
                <w:b/>
                <w:sz w:val="32"/>
                <w:szCs w:val="32"/>
              </w:rPr>
            </w:pPr>
            <w:r>
              <w:rPr>
                <w:rFonts w:hint="eastAsia" w:ascii="仿宋" w:hAnsi="仿宋" w:eastAsia="仿宋" w:cs="仿宋"/>
                <w:sz w:val="32"/>
                <w:szCs w:val="32"/>
              </w:rPr>
              <w:t>2017年支出</w:t>
            </w:r>
          </w:p>
        </w:tc>
        <w:tc>
          <w:tcPr>
            <w:tcW w:w="2131"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2017年与2016年对比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3" w:hRule="atLeast"/>
        </w:trPr>
        <w:tc>
          <w:tcPr>
            <w:tcW w:w="2130"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因公出国（境）支出</w:t>
            </w:r>
          </w:p>
        </w:tc>
        <w:tc>
          <w:tcPr>
            <w:tcW w:w="2131"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0</w:t>
            </w:r>
          </w:p>
        </w:tc>
        <w:tc>
          <w:tcPr>
            <w:tcW w:w="2130"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0</w:t>
            </w:r>
          </w:p>
        </w:tc>
        <w:tc>
          <w:tcPr>
            <w:tcW w:w="2131"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3" w:hRule="atLeast"/>
        </w:trPr>
        <w:tc>
          <w:tcPr>
            <w:tcW w:w="2130"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公务用车运行维护费</w:t>
            </w:r>
          </w:p>
        </w:tc>
        <w:tc>
          <w:tcPr>
            <w:tcW w:w="2131"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6.5</w:t>
            </w:r>
          </w:p>
        </w:tc>
        <w:tc>
          <w:tcPr>
            <w:tcW w:w="2130"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1.5</w:t>
            </w:r>
          </w:p>
        </w:tc>
        <w:tc>
          <w:tcPr>
            <w:tcW w:w="2131"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公务接待费</w:t>
            </w:r>
          </w:p>
        </w:tc>
        <w:tc>
          <w:tcPr>
            <w:tcW w:w="2131"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0.2</w:t>
            </w:r>
          </w:p>
        </w:tc>
        <w:tc>
          <w:tcPr>
            <w:tcW w:w="2130"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0</w:t>
            </w:r>
          </w:p>
        </w:tc>
        <w:tc>
          <w:tcPr>
            <w:tcW w:w="2131"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合计</w:t>
            </w:r>
          </w:p>
        </w:tc>
        <w:tc>
          <w:tcPr>
            <w:tcW w:w="2131" w:type="dxa"/>
            <w:vAlign w:val="center"/>
          </w:tcPr>
          <w:p>
            <w:pPr>
              <w:ind w:firstLine="960" w:firstLineChars="300"/>
              <w:rPr>
                <w:rFonts w:hint="eastAsia" w:ascii="仿宋" w:hAnsi="仿宋" w:eastAsia="仿宋" w:cs="仿宋"/>
                <w:sz w:val="32"/>
                <w:szCs w:val="32"/>
              </w:rPr>
            </w:pPr>
            <w:r>
              <w:rPr>
                <w:rFonts w:hint="eastAsia" w:ascii="仿宋" w:hAnsi="仿宋" w:eastAsia="仿宋" w:cs="仿宋"/>
                <w:sz w:val="32"/>
                <w:szCs w:val="32"/>
              </w:rPr>
              <w:t>6.7</w:t>
            </w:r>
          </w:p>
        </w:tc>
        <w:tc>
          <w:tcPr>
            <w:tcW w:w="2130"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1.5</w:t>
            </w:r>
          </w:p>
        </w:tc>
        <w:tc>
          <w:tcPr>
            <w:tcW w:w="2131" w:type="dxa"/>
            <w:vAlign w:val="center"/>
          </w:tcPr>
          <w:p>
            <w:pPr>
              <w:jc w:val="center"/>
              <w:rPr>
                <w:rFonts w:hint="eastAsia" w:ascii="仿宋" w:hAnsi="仿宋" w:eastAsia="仿宋" w:cs="仿宋"/>
                <w:sz w:val="32"/>
                <w:szCs w:val="32"/>
              </w:rPr>
            </w:pPr>
            <w:r>
              <w:rPr>
                <w:rFonts w:hint="eastAsia" w:ascii="仿宋" w:hAnsi="仿宋" w:eastAsia="仿宋" w:cs="仿宋"/>
                <w:sz w:val="32"/>
                <w:szCs w:val="32"/>
              </w:rPr>
              <w:t>-5.2</w:t>
            </w:r>
          </w:p>
        </w:tc>
      </w:tr>
    </w:tbl>
    <w:p>
      <w:pPr>
        <w:adjustRightInd w:val="0"/>
        <w:snapToGrid w:val="0"/>
        <w:spacing w:after="0" w:line="560" w:lineRule="exact"/>
        <w:ind w:firstLine="640" w:firstLineChars="200"/>
        <w:rPr>
          <w:rFonts w:ascii="宋体" w:hAnsi="宋体" w:cs="宋体"/>
          <w:sz w:val="32"/>
          <w:szCs w:val="32"/>
        </w:rPr>
      </w:pPr>
    </w:p>
    <w:p>
      <w:pPr>
        <w:adjustRightInd w:val="0"/>
        <w:snapToGrid w:val="0"/>
        <w:spacing w:after="0"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具体情况如下：</w:t>
      </w:r>
    </w:p>
    <w:p>
      <w:pPr>
        <w:adjustRightInd w:val="0"/>
        <w:snapToGrid w:val="0"/>
        <w:spacing w:after="0" w:line="560" w:lineRule="exact"/>
        <w:ind w:firstLine="643" w:firstLineChars="200"/>
        <w:rPr>
          <w:rFonts w:hint="eastAsia" w:ascii="仿宋" w:hAnsi="仿宋" w:eastAsia="仿宋" w:cs="仿宋"/>
          <w:sz w:val="32"/>
          <w:szCs w:val="32"/>
        </w:rPr>
      </w:pPr>
      <w:r>
        <w:rPr>
          <w:rFonts w:hint="eastAsia" w:ascii="楷体_GB2312" w:hAnsi="楷体_GB2312" w:eastAsia="楷体_GB2312" w:cs="楷体_GB2312"/>
          <w:b/>
          <w:bCs/>
          <w:sz w:val="32"/>
          <w:szCs w:val="32"/>
        </w:rPr>
        <w:t>（一）因公出国（境）费支出0万元。</w:t>
      </w:r>
      <w:r>
        <w:rPr>
          <w:rFonts w:hint="eastAsia" w:ascii="仿宋" w:hAnsi="仿宋" w:eastAsia="仿宋" w:cs="仿宋"/>
          <w:sz w:val="32"/>
          <w:szCs w:val="32"/>
        </w:rPr>
        <w:t>本部门2017年度</w:t>
      </w:r>
      <w:r>
        <w:rPr>
          <w:rFonts w:hint="eastAsia" w:ascii="仿宋" w:hAnsi="仿宋" w:eastAsia="仿宋" w:cs="仿宋"/>
          <w:color w:val="000000"/>
          <w:sz w:val="32"/>
          <w:szCs w:val="32"/>
        </w:rPr>
        <w:t>未发生</w:t>
      </w:r>
      <w:r>
        <w:rPr>
          <w:rFonts w:hint="eastAsia" w:ascii="仿宋" w:hAnsi="仿宋" w:eastAsia="仿宋" w:cs="仿宋"/>
          <w:b w:val="0"/>
          <w:bCs w:val="0"/>
          <w:color w:val="000000"/>
          <w:sz w:val="32"/>
          <w:szCs w:val="32"/>
        </w:rPr>
        <w:t>“</w:t>
      </w:r>
      <w:r>
        <w:rPr>
          <w:rFonts w:hint="eastAsia" w:ascii="仿宋" w:hAnsi="仿宋" w:eastAsia="仿宋" w:cs="仿宋"/>
          <w:b w:val="0"/>
          <w:bCs w:val="0"/>
          <w:sz w:val="32"/>
          <w:szCs w:val="32"/>
        </w:rPr>
        <w:t>因公出国（境）</w:t>
      </w:r>
      <w:r>
        <w:rPr>
          <w:rFonts w:hint="eastAsia" w:ascii="仿宋" w:hAnsi="仿宋" w:eastAsia="仿宋" w:cs="仿宋"/>
          <w:b w:val="0"/>
          <w:bCs w:val="0"/>
          <w:color w:val="000000"/>
          <w:sz w:val="32"/>
          <w:szCs w:val="32"/>
        </w:rPr>
        <w:t>”</w:t>
      </w:r>
      <w:r>
        <w:rPr>
          <w:rFonts w:hint="eastAsia" w:ascii="仿宋" w:hAnsi="仿宋" w:eastAsia="仿宋" w:cs="仿宋"/>
          <w:color w:val="000000"/>
          <w:sz w:val="32"/>
          <w:szCs w:val="32"/>
        </w:rPr>
        <w:t>经费支出</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较年初预算无增减变化</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较2016年度决算无增减变化。</w:t>
      </w:r>
    </w:p>
    <w:p>
      <w:pPr>
        <w:widowControl w:val="0"/>
        <w:wordWrap/>
        <w:adjustRightInd/>
        <w:snapToGrid/>
        <w:spacing w:after="0" w:line="480" w:lineRule="auto"/>
        <w:ind w:left="0" w:leftChars="0" w:right="0" w:firstLine="640" w:firstLineChars="0"/>
        <w:jc w:val="both"/>
        <w:textAlignment w:val="auto"/>
        <w:outlineLvl w:val="9"/>
        <w:rPr>
          <w:rFonts w:hint="eastAsia" w:ascii="仿宋" w:hAnsi="仿宋" w:eastAsia="仿宋" w:cs="仿宋"/>
          <w:b/>
          <w:bCs/>
          <w:sz w:val="32"/>
          <w:szCs w:val="32"/>
        </w:rPr>
      </w:pPr>
      <w:r>
        <w:rPr>
          <w:rFonts w:hint="eastAsia" w:ascii="楷体_GB2312" w:hAnsi="楷体_GB2312" w:eastAsia="楷体_GB2312" w:cs="楷体_GB2312"/>
          <w:b/>
          <w:bCs/>
          <w:sz w:val="32"/>
          <w:szCs w:val="32"/>
        </w:rPr>
        <w:t>（二）公务用车购置及运行维护费支出1.5万元。</w:t>
      </w:r>
      <w:r>
        <w:rPr>
          <w:rFonts w:hint="eastAsia" w:ascii="仿宋" w:hAnsi="仿宋" w:eastAsia="仿宋" w:cs="仿宋"/>
          <w:sz w:val="32"/>
          <w:szCs w:val="32"/>
        </w:rPr>
        <w:t>本部门2017年度公务用车购置及运行维护费较年初预算减少1.5万元，降低50%，主要是响应上级要求，减少“三公”经费支出；较2016年度决算减少5万元，降低76.92%，主要是响应上级要求，减少“三公”经费支出</w:t>
      </w:r>
      <w:r>
        <w:rPr>
          <w:rFonts w:hint="eastAsia" w:ascii="仿宋" w:hAnsi="仿宋" w:eastAsia="仿宋" w:cs="仿宋"/>
          <w:sz w:val="32"/>
          <w:szCs w:val="32"/>
          <w:lang w:eastAsia="zh-CN"/>
        </w:rPr>
        <w:t>。</w:t>
      </w:r>
      <w:r>
        <w:rPr>
          <w:rFonts w:hint="eastAsia" w:ascii="仿宋" w:hAnsi="仿宋" w:eastAsia="仿宋" w:cs="仿宋"/>
          <w:b/>
          <w:bCs/>
          <w:sz w:val="32"/>
          <w:szCs w:val="32"/>
          <w:lang w:eastAsia="zh-CN"/>
        </w:rPr>
        <w:t>其中</w:t>
      </w:r>
    </w:p>
    <w:p>
      <w:pPr>
        <w:adjustRightInd w:val="0"/>
        <w:snapToGrid w:val="0"/>
        <w:spacing w:after="0" w:line="560" w:lineRule="exact"/>
        <w:ind w:firstLine="643" w:firstLineChars="200"/>
        <w:rPr>
          <w:rFonts w:hint="eastAsia" w:ascii="仿宋" w:hAnsi="仿宋" w:eastAsia="仿宋" w:cs="仿宋"/>
          <w:sz w:val="32"/>
          <w:szCs w:val="32"/>
        </w:rPr>
      </w:pPr>
      <w:r>
        <w:rPr>
          <w:rFonts w:hint="eastAsia" w:ascii="仿宋" w:hAnsi="仿宋" w:eastAsia="仿宋" w:cs="仿宋"/>
          <w:b/>
          <w:sz w:val="32"/>
          <w:szCs w:val="32"/>
        </w:rPr>
        <w:t>公务用车购置费：</w:t>
      </w:r>
      <w:r>
        <w:rPr>
          <w:rFonts w:hint="eastAsia" w:ascii="仿宋" w:hAnsi="仿宋" w:eastAsia="仿宋" w:cs="仿宋"/>
          <w:sz w:val="32"/>
          <w:szCs w:val="32"/>
        </w:rPr>
        <w:t>本部门2017年度</w:t>
      </w:r>
      <w:r>
        <w:rPr>
          <w:rFonts w:hint="eastAsia" w:ascii="仿宋" w:hAnsi="仿宋" w:eastAsia="仿宋" w:cs="仿宋"/>
          <w:sz w:val="32"/>
          <w:szCs w:val="32"/>
          <w:lang w:eastAsia="zh-CN"/>
        </w:rPr>
        <w:t>公务用车购置量</w:t>
      </w:r>
      <w:r>
        <w:rPr>
          <w:rFonts w:hint="eastAsia" w:ascii="仿宋" w:hAnsi="仿宋" w:eastAsia="仿宋" w:cs="仿宋"/>
          <w:sz w:val="32"/>
          <w:szCs w:val="32"/>
          <w:lang w:val="en-US" w:eastAsia="zh-CN"/>
        </w:rPr>
        <w:t>0辆，</w:t>
      </w:r>
      <w:r>
        <w:rPr>
          <w:rFonts w:hint="eastAsia" w:ascii="仿宋" w:hAnsi="仿宋" w:eastAsia="仿宋" w:cs="仿宋"/>
          <w:color w:val="000000"/>
          <w:sz w:val="32"/>
          <w:szCs w:val="32"/>
        </w:rPr>
        <w:t>未发生“公务用车购置”经费支出</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较年初预算无增减变化</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较2016年度决算无增减变化。</w:t>
      </w:r>
    </w:p>
    <w:p>
      <w:pPr>
        <w:widowControl w:val="0"/>
        <w:wordWrap/>
        <w:adjustRightInd/>
        <w:snapToGrid/>
        <w:spacing w:after="0" w:line="480" w:lineRule="auto"/>
        <w:ind w:left="0" w:leftChars="0" w:right="0" w:firstLine="640"/>
        <w:jc w:val="both"/>
        <w:textAlignment w:val="auto"/>
        <w:outlineLvl w:val="9"/>
        <w:rPr>
          <w:rFonts w:hint="eastAsia" w:ascii="仿宋" w:hAnsi="仿宋" w:eastAsia="仿宋" w:cs="仿宋"/>
          <w:sz w:val="32"/>
          <w:szCs w:val="32"/>
        </w:rPr>
      </w:pPr>
      <w:r>
        <w:rPr>
          <w:rFonts w:hint="eastAsia" w:ascii="仿宋" w:hAnsi="仿宋" w:eastAsia="仿宋" w:cs="仿宋"/>
          <w:b/>
          <w:sz w:val="32"/>
          <w:szCs w:val="32"/>
        </w:rPr>
        <w:t>公务用车运行维护费：</w:t>
      </w:r>
      <w:r>
        <w:rPr>
          <w:rFonts w:hint="eastAsia" w:ascii="仿宋" w:hAnsi="仿宋" w:eastAsia="仿宋" w:cs="仿宋"/>
          <w:sz w:val="32"/>
          <w:szCs w:val="32"/>
        </w:rPr>
        <w:t>本部门2017年度公车保有量1辆，</w:t>
      </w:r>
    </w:p>
    <w:p>
      <w:pPr>
        <w:widowControl w:val="0"/>
        <w:wordWrap/>
        <w:adjustRightInd/>
        <w:snapToGrid/>
        <w:spacing w:after="0" w:line="480" w:lineRule="auto"/>
        <w:ind w:left="0" w:leftChars="0" w:right="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公车运行维护费</w:t>
      </w:r>
      <w:r>
        <w:rPr>
          <w:rFonts w:hint="eastAsia" w:ascii="仿宋" w:hAnsi="仿宋" w:eastAsia="仿宋" w:cs="仿宋"/>
          <w:sz w:val="32"/>
          <w:szCs w:val="32"/>
          <w:lang w:eastAsia="zh-CN"/>
        </w:rPr>
        <w:t>支出</w:t>
      </w:r>
      <w:r>
        <w:rPr>
          <w:rFonts w:hint="eastAsia" w:ascii="仿宋" w:hAnsi="仿宋" w:eastAsia="仿宋" w:cs="仿宋"/>
          <w:sz w:val="32"/>
          <w:szCs w:val="32"/>
        </w:rPr>
        <w:t>较年初预算减少1.5万元，降低50%，主要是响应上级要求，减少“三公”经费支出；较2016年度决算减少5万元，降低76.92%，主要是响应上级要求，减少“三公”经费支出。</w:t>
      </w:r>
    </w:p>
    <w:p>
      <w:pPr>
        <w:numPr>
          <w:ilvl w:val="0"/>
          <w:numId w:val="1"/>
        </w:numPr>
        <w:adjustRightInd w:val="0"/>
        <w:snapToGrid w:val="0"/>
        <w:spacing w:after="0" w:line="560" w:lineRule="exact"/>
        <w:ind w:firstLine="643" w:firstLineChars="200"/>
        <w:rPr>
          <w:rFonts w:hint="eastAsia" w:ascii="仿宋" w:hAnsi="仿宋" w:eastAsia="仿宋" w:cs="仿宋"/>
          <w:sz w:val="32"/>
          <w:szCs w:val="32"/>
        </w:rPr>
      </w:pPr>
      <w:r>
        <w:rPr>
          <w:rFonts w:hint="eastAsia" w:ascii="楷体_GB2312" w:hAnsi="楷体_GB2312" w:eastAsia="楷体_GB2312" w:cs="楷体_GB2312"/>
          <w:b/>
          <w:bCs/>
          <w:sz w:val="32"/>
          <w:szCs w:val="32"/>
        </w:rPr>
        <w:t>公务接待费支出0万元。</w:t>
      </w:r>
      <w:r>
        <w:rPr>
          <w:rFonts w:hint="eastAsia" w:ascii="仿宋" w:hAnsi="仿宋" w:eastAsia="仿宋" w:cs="仿宋"/>
          <w:sz w:val="32"/>
          <w:szCs w:val="32"/>
        </w:rPr>
        <w:t>本部门2017年度</w:t>
      </w:r>
      <w:r>
        <w:rPr>
          <w:rFonts w:hint="eastAsia" w:ascii="仿宋" w:hAnsi="仿宋" w:eastAsia="仿宋" w:cs="仿宋"/>
          <w:color w:val="000000"/>
          <w:sz w:val="32"/>
          <w:szCs w:val="32"/>
        </w:rPr>
        <w:t>未发生</w:t>
      </w:r>
      <w:r>
        <w:rPr>
          <w:rFonts w:hint="eastAsia" w:ascii="仿宋" w:hAnsi="仿宋" w:eastAsia="仿宋" w:cs="仿宋"/>
          <w:b w:val="0"/>
          <w:bCs w:val="0"/>
          <w:color w:val="000000"/>
          <w:sz w:val="32"/>
          <w:szCs w:val="32"/>
        </w:rPr>
        <w:t>“</w:t>
      </w:r>
      <w:r>
        <w:rPr>
          <w:rFonts w:hint="eastAsia" w:ascii="仿宋" w:hAnsi="仿宋" w:eastAsia="仿宋" w:cs="仿宋"/>
          <w:b w:val="0"/>
          <w:bCs w:val="0"/>
          <w:sz w:val="32"/>
          <w:szCs w:val="32"/>
        </w:rPr>
        <w:t>公务接待</w:t>
      </w:r>
      <w:r>
        <w:rPr>
          <w:rFonts w:hint="eastAsia" w:ascii="仿宋" w:hAnsi="仿宋" w:eastAsia="仿宋" w:cs="仿宋"/>
          <w:b w:val="0"/>
          <w:bCs w:val="0"/>
          <w:color w:val="000000"/>
          <w:sz w:val="32"/>
          <w:szCs w:val="32"/>
        </w:rPr>
        <w:t>”</w:t>
      </w:r>
      <w:r>
        <w:rPr>
          <w:rFonts w:hint="eastAsia" w:ascii="仿宋" w:hAnsi="仿宋" w:eastAsia="仿宋" w:cs="仿宋"/>
          <w:color w:val="000000"/>
          <w:sz w:val="32"/>
          <w:szCs w:val="32"/>
        </w:rPr>
        <w:t>经费支出</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较年初预算无增减变化</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较2016年度决算减少0.2万元，减少100%，主要是</w:t>
      </w:r>
      <w:r>
        <w:rPr>
          <w:rFonts w:hint="eastAsia" w:ascii="仿宋" w:hAnsi="仿宋" w:eastAsia="仿宋" w:cs="仿宋"/>
          <w:sz w:val="32"/>
          <w:szCs w:val="32"/>
        </w:rPr>
        <w:t>响应上级要求，减少“三公”经费支出。</w:t>
      </w:r>
    </w:p>
    <w:p>
      <w:pPr>
        <w:rPr>
          <w:rFonts w:hint="eastAsia" w:ascii="仿宋" w:hAnsi="仿宋" w:eastAsia="仿宋" w:cs="仿宋"/>
          <w:b/>
          <w:sz w:val="32"/>
          <w:szCs w:val="32"/>
        </w:rPr>
      </w:pPr>
      <w:r>
        <w:rPr>
          <w:rFonts w:hint="eastAsia" w:ascii="仿宋" w:hAnsi="仿宋" w:eastAsia="仿宋" w:cs="仿宋"/>
          <w:b/>
          <w:sz w:val="32"/>
          <w:szCs w:val="32"/>
        </w:rPr>
        <w:t>2017年度“ 三公” 经费支出预决算对比明细表</w:t>
      </w:r>
    </w:p>
    <w:p>
      <w:pPr>
        <w:jc w:val="right"/>
        <w:rPr>
          <w:rFonts w:ascii="宋体" w:hAnsi="宋体" w:cs="宋体"/>
          <w:sz w:val="28"/>
          <w:szCs w:val="28"/>
        </w:rPr>
      </w:pPr>
      <w:r>
        <w:rPr>
          <w:rFonts w:hint="eastAsia" w:ascii="宋体" w:hAnsi="宋体" w:cs="宋体"/>
          <w:sz w:val="28"/>
          <w:szCs w:val="28"/>
        </w:rPr>
        <w:t>单位：万元</w:t>
      </w:r>
    </w:p>
    <w:tbl>
      <w:tblPr>
        <w:tblStyle w:val="10"/>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宋体" w:hAnsi="宋体" w:cs="宋体"/>
                <w:sz w:val="24"/>
              </w:rPr>
            </w:pPr>
            <w:r>
              <w:rPr>
                <w:rFonts w:hint="eastAsia" w:ascii="宋体" w:hAnsi="宋体" w:cs="宋体"/>
                <w:sz w:val="24"/>
              </w:rPr>
              <w:t>“ 三公” 经费</w:t>
            </w:r>
          </w:p>
        </w:tc>
        <w:tc>
          <w:tcPr>
            <w:tcW w:w="2131" w:type="dxa"/>
            <w:vAlign w:val="center"/>
          </w:tcPr>
          <w:p>
            <w:pPr>
              <w:jc w:val="center"/>
              <w:rPr>
                <w:rFonts w:ascii="宋体" w:hAnsi="宋体" w:cs="宋体"/>
                <w:b/>
                <w:sz w:val="24"/>
              </w:rPr>
            </w:pPr>
            <w:r>
              <w:rPr>
                <w:rFonts w:hint="eastAsia" w:ascii="宋体" w:hAnsi="宋体" w:cs="宋体"/>
                <w:sz w:val="24"/>
              </w:rPr>
              <w:t>2017年实际支出</w:t>
            </w:r>
          </w:p>
        </w:tc>
        <w:tc>
          <w:tcPr>
            <w:tcW w:w="2130" w:type="dxa"/>
            <w:vAlign w:val="center"/>
          </w:tcPr>
          <w:p>
            <w:pPr>
              <w:jc w:val="center"/>
              <w:rPr>
                <w:rFonts w:ascii="宋体" w:hAnsi="宋体" w:cs="宋体"/>
                <w:sz w:val="24"/>
              </w:rPr>
            </w:pPr>
            <w:r>
              <w:rPr>
                <w:rFonts w:hint="eastAsia" w:ascii="宋体" w:hAnsi="宋体" w:cs="宋体"/>
                <w:sz w:val="24"/>
              </w:rPr>
              <w:t>2017年预算</w:t>
            </w:r>
          </w:p>
        </w:tc>
        <w:tc>
          <w:tcPr>
            <w:tcW w:w="2131" w:type="dxa"/>
            <w:vAlign w:val="center"/>
          </w:tcPr>
          <w:p>
            <w:pPr>
              <w:jc w:val="center"/>
              <w:rPr>
                <w:rFonts w:ascii="宋体" w:hAnsi="宋体" w:cs="宋体"/>
                <w:b/>
                <w:sz w:val="24"/>
              </w:rPr>
            </w:pPr>
            <w:r>
              <w:rPr>
                <w:rFonts w:hint="eastAsia" w:ascii="宋体" w:hAnsi="宋体" w:cs="宋体"/>
                <w:sz w:val="24"/>
              </w:rPr>
              <w:t>预决算对比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8" w:hRule="atLeast"/>
        </w:trPr>
        <w:tc>
          <w:tcPr>
            <w:tcW w:w="2130" w:type="dxa"/>
            <w:vAlign w:val="center"/>
          </w:tcPr>
          <w:p>
            <w:pPr>
              <w:jc w:val="center"/>
              <w:rPr>
                <w:rFonts w:ascii="宋体" w:hAnsi="宋体" w:cs="宋体"/>
                <w:sz w:val="24"/>
              </w:rPr>
            </w:pPr>
            <w:r>
              <w:rPr>
                <w:rFonts w:hint="eastAsia" w:ascii="宋体" w:hAnsi="宋体" w:cs="宋体"/>
                <w:sz w:val="24"/>
              </w:rPr>
              <w:t>因公出国（境）支出</w:t>
            </w:r>
          </w:p>
        </w:tc>
        <w:tc>
          <w:tcPr>
            <w:tcW w:w="2131" w:type="dxa"/>
            <w:vAlign w:val="center"/>
          </w:tcPr>
          <w:p>
            <w:pPr>
              <w:jc w:val="center"/>
              <w:rPr>
                <w:rFonts w:ascii="宋体" w:hAnsi="宋体" w:cs="宋体"/>
                <w:sz w:val="24"/>
              </w:rPr>
            </w:pPr>
            <w:r>
              <w:rPr>
                <w:rFonts w:hint="eastAsia" w:ascii="宋体" w:hAnsi="宋体" w:cs="宋体"/>
                <w:sz w:val="24"/>
              </w:rPr>
              <w:t>0</w:t>
            </w:r>
          </w:p>
        </w:tc>
        <w:tc>
          <w:tcPr>
            <w:tcW w:w="2130" w:type="dxa"/>
            <w:vAlign w:val="center"/>
          </w:tcPr>
          <w:p>
            <w:pPr>
              <w:jc w:val="center"/>
              <w:rPr>
                <w:rFonts w:ascii="宋体" w:hAnsi="宋体" w:cs="宋体"/>
                <w:sz w:val="24"/>
              </w:rPr>
            </w:pPr>
            <w:r>
              <w:rPr>
                <w:rFonts w:hint="eastAsia" w:ascii="宋体" w:hAnsi="宋体" w:cs="宋体"/>
                <w:sz w:val="24"/>
              </w:rPr>
              <w:t>0</w:t>
            </w:r>
          </w:p>
        </w:tc>
        <w:tc>
          <w:tcPr>
            <w:tcW w:w="2131" w:type="dxa"/>
            <w:vAlign w:val="center"/>
          </w:tcPr>
          <w:p>
            <w:pPr>
              <w:jc w:val="center"/>
              <w:rPr>
                <w:rFonts w:ascii="宋体" w:hAnsi="宋体" w:cs="宋体"/>
                <w:sz w:val="24"/>
              </w:rPr>
            </w:pPr>
            <w:r>
              <w:rPr>
                <w:rFonts w:hint="eastAsia" w:ascii="宋体" w:hAnsi="宋体" w:cs="宋体"/>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宋体" w:hAnsi="宋体" w:cs="宋体"/>
                <w:sz w:val="24"/>
              </w:rPr>
            </w:pPr>
            <w:r>
              <w:rPr>
                <w:rFonts w:hint="eastAsia" w:ascii="宋体" w:hAnsi="宋体" w:cs="宋体"/>
                <w:sz w:val="24"/>
              </w:rPr>
              <w:t>公务用车运行维护费</w:t>
            </w:r>
          </w:p>
        </w:tc>
        <w:tc>
          <w:tcPr>
            <w:tcW w:w="2131" w:type="dxa"/>
            <w:vAlign w:val="center"/>
          </w:tcPr>
          <w:p>
            <w:pPr>
              <w:jc w:val="center"/>
              <w:rPr>
                <w:rFonts w:ascii="宋体" w:hAnsi="宋体" w:cs="宋体"/>
                <w:sz w:val="24"/>
              </w:rPr>
            </w:pPr>
            <w:r>
              <w:rPr>
                <w:rFonts w:hint="eastAsia" w:ascii="宋体" w:hAnsi="宋体" w:cs="宋体"/>
                <w:sz w:val="24"/>
              </w:rPr>
              <w:t>2.43</w:t>
            </w:r>
          </w:p>
        </w:tc>
        <w:tc>
          <w:tcPr>
            <w:tcW w:w="2130" w:type="dxa"/>
            <w:vAlign w:val="center"/>
          </w:tcPr>
          <w:p>
            <w:pPr>
              <w:jc w:val="center"/>
              <w:rPr>
                <w:rFonts w:ascii="宋体" w:hAnsi="宋体" w:cs="宋体"/>
                <w:sz w:val="24"/>
              </w:rPr>
            </w:pPr>
            <w:r>
              <w:rPr>
                <w:rFonts w:hint="eastAsia" w:ascii="宋体" w:hAnsi="宋体" w:cs="宋体"/>
                <w:sz w:val="24"/>
              </w:rPr>
              <w:t>3</w:t>
            </w:r>
          </w:p>
        </w:tc>
        <w:tc>
          <w:tcPr>
            <w:tcW w:w="2131" w:type="dxa"/>
            <w:vAlign w:val="center"/>
          </w:tcPr>
          <w:p>
            <w:pPr>
              <w:jc w:val="center"/>
              <w:rPr>
                <w:rFonts w:ascii="宋体" w:hAnsi="宋体" w:cs="宋体"/>
                <w:sz w:val="24"/>
              </w:rPr>
            </w:pPr>
            <w:r>
              <w:rPr>
                <w:rFonts w:hint="eastAsia" w:ascii="宋体" w:hAnsi="宋体" w:cs="宋体"/>
                <w:sz w:val="24"/>
              </w:rPr>
              <w:t>-0.57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宋体" w:hAnsi="宋体" w:cs="宋体"/>
                <w:sz w:val="24"/>
              </w:rPr>
            </w:pPr>
            <w:r>
              <w:rPr>
                <w:rFonts w:hint="eastAsia" w:ascii="宋体" w:hAnsi="宋体" w:cs="宋体"/>
                <w:sz w:val="24"/>
              </w:rPr>
              <w:t>公务接待费</w:t>
            </w:r>
          </w:p>
        </w:tc>
        <w:tc>
          <w:tcPr>
            <w:tcW w:w="2131" w:type="dxa"/>
            <w:vAlign w:val="center"/>
          </w:tcPr>
          <w:p>
            <w:pPr>
              <w:jc w:val="center"/>
              <w:rPr>
                <w:rFonts w:ascii="宋体" w:hAnsi="宋体" w:cs="宋体"/>
                <w:sz w:val="24"/>
              </w:rPr>
            </w:pPr>
            <w:r>
              <w:rPr>
                <w:rFonts w:hint="eastAsia" w:ascii="宋体" w:hAnsi="宋体" w:cs="宋体"/>
                <w:sz w:val="24"/>
              </w:rPr>
              <w:t>0</w:t>
            </w:r>
          </w:p>
        </w:tc>
        <w:tc>
          <w:tcPr>
            <w:tcW w:w="2130" w:type="dxa"/>
            <w:vAlign w:val="center"/>
          </w:tcPr>
          <w:p>
            <w:pPr>
              <w:jc w:val="center"/>
              <w:rPr>
                <w:rFonts w:ascii="宋体" w:hAnsi="宋体" w:cs="宋体"/>
                <w:sz w:val="24"/>
              </w:rPr>
            </w:pPr>
            <w:r>
              <w:rPr>
                <w:rFonts w:hint="eastAsia" w:ascii="宋体" w:hAnsi="宋体" w:cs="宋体"/>
                <w:sz w:val="24"/>
              </w:rPr>
              <w:t>0</w:t>
            </w:r>
          </w:p>
        </w:tc>
        <w:tc>
          <w:tcPr>
            <w:tcW w:w="2131" w:type="dxa"/>
            <w:vAlign w:val="center"/>
          </w:tcPr>
          <w:p>
            <w:pPr>
              <w:jc w:val="center"/>
              <w:rPr>
                <w:rFonts w:ascii="宋体" w:hAnsi="宋体" w:cs="宋体"/>
                <w:sz w:val="24"/>
              </w:rPr>
            </w:pPr>
            <w:r>
              <w:rPr>
                <w:rFonts w:hint="eastAsia" w:ascii="宋体" w:hAnsi="宋体" w:cs="宋体"/>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宋体" w:hAnsi="宋体" w:cs="宋体"/>
                <w:sz w:val="24"/>
              </w:rPr>
            </w:pPr>
            <w:r>
              <w:rPr>
                <w:rFonts w:hint="eastAsia" w:ascii="宋体" w:hAnsi="宋体" w:cs="宋体"/>
                <w:sz w:val="24"/>
              </w:rPr>
              <w:t>合计</w:t>
            </w:r>
          </w:p>
        </w:tc>
        <w:tc>
          <w:tcPr>
            <w:tcW w:w="2131" w:type="dxa"/>
            <w:vAlign w:val="center"/>
          </w:tcPr>
          <w:p>
            <w:pPr>
              <w:jc w:val="center"/>
              <w:rPr>
                <w:rFonts w:ascii="宋体" w:hAnsi="宋体" w:cs="宋体"/>
                <w:sz w:val="24"/>
              </w:rPr>
            </w:pPr>
            <w:r>
              <w:rPr>
                <w:rFonts w:hint="eastAsia" w:ascii="宋体" w:hAnsi="宋体" w:cs="宋体"/>
                <w:sz w:val="24"/>
              </w:rPr>
              <w:t>2.43</w:t>
            </w:r>
          </w:p>
        </w:tc>
        <w:tc>
          <w:tcPr>
            <w:tcW w:w="2130" w:type="dxa"/>
            <w:vAlign w:val="center"/>
          </w:tcPr>
          <w:p>
            <w:pPr>
              <w:jc w:val="center"/>
              <w:rPr>
                <w:rFonts w:ascii="宋体" w:hAnsi="宋体" w:cs="宋体"/>
                <w:sz w:val="24"/>
              </w:rPr>
            </w:pPr>
            <w:r>
              <w:rPr>
                <w:rFonts w:hint="eastAsia" w:ascii="宋体" w:hAnsi="宋体" w:cs="宋体"/>
                <w:sz w:val="24"/>
              </w:rPr>
              <w:t>3</w:t>
            </w:r>
          </w:p>
        </w:tc>
        <w:tc>
          <w:tcPr>
            <w:tcW w:w="2131" w:type="dxa"/>
            <w:vAlign w:val="center"/>
          </w:tcPr>
          <w:p>
            <w:pPr>
              <w:jc w:val="center"/>
              <w:rPr>
                <w:rFonts w:ascii="宋体" w:hAnsi="宋体" w:cs="宋体"/>
                <w:sz w:val="24"/>
              </w:rPr>
            </w:pPr>
            <w:r>
              <w:rPr>
                <w:rFonts w:hint="eastAsia" w:ascii="宋体" w:hAnsi="宋体" w:cs="宋体"/>
                <w:sz w:val="24"/>
              </w:rPr>
              <w:t>-0.57</w:t>
            </w:r>
          </w:p>
        </w:tc>
      </w:tr>
    </w:tbl>
    <w:p>
      <w:pPr>
        <w:adjustRightInd w:val="0"/>
        <w:snapToGrid w:val="0"/>
        <w:spacing w:after="0" w:line="560" w:lineRule="exact"/>
        <w:rPr>
          <w:rFonts w:ascii="宋体" w:hAnsi="宋体" w:cs="宋体"/>
          <w:sz w:val="32"/>
          <w:szCs w:val="32"/>
        </w:rPr>
      </w:pPr>
    </w:p>
    <w:p>
      <w:pPr>
        <w:pStyle w:val="3"/>
        <w:spacing w:before="0" w:after="0" w:line="560" w:lineRule="exact"/>
        <w:ind w:firstLine="643" w:firstLineChars="200"/>
        <w:rPr>
          <w:rFonts w:hint="eastAsia" w:ascii="黑体" w:hAnsi="黑体" w:eastAsia="黑体" w:cs="黑体"/>
        </w:rPr>
      </w:pPr>
      <w:r>
        <w:rPr>
          <w:rFonts w:hint="eastAsia" w:ascii="黑体" w:hAnsi="黑体" w:eastAsia="黑体" w:cs="黑体"/>
        </w:rPr>
        <w:t>六、绩效预算</w:t>
      </w:r>
      <w:r>
        <w:rPr>
          <w:rFonts w:hint="eastAsia" w:ascii="黑体" w:hAnsi="黑体" w:eastAsia="黑体" w:cs="黑体"/>
          <w:kern w:val="0"/>
        </w:rPr>
        <w:t>管理</w:t>
      </w:r>
      <w:r>
        <w:rPr>
          <w:rFonts w:hint="eastAsia" w:ascii="黑体" w:hAnsi="黑体" w:eastAsia="黑体" w:cs="黑体"/>
        </w:rPr>
        <w:t>工作开展情况说明</w:t>
      </w:r>
    </w:p>
    <w:p>
      <w:pPr>
        <w:ind w:firstLine="643" w:firstLineChars="200"/>
        <w:rPr>
          <w:rFonts w:hint="eastAsia" w:ascii="仿宋" w:hAnsi="仿宋" w:eastAsia="仿宋" w:cs="仿宋"/>
          <w:sz w:val="32"/>
          <w:szCs w:val="32"/>
        </w:rPr>
      </w:pPr>
      <w:r>
        <w:rPr>
          <w:rFonts w:hint="eastAsia" w:ascii="楷体_GB2312" w:hAnsi="楷体_GB2312" w:eastAsia="楷体_GB2312" w:cs="楷体_GB2312"/>
          <w:b/>
          <w:bCs/>
          <w:sz w:val="32"/>
          <w:szCs w:val="32"/>
        </w:rPr>
        <w:t>（一）绩效管理工作开展情况。</w:t>
      </w:r>
      <w:r>
        <w:rPr>
          <w:rFonts w:hint="eastAsia" w:ascii="仿宋" w:hAnsi="仿宋" w:eastAsia="仿宋" w:cs="仿宋"/>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60" w:lineRule="exact"/>
        <w:ind w:firstLine="643" w:firstLineChars="200"/>
        <w:rPr>
          <w:rFonts w:hint="eastAsia" w:ascii="仿宋" w:hAnsi="仿宋" w:eastAsia="仿宋" w:cs="仿宋"/>
          <w:sz w:val="32"/>
          <w:szCs w:val="32"/>
        </w:rPr>
      </w:pPr>
      <w:r>
        <w:rPr>
          <w:rFonts w:hint="eastAsia" w:ascii="楷体_GB2312" w:hAnsi="楷体_GB2312" w:eastAsia="楷体_GB2312" w:cs="楷体_GB2312"/>
          <w:b/>
          <w:bCs/>
          <w:sz w:val="32"/>
          <w:szCs w:val="32"/>
        </w:rPr>
        <w:t>（二）预算项目绩效评价开展情况。</w:t>
      </w:r>
      <w:r>
        <w:rPr>
          <w:rFonts w:hint="eastAsia" w:ascii="仿宋_GB2312" w:eastAsia="仿宋_GB2312" w:cs="DengXian-Regular"/>
          <w:sz w:val="32"/>
          <w:szCs w:val="32"/>
          <w:lang w:val="en-US" w:eastAsia="zh-CN"/>
        </w:rPr>
        <w:t>本单位无民生项目和重点支出项目。</w:t>
      </w:r>
    </w:p>
    <w:p>
      <w:pPr>
        <w:pStyle w:val="3"/>
        <w:spacing w:before="0" w:after="0" w:line="560" w:lineRule="exact"/>
        <w:ind w:firstLine="643" w:firstLineChars="200"/>
        <w:rPr>
          <w:rFonts w:hint="eastAsia" w:ascii="黑体" w:hAnsi="黑体" w:eastAsia="黑体" w:cs="黑体"/>
        </w:rPr>
      </w:pPr>
      <w:r>
        <w:rPr>
          <w:rFonts w:hint="eastAsia" w:ascii="黑体" w:hAnsi="黑体" w:eastAsia="黑体" w:cs="黑体"/>
        </w:rPr>
        <w:t>七、其他重要事项的说明</w:t>
      </w:r>
    </w:p>
    <w:p>
      <w:pPr>
        <w:pStyle w:val="4"/>
        <w:spacing w:before="0" w:after="0" w:line="560" w:lineRule="exact"/>
        <w:ind w:firstLine="643" w:firstLineChars="200"/>
        <w:rPr>
          <w:rFonts w:hint="eastAsia" w:ascii="楷体_GB2312" w:hAnsi="楷体_GB2312" w:eastAsia="楷体_GB2312" w:cs="楷体_GB2312"/>
        </w:rPr>
      </w:pPr>
      <w:r>
        <w:rPr>
          <w:rFonts w:hint="eastAsia" w:ascii="楷体_GB2312" w:hAnsi="楷体_GB2312" w:eastAsia="楷体_GB2312" w:cs="楷体_GB2312"/>
        </w:rPr>
        <w:t>（一）机关运行经费情况</w:t>
      </w:r>
    </w:p>
    <w:p>
      <w:pPr>
        <w:ind w:firstLine="627" w:firstLineChars="196"/>
        <w:rPr>
          <w:rFonts w:hint="eastAsia" w:ascii="仿宋" w:hAnsi="仿宋" w:eastAsia="仿宋" w:cs="仿宋"/>
          <w:sz w:val="32"/>
          <w:szCs w:val="32"/>
        </w:rPr>
      </w:pPr>
      <w:r>
        <w:rPr>
          <w:rFonts w:hint="eastAsia" w:ascii="仿宋" w:hAnsi="仿宋" w:eastAsia="仿宋" w:cs="仿宋"/>
          <w:sz w:val="32"/>
          <w:szCs w:val="32"/>
        </w:rPr>
        <w:t>2017年机关运行经费支出39.22万元，比2016年减少3.82万元，下降11%。主要原因：响应上级号召，</w:t>
      </w:r>
      <w:r>
        <w:rPr>
          <w:rFonts w:hint="eastAsia" w:ascii="仿宋" w:hAnsi="仿宋" w:eastAsia="仿宋" w:cs="仿宋"/>
          <w:szCs w:val="32"/>
        </w:rPr>
        <w:t>“</w:t>
      </w:r>
      <w:r>
        <w:rPr>
          <w:rFonts w:hint="eastAsia" w:ascii="仿宋" w:hAnsi="仿宋" w:eastAsia="仿宋" w:cs="仿宋"/>
          <w:sz w:val="32"/>
          <w:szCs w:val="32"/>
        </w:rPr>
        <w:t>三公”经费减少较多。</w:t>
      </w:r>
    </w:p>
    <w:p>
      <w:pPr>
        <w:ind w:firstLine="627" w:firstLineChars="196"/>
        <w:rPr>
          <w:rFonts w:hint="eastAsia" w:ascii="仿宋" w:hAnsi="仿宋" w:eastAsia="仿宋" w:cs="仿宋"/>
          <w:sz w:val="32"/>
          <w:szCs w:val="32"/>
        </w:rPr>
      </w:pPr>
      <w:r>
        <w:rPr>
          <w:rFonts w:hint="eastAsia" w:ascii="仿宋" w:hAnsi="仿宋" w:eastAsia="仿宋" w:cs="仿宋"/>
          <w:sz w:val="32"/>
          <w:szCs w:val="32"/>
        </w:rPr>
        <w:t xml:space="preserve">除三公经费外，主要有办公及印刷费7.5万元，邮电费0万元，差旅费4万元，会议费0万元，福利费0万元，日常维修费3.5万元，专用材料及一般设备购置费0万元，水电费8万元，取暖费5万元，培训费0万元，劳务费0万元，工会经费0万元，咨询费0万元，其他交通费用9.22万元。 </w:t>
      </w:r>
    </w:p>
    <w:p>
      <w:pPr>
        <w:pStyle w:val="4"/>
        <w:spacing w:before="0" w:after="0" w:line="560" w:lineRule="exact"/>
        <w:ind w:firstLine="643" w:firstLineChars="200"/>
        <w:rPr>
          <w:rFonts w:hint="eastAsia" w:ascii="楷体_GB2312" w:hAnsi="楷体_GB2312" w:eastAsia="楷体_GB2312" w:cs="楷体_GB2312"/>
        </w:rPr>
      </w:pPr>
      <w:r>
        <w:rPr>
          <w:rFonts w:hint="eastAsia" w:ascii="楷体_GB2312" w:hAnsi="楷体_GB2312" w:eastAsia="楷体_GB2312" w:cs="楷体_GB2312"/>
        </w:rPr>
        <w:t>（二）政府采购情况</w:t>
      </w:r>
    </w:p>
    <w:p>
      <w:pPr>
        <w:widowControl w:val="0"/>
        <w:wordWrap/>
        <w:adjustRightInd/>
        <w:snapToGrid/>
        <w:spacing w:after="0" w:line="580" w:lineRule="exact"/>
        <w:ind w:left="0" w:leftChars="0" w:right="0" w:firstLine="640" w:firstLineChars="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本2017年本部门政府采购支出总额100.48万元，其中：政府货物采购支出0万元，政府工程采购支出100.48万元，政府服务采购支出0万元。</w:t>
      </w:r>
    </w:p>
    <w:p>
      <w:pPr>
        <w:adjustRightInd w:val="0"/>
        <w:snapToGrid w:val="0"/>
        <w:spacing w:after="0" w:line="560" w:lineRule="exact"/>
        <w:ind w:firstLine="640" w:firstLineChars="200"/>
        <w:rPr>
          <w:rFonts w:hint="eastAsia" w:ascii="仿宋" w:hAnsi="仿宋" w:eastAsia="仿宋" w:cs="仿宋"/>
          <w:sz w:val="32"/>
          <w:szCs w:val="32"/>
        </w:rPr>
      </w:pPr>
    </w:p>
    <w:p>
      <w:pPr>
        <w:pStyle w:val="4"/>
        <w:spacing w:before="0" w:after="0" w:line="560" w:lineRule="exact"/>
        <w:ind w:firstLine="643" w:firstLineChars="200"/>
        <w:rPr>
          <w:rFonts w:hint="eastAsia" w:ascii="楷体_GB2312" w:hAnsi="楷体_GB2312" w:eastAsia="楷体_GB2312" w:cs="楷体_GB2312"/>
        </w:rPr>
      </w:pPr>
      <w:r>
        <w:rPr>
          <w:rFonts w:hint="eastAsia" w:ascii="楷体_GB2312" w:hAnsi="楷体_GB2312" w:eastAsia="楷体_GB2312" w:cs="楷体_GB2312"/>
        </w:rPr>
        <w:t>（三）国有资产占用情况</w:t>
      </w:r>
    </w:p>
    <w:p>
      <w:pPr>
        <w:spacing w:line="580" w:lineRule="exact"/>
        <w:ind w:firstLine="660"/>
        <w:rPr>
          <w:rFonts w:hint="eastAsia" w:ascii="仿宋" w:hAnsi="仿宋" w:eastAsia="仿宋" w:cs="仿宋"/>
          <w:sz w:val="32"/>
          <w:szCs w:val="32"/>
        </w:rPr>
      </w:pPr>
      <w:r>
        <w:rPr>
          <w:rFonts w:hint="eastAsia" w:ascii="仿宋" w:hAnsi="仿宋" w:eastAsia="仿宋" w:cs="仿宋"/>
          <w:sz w:val="32"/>
          <w:szCs w:val="32"/>
        </w:rPr>
        <w:t>截至2017年12月31日，本部门共有车辆1辆，其中：一般公务用车1辆；一般执法执勤用车0辆；特种专业技术用车0辆；其他用车0辆。单位价值50万元以上通用设备0台（套），单价100万元以上专用设备0台（套）。</w:t>
      </w:r>
    </w:p>
    <w:p>
      <w:pPr>
        <w:pStyle w:val="4"/>
        <w:spacing w:before="0" w:after="0" w:line="560" w:lineRule="exact"/>
        <w:ind w:firstLine="643" w:firstLineChars="200"/>
        <w:rPr>
          <w:rFonts w:hint="eastAsia" w:ascii="楷体_GB2312" w:hAnsi="楷体_GB2312" w:eastAsia="楷体_GB2312" w:cs="楷体_GB2312"/>
        </w:rPr>
      </w:pPr>
      <w:r>
        <w:rPr>
          <w:rFonts w:hint="eastAsia" w:ascii="楷体_GB2312" w:hAnsi="楷体_GB2312" w:eastAsia="楷体_GB2312" w:cs="楷体_GB2312"/>
        </w:rPr>
        <w:t>（四）其他需要说明的情况</w:t>
      </w:r>
    </w:p>
    <w:p>
      <w:pPr>
        <w:adjustRightInd w:val="0"/>
        <w:snapToGrid w:val="0"/>
        <w:spacing w:after="0"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本部门2017年度政府性基金预算财政拨款收入支出、国有资本经营预算财政拨款收入支出无收支及结转结余情况，故政府性基金预算财政拨款收入支出决算表、国有资本经营预算财政拨款收入支出决算表以空表列示。</w:t>
      </w:r>
    </w:p>
    <w:p>
      <w:pPr>
        <w:adjustRightInd w:val="0"/>
        <w:snapToGrid w:val="0"/>
        <w:spacing w:after="0"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2、由于决算公开表格中金额数值应当保留两位小数，公开数据为四舍五入计算结果，个别数据合计项与分项之和存在小数点后差额，特此说明。</w:t>
      </w:r>
    </w:p>
    <w:p>
      <w:pPr>
        <w:spacing w:beforeLines="100" w:afterLines="100" w:line="360" w:lineRule="auto"/>
        <w:jc w:val="center"/>
        <w:rPr>
          <w:rFonts w:hint="eastAsia" w:ascii="黑体" w:hAnsi="黑体" w:eastAsia="黑体" w:cs="黑体"/>
          <w:b/>
          <w:sz w:val="32"/>
          <w:szCs w:val="32"/>
        </w:rPr>
      </w:pPr>
      <w:r>
        <w:rPr>
          <w:rFonts w:hint="eastAsia" w:ascii="黑体" w:hAnsi="黑体" w:eastAsia="黑体" w:cs="黑体"/>
          <w:b/>
          <w:sz w:val="32"/>
          <w:szCs w:val="32"/>
        </w:rPr>
        <w:t>第四部分 名词解释</w:t>
      </w:r>
    </w:p>
    <w:p>
      <w:pPr>
        <w:adjustRightInd w:val="0"/>
        <w:snapToGrid w:val="0"/>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rPr>
          <w:rFonts w:ascii="宋体" w:hAnsi="宋体" w:cs="宋体"/>
          <w:color w:val="000000"/>
          <w:kern w:val="0"/>
          <w:sz w:val="32"/>
          <w:szCs w:val="32"/>
        </w:rPr>
      </w:pPr>
    </w:p>
    <w:sectPr>
      <w:pgSz w:w="11906" w:h="16838"/>
      <w:pgMar w:top="2098" w:right="1474" w:bottom="1985" w:left="1588" w:header="851" w:footer="992" w:gutter="0"/>
      <w:pgNumType w:start="0"/>
      <w:cols w:space="720"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1C5B710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uiPriority w:val="0"/>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14"/>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eastAsia="宋体" w:cs="黑体"/>
      <w:b/>
      <w:bCs/>
      <w:sz w:val="28"/>
      <w:szCs w:val="28"/>
    </w:rPr>
  </w:style>
  <w:style w:type="character" w:default="1" w:styleId="11">
    <w:name w:val="Default Paragraph Font"/>
    <w:uiPriority w:val="0"/>
  </w:style>
  <w:style w:type="table" w:default="1" w:styleId="10">
    <w:name w:val="Normal Table"/>
    <w:semiHidden/>
    <w:uiPriority w:val="0"/>
    <w:tblPr>
      <w:tblCellMar>
        <w:top w:w="0" w:type="dxa"/>
        <w:left w:w="108" w:type="dxa"/>
        <w:bottom w:w="0" w:type="dxa"/>
        <w:right w:w="108" w:type="dxa"/>
      </w:tblCellMar>
    </w:tblPr>
  </w:style>
  <w:style w:type="paragraph" w:styleId="6">
    <w:name w:val="footer"/>
    <w:basedOn w:val="1"/>
    <w:link w:val="18"/>
    <w:uiPriority w:val="0"/>
    <w:pPr>
      <w:tabs>
        <w:tab w:val="center" w:pos="4153"/>
        <w:tab w:val="right" w:pos="8306"/>
      </w:tabs>
      <w:snapToGrid w:val="0"/>
      <w:jc w:val="left"/>
    </w:pPr>
    <w:rPr>
      <w:sz w:val="18"/>
      <w:szCs w:val="18"/>
    </w:rPr>
  </w:style>
  <w:style w:type="paragraph" w:styleId="7">
    <w:name w:val="header"/>
    <w:basedOn w:val="1"/>
    <w:link w:val="19"/>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0"/>
    <w:uiPriority w:val="0"/>
    <w:pPr>
      <w:widowControl/>
      <w:spacing w:after="200" w:line="276" w:lineRule="auto"/>
      <w:jc w:val="left"/>
    </w:pPr>
    <w:rPr>
      <w:rFonts w:ascii="Calibri" w:hAnsi="Calibri" w:eastAsia="宋体" w:cs="黑体"/>
      <w:i/>
      <w:iCs/>
      <w:color w:val="F0A22E"/>
      <w:spacing w:val="15"/>
      <w:kern w:val="0"/>
      <w:sz w:val="24"/>
      <w:szCs w:val="24"/>
    </w:rPr>
  </w:style>
  <w:style w:type="paragraph" w:styleId="9">
    <w:name w:val="Title"/>
    <w:basedOn w:val="1"/>
    <w:next w:val="1"/>
    <w:link w:val="21"/>
    <w:uiPriority w:val="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2">
    <w:name w:val="标题 1 Char"/>
    <w:basedOn w:val="11"/>
    <w:link w:val="2"/>
    <w:semiHidden/>
    <w:uiPriority w:val="0"/>
    <w:rPr>
      <w:rFonts w:ascii="Times New Roman" w:hAnsi="Times New Roman" w:eastAsia="宋体" w:cs="Times New Roman"/>
      <w:b/>
      <w:bCs/>
      <w:kern w:val="44"/>
      <w:sz w:val="44"/>
      <w:szCs w:val="44"/>
    </w:rPr>
  </w:style>
  <w:style w:type="character" w:customStyle="1" w:styleId="13">
    <w:name w:val="标题 2 Char"/>
    <w:basedOn w:val="11"/>
    <w:link w:val="3"/>
    <w:semiHidden/>
    <w:uiPriority w:val="0"/>
    <w:rPr>
      <w:rFonts w:ascii="Calibri" w:hAnsi="Calibri" w:eastAsia="宋体" w:cs="黑体"/>
      <w:b/>
      <w:bCs/>
      <w:sz w:val="32"/>
      <w:szCs w:val="32"/>
    </w:rPr>
  </w:style>
  <w:style w:type="character" w:customStyle="1" w:styleId="14">
    <w:name w:val="标题 3 Char"/>
    <w:basedOn w:val="11"/>
    <w:link w:val="4"/>
    <w:semiHidden/>
    <w:uiPriority w:val="0"/>
    <w:rPr>
      <w:rFonts w:ascii="Times New Roman" w:hAnsi="Times New Roman" w:eastAsia="宋体" w:cs="Times New Roman"/>
      <w:b/>
      <w:bCs/>
      <w:sz w:val="32"/>
      <w:szCs w:val="32"/>
    </w:rPr>
  </w:style>
  <w:style w:type="character" w:customStyle="1" w:styleId="15">
    <w:name w:val="标题 4 Char"/>
    <w:basedOn w:val="11"/>
    <w:link w:val="5"/>
    <w:semiHidden/>
    <w:uiPriority w:val="0"/>
    <w:rPr>
      <w:rFonts w:ascii="Calibri" w:hAnsi="Calibri" w:eastAsia="宋体" w:cs="黑体"/>
      <w:b/>
      <w:bCs/>
      <w:sz w:val="28"/>
      <w:szCs w:val="28"/>
    </w:rPr>
  </w:style>
  <w:style w:type="character" w:customStyle="1" w:styleId="16">
    <w:name w:val="批注框文本 Char"/>
    <w:basedOn w:val="11"/>
    <w:link w:val="17"/>
    <w:semiHidden/>
    <w:uiPriority w:val="0"/>
    <w:rPr>
      <w:rFonts w:ascii="Times New Roman" w:hAnsi="Times New Roman" w:eastAsia="宋体" w:cs="Times New Roman"/>
      <w:sz w:val="18"/>
      <w:szCs w:val="18"/>
    </w:rPr>
  </w:style>
  <w:style w:type="paragraph" w:customStyle="1" w:styleId="17">
    <w:name w:val="批注框文本1"/>
    <w:basedOn w:val="1"/>
    <w:link w:val="16"/>
    <w:uiPriority w:val="0"/>
    <w:rPr>
      <w:rFonts w:ascii="Times New Roman" w:hAnsi="Times New Roman" w:eastAsia="宋体" w:cs="Times New Roman"/>
      <w:sz w:val="18"/>
      <w:szCs w:val="18"/>
    </w:rPr>
  </w:style>
  <w:style w:type="character" w:customStyle="1" w:styleId="18">
    <w:name w:val="页脚 Char"/>
    <w:basedOn w:val="11"/>
    <w:link w:val="6"/>
    <w:semiHidden/>
    <w:uiPriority w:val="0"/>
    <w:rPr>
      <w:sz w:val="18"/>
      <w:szCs w:val="18"/>
    </w:rPr>
  </w:style>
  <w:style w:type="character" w:customStyle="1" w:styleId="19">
    <w:name w:val="页眉 Char"/>
    <w:basedOn w:val="11"/>
    <w:link w:val="7"/>
    <w:semiHidden/>
    <w:uiPriority w:val="0"/>
    <w:rPr>
      <w:sz w:val="18"/>
      <w:szCs w:val="18"/>
    </w:rPr>
  </w:style>
  <w:style w:type="character" w:customStyle="1" w:styleId="20">
    <w:name w:val="副标题 Char"/>
    <w:basedOn w:val="11"/>
    <w:link w:val="8"/>
    <w:semiHidden/>
    <w:uiPriority w:val="0"/>
    <w:rPr>
      <w:rFonts w:ascii="Calibri" w:hAnsi="Calibri" w:eastAsia="宋体" w:cs="黑体"/>
      <w:i/>
      <w:iCs/>
      <w:color w:val="F0A22E"/>
      <w:spacing w:val="15"/>
      <w:kern w:val="0"/>
      <w:sz w:val="24"/>
      <w:szCs w:val="24"/>
    </w:rPr>
  </w:style>
  <w:style w:type="character" w:customStyle="1" w:styleId="21">
    <w:name w:val="标题 Char"/>
    <w:basedOn w:val="11"/>
    <w:link w:val="9"/>
    <w:semiHidden/>
    <w:uiPriority w:val="0"/>
    <w:rPr>
      <w:rFonts w:ascii="Calibri" w:hAnsi="Calibri" w:eastAsia="宋体" w:cs="黑体"/>
      <w:color w:val="392B23"/>
      <w:spacing w:val="5"/>
      <w:kern w:val="28"/>
      <w:sz w:val="52"/>
      <w:szCs w:val="52"/>
    </w:rPr>
  </w:style>
  <w:style w:type="paragraph" w:customStyle="1" w:styleId="22">
    <w:name w:val="No Spacing"/>
    <w:link w:val="24"/>
    <w:uiPriority w:val="0"/>
    <w:pPr>
      <w:spacing w:after="160" w:line="480" w:lineRule="auto"/>
    </w:pPr>
    <w:rPr>
      <w:rFonts w:ascii="Calibri" w:hAnsi="Calibri" w:eastAsia="宋体" w:cs="Calibri"/>
      <w:kern w:val="0"/>
      <w:sz w:val="22"/>
      <w:lang w:val="en-US" w:eastAsia="zh-CN" w:bidi="ar-SA"/>
    </w:rPr>
  </w:style>
  <w:style w:type="paragraph" w:customStyle="1" w:styleId="23">
    <w:name w:val="列出段落1"/>
    <w:basedOn w:val="1"/>
    <w:uiPriority w:val="0"/>
    <w:pPr>
      <w:ind w:firstLine="420" w:firstLineChars="200"/>
    </w:pPr>
  </w:style>
  <w:style w:type="character" w:customStyle="1" w:styleId="24">
    <w:name w:val="无间隔 Char"/>
    <w:basedOn w:val="11"/>
    <w:link w:val="22"/>
    <w:semiHidden/>
    <w:uiPriority w:val="0"/>
    <w:rPr>
      <w:kern w:val="0"/>
      <w:sz w:val="22"/>
    </w:rPr>
  </w:style>
  <w:style w:type="character" w:customStyle="1" w:styleId="25">
    <w:name w:val="Style1"/>
    <w:basedOn w:val="11"/>
    <w:uiPriority w:val="0"/>
    <w:rPr>
      <w:rFonts w:ascii="Cambria" w:hAnsi="黑体" w:eastAsia="黑体" w:cs="黑体"/>
      <w:sz w:val="22"/>
      <w:szCs w:val="22"/>
      <w:lang w:eastAsia="zh-CN"/>
    </w:rPr>
  </w:style>
  <w:style w:type="character" w:customStyle="1" w:styleId="26">
    <w:name w:val="Style2"/>
    <w:basedOn w:val="11"/>
    <w:uiPriority w:val="0"/>
    <w:rPr>
      <w:rFonts w:ascii="Cambria" w:hAnsi="黑体" w:eastAsia="黑体" w:cs="黑体"/>
      <w:sz w:val="22"/>
      <w:szCs w:val="22"/>
      <w:lang w:eastAsia="zh-CN"/>
    </w:rPr>
  </w:style>
  <w:style w:type="character" w:customStyle="1" w:styleId="27">
    <w:name w:val="Style3"/>
    <w:basedOn w:val="11"/>
    <w:uiPriority w:val="0"/>
    <w:rPr>
      <w:rFonts w:ascii="Cambria" w:hAnsi="黑体" w:eastAsia="黑体" w:cs="黑体"/>
      <w:szCs w:val="22"/>
      <w:lang w:eastAsia="zh-CN"/>
    </w:rPr>
  </w:style>
  <w:style w:type="character" w:customStyle="1" w:styleId="28">
    <w:name w:val="Style4"/>
    <w:basedOn w:val="11"/>
    <w:uiPriority w:val="0"/>
    <w:rPr>
      <w:rFonts w:ascii="Cambria" w:hAnsi="黑体" w:eastAsia="黑体" w:cs="黑体"/>
      <w:szCs w:val="22"/>
      <w:lang w:eastAsia="zh-CN"/>
    </w:rPr>
  </w:style>
  <w:style w:type="character" w:customStyle="1" w:styleId="29">
    <w:name w:val="Style5"/>
    <w:basedOn w:val="11"/>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17</Pages>
  <Words>855</Words>
  <Characters>4876</Characters>
  <Lines>40</Lines>
  <Paragraphs>11</Paragraphs>
  <TotalTime>0</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2018-08-30T00:38:00Z</dcterms:created>
  <dc:creator>User</dc:creator>
  <cp:lastModifiedBy>浮生</cp:lastModifiedBy>
  <dcterms:modified xsi:type="dcterms:W3CDTF">2025-01-03T07:25:47Z</dcterms:modified>
  <dc:subject>石家庄市xxx部门</dc:subject>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2C9B3FE16AFB4A5E82DF49C556ADF2A2</vt:lpwstr>
  </property>
</Properties>
</file>