
<file path=[Content_Types].xml><?xml version="1.0" encoding="utf-8"?>
<Types xmlns="http://schemas.openxmlformats.org/package/2006/content-types">
  <Default Extension="xml" ContentType="application/xml"/>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二〇二〇年八月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二〇二〇年八月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902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rPr>
          <w:rFonts w:ascii="黑体" w:hAnsi="黑体" w:eastAsia="黑体" w:cs="黑体"/>
          <w:sz w:val="56"/>
          <w:szCs w:val="72"/>
        </w:rPr>
      </w:pPr>
    </w:p>
    <w:p>
      <w:pPr>
        <w:spacing w:line="480" w:lineRule="auto"/>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中国共产党无极县委组织部</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二〇二〇年八月</w:t>
      </w: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70528"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3212]" o:title="5%" focussize="0,0" r:id="rId28"/>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1、承担县委党的建设（基层组织建设）工作领导小组办公室工作职责。围绕党的重大理论和实践问题调查研究，提出加强全县党的建设的建议；负责党的建设制度改革的宏观指导，研究党的组织工作、干部工作、人才工作的贯彻落实措施，制定或参与制定全县性重要政策和制度；负责“县委基层组织建设</w:t>
      </w:r>
      <w:r>
        <w:rPr>
          <w:rFonts w:hint="eastAsia" w:ascii="仿宋_GB2312" w:hAnsi="仿宋_GB2312" w:eastAsia="仿宋_GB2312" w:cs="仿宋_GB2312"/>
          <w:color w:val="000000"/>
          <w:sz w:val="32"/>
          <w:szCs w:val="32"/>
          <w:lang w:eastAsia="zh-CN"/>
        </w:rPr>
        <w:t>联席会议</w:t>
      </w:r>
      <w:r>
        <w:rPr>
          <w:rFonts w:hint="eastAsia" w:ascii="仿宋_GB2312" w:hAnsi="仿宋_GB2312" w:eastAsia="仿宋_GB2312" w:cs="仿宋_GB2312"/>
          <w:color w:val="000000"/>
          <w:sz w:val="32"/>
          <w:szCs w:val="32"/>
        </w:rPr>
        <w:t>”牵头抓总工作。</w:t>
      </w:r>
    </w:p>
    <w:p>
      <w:pPr>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2、负责党员队伍建设、组织员队伍建设以及党员发展、教育、管理工作，负责党的组织制度、党内生活制度建设；组织协调全县党代表大会、党代表会议、人民代表大会的选举工作，负责全县党代表大会代表的日常管理和服务工作；负责党组织建设特别是党的基层组织建设的调查研究，</w:t>
      </w:r>
      <w:r>
        <w:rPr>
          <w:rFonts w:hint="eastAsia" w:ascii="仿宋_GB2312" w:hAnsi="仿宋_GB2312" w:eastAsia="仿宋_GB2312" w:cs="仿宋_GB2312"/>
          <w:color w:val="000000"/>
          <w:sz w:val="32"/>
          <w:szCs w:val="32"/>
          <w:lang w:val="zh-CN"/>
        </w:rPr>
        <w:t>负责谋划指导和组织推动全县抓党建促脱贫攻坚工作；承担县委非公有制经济组织和社会组织工作委员会职责。</w:t>
      </w:r>
    </w:p>
    <w:p>
      <w:pPr>
        <w:pStyle w:val="15"/>
        <w:shd w:val="clear" w:color="auto" w:fill="auto"/>
        <w:tabs>
          <w:tab w:val="left" w:pos="1430"/>
        </w:tabs>
        <w:spacing w:line="580" w:lineRule="exact"/>
        <w:ind w:firstLine="660"/>
        <w:jc w:val="both"/>
        <w:rPr>
          <w:rFonts w:ascii="仿宋_GB2312" w:hAnsi="仿宋_GB2312" w:eastAsia="仿宋_GB2312" w:cs="仿宋_GB2312"/>
          <w:color w:val="000000"/>
          <w:spacing w:val="0"/>
          <w:sz w:val="32"/>
          <w:szCs w:val="32"/>
          <w:u w:val="single"/>
        </w:rPr>
      </w:pPr>
      <w:r>
        <w:rPr>
          <w:rFonts w:hint="eastAsia" w:ascii="仿宋_GB2312" w:hAnsi="仿宋_GB2312" w:eastAsia="仿宋_GB2312" w:cs="仿宋_GB2312"/>
          <w:color w:val="000000"/>
          <w:spacing w:val="0"/>
          <w:sz w:val="32"/>
          <w:szCs w:val="32"/>
        </w:rPr>
        <w:t>3、</w:t>
      </w:r>
      <w:r>
        <w:rPr>
          <w:rFonts w:hint="eastAsia" w:ascii="仿宋_GB2312" w:hAnsi="仿宋_GB2312" w:eastAsia="仿宋_GB2312" w:cs="仿宋_GB2312"/>
          <w:color w:val="000000"/>
          <w:spacing w:val="0"/>
          <w:sz w:val="32"/>
          <w:szCs w:val="32"/>
          <w:lang w:val="zh-CN"/>
        </w:rPr>
        <w:t>负责各级领导班子和干部队伍建设的宏观管理。研究提出领导班子和领导干部队伍建设规划以及干部管理体制的建议，指导领导班子思想作风建设</w:t>
      </w:r>
      <w:r>
        <w:rPr>
          <w:rFonts w:hint="eastAsia" w:ascii="仿宋_GB2312" w:hAnsi="仿宋_GB2312" w:eastAsia="仿宋_GB2312" w:cs="仿宋_GB2312"/>
          <w:color w:val="000000"/>
          <w:spacing w:val="0"/>
          <w:sz w:val="32"/>
          <w:szCs w:val="32"/>
        </w:rPr>
        <w:t>；负责提出各乡镇</w:t>
      </w:r>
      <w:r>
        <w:rPr>
          <w:rFonts w:hint="eastAsia" w:ascii="仿宋_GB2312" w:hAnsi="仿宋_GB2312" w:eastAsia="仿宋_GB2312" w:cs="仿宋_GB2312"/>
          <w:color w:val="000000"/>
          <w:spacing w:val="0"/>
          <w:sz w:val="32"/>
          <w:szCs w:val="32"/>
          <w:lang w:val="zh-CN"/>
        </w:rPr>
        <w:t>和县直各部门以及其他列入县委管理的领导班子调整、配备的建议；负责县委管理干部的考察、综合分析研判，办理职务任免、工资、待遇、退休审批手续；综合管理优秀年轻干部队伍，统筹选育管用工作，组织协调妇女干部、少数民族干部和党外干部培养选拔工作；负责对口支援西藏、新疆干部人才的选派等相关工作；负责</w:t>
      </w:r>
      <w:r>
        <w:rPr>
          <w:rFonts w:hint="eastAsia" w:ascii="仿宋_GB2312" w:hAnsi="仿宋_GB2312" w:eastAsia="仿宋_GB2312" w:cs="仿宋_GB2312"/>
          <w:color w:val="000000"/>
          <w:spacing w:val="0"/>
          <w:sz w:val="32"/>
          <w:szCs w:val="32"/>
        </w:rPr>
        <w:t>符合任职条件的</w:t>
      </w:r>
      <w:r>
        <w:rPr>
          <w:rFonts w:hint="eastAsia" w:ascii="仿宋_GB2312" w:hAnsi="仿宋_GB2312" w:eastAsia="仿宋_GB2312" w:cs="仿宋_GB2312"/>
          <w:color w:val="000000"/>
          <w:spacing w:val="0"/>
          <w:sz w:val="32"/>
          <w:szCs w:val="32"/>
          <w:lang w:val="zh-CN"/>
        </w:rPr>
        <w:t>军队转业干部安置工作；负责</w:t>
      </w:r>
      <w:r>
        <w:rPr>
          <w:rFonts w:hint="eastAsia" w:ascii="仿宋_GB2312" w:hAnsi="仿宋_GB2312" w:eastAsia="仿宋_GB2312" w:cs="仿宋_GB2312"/>
          <w:color w:val="000000"/>
          <w:spacing w:val="0"/>
          <w:sz w:val="32"/>
          <w:szCs w:val="32"/>
        </w:rPr>
        <w:t>管理权限内干部的</w:t>
      </w:r>
      <w:r>
        <w:rPr>
          <w:rFonts w:hint="eastAsia" w:ascii="仿宋_GB2312" w:hAnsi="仿宋_GB2312" w:eastAsia="仿宋_GB2312" w:cs="仿宋_GB2312"/>
          <w:color w:val="000000"/>
          <w:spacing w:val="0"/>
          <w:sz w:val="32"/>
          <w:szCs w:val="32"/>
          <w:lang w:val="zh-CN"/>
        </w:rPr>
        <w:t>宏观管理和任免备案工作；负责全县干部职工档案管理工作；负责省派选调生、大学生村官的培养、使用和管理；承办有关干部的调配、交流安置事宜。</w:t>
      </w:r>
    </w:p>
    <w:p>
      <w:pPr>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4、</w:t>
      </w:r>
      <w:r>
        <w:rPr>
          <w:rFonts w:hint="eastAsia" w:ascii="仿宋_GB2312" w:hAnsi="仿宋_GB2312" w:eastAsia="仿宋_GB2312" w:cs="仿宋_GB2312"/>
          <w:color w:val="000000"/>
          <w:sz w:val="32"/>
          <w:szCs w:val="32"/>
          <w:lang w:val="zh-CN"/>
        </w:rPr>
        <w:t>负责全县干部教育、培训工作；拟订干部教育培训工作规划，组织实施县委管理干部和一定层次其他干部的培训；负责组织系统干部监督工作，组织开展选人用人和执行干部监督制度规定情况的监督检查，处理反映选人用人问题及领导干部相关问题的举报；</w:t>
      </w:r>
      <w:r>
        <w:rPr>
          <w:rFonts w:hint="eastAsia" w:ascii="仿宋_GB2312" w:hAnsi="仿宋_GB2312" w:eastAsia="仿宋_GB2312" w:cs="仿宋_GB2312"/>
          <w:color w:val="000000"/>
          <w:sz w:val="32"/>
          <w:szCs w:val="32"/>
        </w:rPr>
        <w:t>负责干部考核工作，组织实施对县委管理领导班子和领导干部的考核工作，负责机关目标绩效管理，组织实施机关职能绩效目标考核。</w:t>
      </w:r>
    </w:p>
    <w:p>
      <w:pPr>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5、负责公务员、参照公务员法管理事业单位工作人员录用调配、考核奖惩、培训和工资福利等工作；研究拟订公务员管理办法并组织实施；指导全县公务员、参照公务员法管理事业单位工作人员队伍建设。</w:t>
      </w:r>
    </w:p>
    <w:p>
      <w:pPr>
        <w:spacing w:line="580" w:lineRule="exact"/>
        <w:ind w:firstLine="640" w:firstLineChars="200"/>
        <w:rPr>
          <w:rFonts w:ascii="仿宋_GB2312" w:hAnsi="仿宋_GB2312" w:eastAsia="仿宋_GB2312" w:cs="仿宋_GB2312"/>
          <w:color w:val="000000"/>
          <w:sz w:val="32"/>
          <w:szCs w:val="32"/>
          <w:lang w:val="zh-CN"/>
        </w:rPr>
      </w:pPr>
      <w:r>
        <w:rPr>
          <w:rFonts w:hint="eastAsia" w:ascii="仿宋_GB2312" w:hAnsi="仿宋_GB2312" w:eastAsia="仿宋_GB2312" w:cs="仿宋_GB2312"/>
          <w:color w:val="000000"/>
          <w:sz w:val="32"/>
          <w:szCs w:val="32"/>
        </w:rPr>
        <w:t>6、负责全县人才工作和人才队伍建设的牵头抓总、统筹协调、推进落实；负责做好</w:t>
      </w:r>
      <w:bookmarkStart w:id="0" w:name="_GoBack"/>
      <w:bookmarkEnd w:id="0"/>
      <w:r>
        <w:rPr>
          <w:rFonts w:hint="eastAsia" w:ascii="仿宋_GB2312" w:hAnsi="仿宋_GB2312" w:eastAsia="仿宋_GB2312" w:cs="仿宋_GB2312"/>
          <w:color w:val="000000"/>
          <w:sz w:val="32"/>
          <w:szCs w:val="32"/>
        </w:rPr>
        <w:t>省市管优秀专家人才等重点人才推荐申报、</w:t>
      </w:r>
      <w:r>
        <w:rPr>
          <w:rFonts w:hint="eastAsia" w:ascii="仿宋_GB2312" w:hAnsi="仿宋_GB2312" w:eastAsia="仿宋_GB2312" w:cs="仿宋_GB2312"/>
          <w:color w:val="000000"/>
          <w:sz w:val="32"/>
          <w:szCs w:val="32"/>
          <w:lang w:val="zh-CN"/>
        </w:rPr>
        <w:t>联系服务工作；负责县管拔尖人才的选拔管理；承担县委人才工作领导小组办公室日常工作。</w:t>
      </w:r>
    </w:p>
    <w:p>
      <w:pPr>
        <w:spacing w:line="580" w:lineRule="exact"/>
        <w:ind w:firstLine="640" w:firstLineChars="200"/>
        <w:rPr>
          <w:rFonts w:ascii="仿宋_GB2312" w:hAnsi="仿宋_GB2312" w:eastAsia="仿宋_GB2312" w:cs="仿宋_GB2312"/>
          <w:color w:val="000000"/>
          <w:sz w:val="32"/>
          <w:szCs w:val="32"/>
          <w:lang w:val="zh-CN"/>
        </w:rPr>
      </w:pPr>
      <w:r>
        <w:rPr>
          <w:rFonts w:hint="eastAsia" w:ascii="仿宋_GB2312" w:hAnsi="仿宋_GB2312" w:eastAsia="仿宋_GB2312" w:cs="仿宋_GB2312"/>
          <w:color w:val="000000"/>
          <w:sz w:val="32"/>
          <w:szCs w:val="32"/>
        </w:rPr>
        <w:t>7、</w:t>
      </w:r>
      <w:r>
        <w:rPr>
          <w:rFonts w:hint="eastAsia" w:ascii="仿宋_GB2312" w:hAnsi="仿宋_GB2312" w:eastAsia="仿宋_GB2312" w:cs="仿宋_GB2312"/>
          <w:color w:val="000000"/>
          <w:sz w:val="32"/>
          <w:szCs w:val="32"/>
          <w:lang w:val="zh-CN"/>
        </w:rPr>
        <w:t>负责组织系统新闻宣传、信息化建设和组织史征编工作。</w:t>
      </w:r>
    </w:p>
    <w:p>
      <w:pPr>
        <w:spacing w:line="58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8、</w:t>
      </w:r>
      <w:r>
        <w:rPr>
          <w:rFonts w:hint="eastAsia" w:ascii="仿宋_GB2312" w:hAnsi="仿宋_GB2312" w:eastAsia="仿宋_GB2312" w:cs="仿宋_GB2312"/>
          <w:color w:val="000000"/>
          <w:sz w:val="32"/>
          <w:szCs w:val="32"/>
          <w:lang w:val="zh-CN"/>
        </w:rPr>
        <w:t>负责全县组织工作的检查督促，及时向县委反映重要情况并提出建议</w:t>
      </w:r>
      <w:r>
        <w:rPr>
          <w:rFonts w:hint="eastAsia" w:ascii="仿宋_GB2312" w:hAnsi="仿宋_GB2312" w:eastAsia="仿宋_GB2312" w:cs="仿宋_GB2312"/>
          <w:color w:val="000000"/>
          <w:sz w:val="32"/>
          <w:szCs w:val="32"/>
        </w:rPr>
        <w:t>。</w:t>
      </w:r>
    </w:p>
    <w:p>
      <w:pPr>
        <w:pStyle w:val="15"/>
        <w:shd w:val="clear" w:color="auto" w:fill="auto"/>
        <w:tabs>
          <w:tab w:val="left" w:pos="1430"/>
        </w:tabs>
        <w:spacing w:line="580" w:lineRule="exact"/>
        <w:ind w:firstLine="660"/>
        <w:jc w:val="both"/>
        <w:rPr>
          <w:rFonts w:ascii="仿宋_GB2312" w:hAnsi="仿宋_GB2312" w:eastAsia="仿宋_GB2312" w:cs="仿宋_GB2312"/>
          <w:color w:val="000000"/>
          <w:spacing w:val="0"/>
          <w:sz w:val="32"/>
          <w:szCs w:val="32"/>
          <w:lang w:val="zh-CN"/>
        </w:rPr>
      </w:pPr>
      <w:r>
        <w:rPr>
          <w:rFonts w:hint="eastAsia" w:ascii="仿宋_GB2312" w:hAnsi="仿宋_GB2312" w:eastAsia="仿宋_GB2312" w:cs="仿宋_GB2312"/>
          <w:color w:val="000000"/>
          <w:spacing w:val="0"/>
          <w:sz w:val="32"/>
          <w:szCs w:val="32"/>
        </w:rPr>
        <w:t>9、</w:t>
      </w:r>
      <w:r>
        <w:rPr>
          <w:rFonts w:hint="eastAsia" w:ascii="仿宋_GB2312" w:hAnsi="仿宋_GB2312" w:eastAsia="仿宋_GB2312" w:cs="仿宋_GB2312"/>
          <w:color w:val="000000"/>
          <w:spacing w:val="0"/>
          <w:sz w:val="32"/>
          <w:szCs w:val="32"/>
          <w:lang w:val="zh-CN"/>
        </w:rPr>
        <w:t>统一管理县委机构编制委员会办公室，归口管理县委老干部局。</w:t>
      </w:r>
    </w:p>
    <w:p>
      <w:pPr>
        <w:widowControl/>
        <w:spacing w:line="580" w:lineRule="exact"/>
        <w:ind w:firstLine="640" w:firstLineChars="200"/>
        <w:rPr>
          <w:rFonts w:ascii="仿宋_GB2312" w:hAnsi="Calibri" w:eastAsia="仿宋_GB2312" w:cs="ArialUnicodeMS"/>
          <w:kern w:val="0"/>
          <w:sz w:val="32"/>
          <w:szCs w:val="32"/>
        </w:rPr>
      </w:pPr>
      <w:r>
        <w:rPr>
          <w:rFonts w:hint="eastAsia" w:ascii="仿宋_GB2312" w:hAnsi="仿宋_GB2312" w:eastAsia="仿宋_GB2312" w:cs="仿宋_GB2312"/>
          <w:color w:val="000000"/>
          <w:sz w:val="32"/>
          <w:szCs w:val="32"/>
        </w:rPr>
        <w:t>10、</w:t>
      </w:r>
      <w:r>
        <w:rPr>
          <w:rFonts w:hint="eastAsia" w:ascii="仿宋_GB2312" w:hAnsi="仿宋_GB2312" w:eastAsia="仿宋_GB2312" w:cs="仿宋_GB2312"/>
          <w:color w:val="000000"/>
          <w:sz w:val="32"/>
          <w:szCs w:val="32"/>
          <w:lang w:val="zh-CN"/>
        </w:rPr>
        <w:t>完成县委交办的其他任务。</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年度本部门决算汇编范围的独立核算单位（以下简称“单位”）共1个，具体情况如下：</w:t>
      </w:r>
    </w:p>
    <w:tbl>
      <w:tblPr>
        <w:tblStyle w:val="8"/>
        <w:tblpPr w:leftFromText="180" w:rightFromText="180" w:vertAnchor="text" w:horzAnchor="page" w:tblpXSpec="center" w:tblpY="10"/>
        <w:tblOverlap w:val="never"/>
        <w:tblW w:w="86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3"/>
        <w:gridCol w:w="3298"/>
        <w:gridCol w:w="1937"/>
        <w:gridCol w:w="25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93"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298"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1937"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570"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93" w:type="dxa"/>
            <w:vAlign w:val="center"/>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298" w:type="dxa"/>
            <w:vAlign w:val="center"/>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中国共产党无极县委组织部</w:t>
            </w:r>
            <w:r>
              <w:rPr>
                <w:rFonts w:hint="eastAsia" w:ascii="仿宋_GB2312" w:eastAsia="仿宋_GB2312" w:cs="ArialUnicodeMS"/>
                <w:kern w:val="0"/>
                <w:sz w:val="28"/>
                <w:szCs w:val="28"/>
              </w:rPr>
              <w:t>(本级)</w:t>
            </w:r>
          </w:p>
        </w:tc>
        <w:tc>
          <w:tcPr>
            <w:tcW w:w="1937" w:type="dxa"/>
            <w:vAlign w:val="center"/>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行政单位</w:t>
            </w:r>
          </w:p>
        </w:tc>
        <w:tc>
          <w:tcPr>
            <w:tcW w:w="2570" w:type="dxa"/>
            <w:vAlign w:val="center"/>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 w:hRule="atLeast"/>
          <w:jc w:val="center"/>
        </w:trPr>
        <w:tc>
          <w:tcPr>
            <w:tcW w:w="8698"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p>
            <w:pPr>
              <w:spacing w:line="560" w:lineRule="exact"/>
              <w:ind w:firstLine="560" w:firstLineChars="200"/>
              <w:jc w:val="left"/>
              <w:rPr>
                <w:rFonts w:ascii="仿宋_GB2312" w:hAnsi="Calibri" w:eastAsia="仿宋_GB2312" w:cs="ArialUnicodeMS"/>
                <w:kern w:val="0"/>
                <w:sz w:val="28"/>
                <w:szCs w:val="28"/>
              </w:rPr>
            </w:pPr>
          </w:p>
          <w:p>
            <w:pPr>
              <w:spacing w:line="560" w:lineRule="exact"/>
              <w:ind w:firstLine="560" w:firstLineChars="200"/>
              <w:jc w:val="left"/>
              <w:rPr>
                <w:rFonts w:ascii="仿宋_GB2312" w:hAnsi="Calibri" w:eastAsia="仿宋_GB2312" w:cs="ArialUnicodeMS"/>
                <w:kern w:val="0"/>
                <w:sz w:val="28"/>
                <w:szCs w:val="28"/>
              </w:rPr>
            </w:pPr>
          </w:p>
          <w:p>
            <w:pPr>
              <w:spacing w:line="560" w:lineRule="exact"/>
              <w:ind w:firstLine="560" w:firstLineChars="200"/>
              <w:jc w:val="left"/>
              <w:rPr>
                <w:rFonts w:ascii="仿宋_GB2312" w:hAnsi="Calibri" w:eastAsia="仿宋_GB2312" w:cs="ArialUnicodeMS"/>
                <w:kern w:val="0"/>
                <w:sz w:val="28"/>
                <w:szCs w:val="28"/>
              </w:rPr>
            </w:pPr>
          </w:p>
          <w:p>
            <w:pPr>
              <w:spacing w:line="560" w:lineRule="exact"/>
              <w:ind w:firstLine="560" w:firstLineChars="200"/>
              <w:jc w:val="left"/>
              <w:rPr>
                <w:rFonts w:ascii="仿宋_GB2312" w:hAnsi="Calibri" w:eastAsia="仿宋_GB2312" w:cs="ArialUnicodeMS"/>
                <w:kern w:val="0"/>
                <w:sz w:val="28"/>
                <w:szCs w:val="28"/>
              </w:rPr>
            </w:pPr>
          </w:p>
          <w:p>
            <w:pPr>
              <w:spacing w:line="560" w:lineRule="exact"/>
              <w:ind w:firstLine="560" w:firstLineChars="200"/>
              <w:jc w:val="left"/>
              <w:rPr>
                <w:rFonts w:ascii="仿宋_GB2312" w:hAnsi="Calibri" w:eastAsia="仿宋_GB2312" w:cs="ArialUnicodeMS"/>
                <w:kern w:val="0"/>
                <w:sz w:val="28"/>
                <w:szCs w:val="28"/>
              </w:rPr>
            </w:pPr>
          </w:p>
          <w:p>
            <w:pPr>
              <w:spacing w:line="560" w:lineRule="exact"/>
              <w:ind w:firstLine="560" w:firstLineChars="200"/>
              <w:jc w:val="left"/>
              <w:rPr>
                <w:rFonts w:ascii="仿宋_GB2312" w:hAnsi="Calibri" w:eastAsia="仿宋_GB2312" w:cs="ArialUnicodeMS"/>
                <w:kern w:val="0"/>
                <w:sz w:val="28"/>
                <w:szCs w:val="28"/>
              </w:rPr>
            </w:pPr>
          </w:p>
          <w:p>
            <w:pPr>
              <w:spacing w:line="560" w:lineRule="exact"/>
              <w:ind w:firstLine="560" w:firstLineChars="200"/>
              <w:jc w:val="left"/>
              <w:rPr>
                <w:rFonts w:ascii="仿宋_GB2312" w:hAnsi="Calibri" w:eastAsia="仿宋_GB2312" w:cs="ArialUnicodeMS"/>
                <w:kern w:val="0"/>
                <w:sz w:val="28"/>
                <w:szCs w:val="28"/>
              </w:rPr>
            </w:pPr>
          </w:p>
          <w:p>
            <w:pPr>
              <w:spacing w:line="560" w:lineRule="exact"/>
              <w:ind w:firstLine="560" w:firstLineChars="200"/>
              <w:jc w:val="left"/>
              <w:rPr>
                <w:rFonts w:ascii="仿宋_GB2312" w:hAnsi="Calibri" w:eastAsia="仿宋_GB2312" w:cs="ArialUnicodeMS"/>
                <w:kern w:val="0"/>
                <w:sz w:val="28"/>
                <w:szCs w:val="28"/>
              </w:rPr>
            </w:pPr>
          </w:p>
          <w:p>
            <w:pPr>
              <w:spacing w:line="560" w:lineRule="exact"/>
              <w:ind w:firstLine="560" w:firstLineChars="200"/>
              <w:jc w:val="left"/>
              <w:rPr>
                <w:rFonts w:ascii="仿宋_GB2312" w:hAnsi="Calibri" w:eastAsia="仿宋_GB2312" w:cs="ArialUnicodeMS"/>
                <w:kern w:val="0"/>
                <w:sz w:val="28"/>
                <w:szCs w:val="28"/>
              </w:rPr>
            </w:pPr>
          </w:p>
          <w:p>
            <w:pPr>
              <w:spacing w:line="560" w:lineRule="exact"/>
              <w:ind w:firstLine="560" w:firstLineChars="200"/>
              <w:jc w:val="left"/>
              <w:rPr>
                <w:rFonts w:ascii="仿宋_GB2312" w:hAnsi="Calibri" w:eastAsia="仿宋_GB2312" w:cs="ArialUnicodeMS"/>
                <w:kern w:val="0"/>
                <w:sz w:val="28"/>
                <w:szCs w:val="28"/>
              </w:rPr>
            </w:pPr>
          </w:p>
          <w:p>
            <w:pPr>
              <w:spacing w:line="560" w:lineRule="exact"/>
              <w:ind w:firstLine="560" w:firstLineChars="200"/>
              <w:jc w:val="left"/>
              <w:rPr>
                <w:rFonts w:ascii="仿宋_GB2312" w:hAnsi="Calibri" w:eastAsia="仿宋_GB2312" w:cs="ArialUnicodeMS"/>
                <w:kern w:val="0"/>
                <w:sz w:val="28"/>
                <w:szCs w:val="28"/>
              </w:rPr>
            </w:pPr>
          </w:p>
          <w:p>
            <w:pPr>
              <w:spacing w:line="560" w:lineRule="exact"/>
              <w:ind w:firstLine="560" w:firstLineChars="200"/>
              <w:jc w:val="left"/>
              <w:rPr>
                <w:rFonts w:ascii="仿宋_GB2312" w:hAnsi="Calibri" w:eastAsia="仿宋_GB2312" w:cs="ArialUnicodeMS"/>
                <w:kern w:val="0"/>
                <w:sz w:val="28"/>
                <w:szCs w:val="28"/>
              </w:rPr>
            </w:pPr>
          </w:p>
          <w:p>
            <w:pPr>
              <w:spacing w:line="560" w:lineRule="exact"/>
              <w:ind w:firstLine="560" w:firstLineChars="200"/>
              <w:jc w:val="left"/>
              <w:rPr>
                <w:rFonts w:ascii="仿宋_GB2312" w:hAnsi="Calibri" w:eastAsia="仿宋_GB2312" w:cs="ArialUnicodeMS"/>
                <w:kern w:val="0"/>
                <w:sz w:val="28"/>
                <w:szCs w:val="28"/>
              </w:rPr>
            </w:pPr>
          </w:p>
          <w:p>
            <w:pPr>
              <w:spacing w:line="560" w:lineRule="exact"/>
              <w:ind w:firstLine="560" w:firstLineChars="200"/>
              <w:jc w:val="left"/>
              <w:rPr>
                <w:rFonts w:ascii="仿宋_GB2312" w:hAnsi="Calibri" w:eastAsia="仿宋_GB2312" w:cs="ArialUnicodeMS"/>
                <w:kern w:val="0"/>
                <w:sz w:val="28"/>
                <w:szCs w:val="28"/>
              </w:rPr>
            </w:pPr>
          </w:p>
          <w:p>
            <w:pPr>
              <w:spacing w:line="560" w:lineRule="exact"/>
              <w:ind w:firstLine="560" w:firstLineChars="200"/>
              <w:jc w:val="left"/>
              <w:rPr>
                <w:rFonts w:ascii="仿宋_GB2312" w:hAnsi="Calibri" w:eastAsia="仿宋_GB2312" w:cs="ArialUnicodeMS"/>
                <w:kern w:val="0"/>
                <w:sz w:val="28"/>
                <w:szCs w:val="28"/>
              </w:rPr>
            </w:pPr>
          </w:p>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rPr>
          <w:rFonts w:ascii="Times New Roman" w:hAnsi="Times New Roman" w:eastAsia="黑体" w:cs="Times New Roman"/>
          <w:sz w:val="32"/>
          <w:szCs w:val="32"/>
        </w:rPr>
      </w:pPr>
    </w:p>
    <w:p>
      <w:pPr>
        <w:widowControl/>
        <w:spacing w:after="160" w:line="580" w:lineRule="exact"/>
        <w:rPr>
          <w:rFonts w:ascii="黑体" w:hAnsi="黑体" w:eastAsia="黑体" w:cs="黑体"/>
          <w:sz w:val="56"/>
          <w:szCs w:val="72"/>
        </w:rPr>
      </w:pPr>
      <w:r>
        <w:rPr>
          <w:sz w:val="72"/>
        </w:rPr>
        <mc:AlternateContent>
          <mc:Choice Requires="wps">
            <w:drawing>
              <wp:anchor distT="0" distB="0" distL="114300" distR="114300" simplePos="0" relativeHeight="251687936" behindDoc="0" locked="0" layoutInCell="1" allowOverlap="1">
                <wp:simplePos x="0" y="0"/>
                <wp:positionH relativeFrom="column">
                  <wp:posOffset>-1153160</wp:posOffset>
                </wp:positionH>
                <wp:positionV relativeFrom="paragraph">
                  <wp:posOffset>55245</wp:posOffset>
                </wp:positionV>
                <wp:extent cx="7793355" cy="3192780"/>
                <wp:effectExtent l="4445" t="4445" r="12700" b="22225"/>
                <wp:wrapNone/>
                <wp:docPr id="187" name="文本框 187"/>
                <wp:cNvGraphicFramePr/>
                <a:graphic xmlns:a="http://schemas.openxmlformats.org/drawingml/2006/main">
                  <a:graphicData uri="http://schemas.microsoft.com/office/word/2010/wordprocessingShape">
                    <wps:wsp>
                      <wps:cNvSpPr txBox="1"/>
                      <wps:spPr>
                        <a:xfrm>
                          <a:off x="0" y="0"/>
                          <a:ext cx="7793355" cy="319278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第二部分</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51.4pt;width:613.65pt;z-index:251687936;v-text-anchor:middle;mso-width-relative:page;mso-height-relative:page;" fillcolor="#FFD966" filled="t" stroked="t" coordsize="21600,21600" o:gfxdata="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iAdM3aAAAACwEAAA8AAAAAAAAAAQAgAAAAIgAA&#10;AGRycy9kb3ducmV2LnhtbFBLAQIUABQAAAAIAIdO4kCIwQbNeAIAAAgFAAAOAAAAAAAAAAEAIAAA&#10;ACkBAABkcnMvZTJvRG9jLnhtbFBLBQYAAAAABgAGAFkBAAATBgAAAAA=&#10;">
                <v:fill type="pattern" on="t" color2="#FFFFFF [3212]" o:title="5%"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第二部分</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txbxContent>
                </v:textbox>
              </v:shape>
            </w:pict>
          </mc:Fallback>
        </mc:AlternateContent>
      </w:r>
      <w:r>
        <w:rPr>
          <w:rFonts w:hint="eastAsia" w:ascii="黑体" w:hAnsi="黑体" w:eastAsia="黑体" w:cs="黑体"/>
          <w:sz w:val="56"/>
          <w:szCs w:val="72"/>
        </w:rPr>
        <w:t>·</w:t>
      </w:r>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本部门2019年度收支总计997.82万元。与2018年度决算相比，收支各增加470.73万元，增长89.3%，主要原因是人员增加及追加项目增多。</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本部门2019年度本年收入合计947.44万元，其中：财政拨款收入947.44万元，占100%。</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本部门2019年度本年支出合计992.94万元，其中：基本支出408.08万元，占41.10%；项目支出584.86万元，占58.90%。如1图所示：</w:t>
      </w:r>
    </w:p>
    <w:p>
      <w:pPr>
        <w:adjustRightInd w:val="0"/>
        <w:snapToGrid w:val="0"/>
        <w:ind w:firstLine="1260" w:firstLineChars="600"/>
        <w:rPr>
          <w:rFonts w:ascii="仿宋_GB2312" w:hAnsi="Times New Roman" w:eastAsia="仿宋_GB2312" w:cs="DengXian-Regular"/>
          <w:sz w:val="32"/>
          <w:szCs w:val="32"/>
        </w:rPr>
      </w:pPr>
      <w:r>
        <w:drawing>
          <wp:inline distT="0" distB="0" distL="0" distR="0">
            <wp:extent cx="4219575" cy="2514600"/>
            <wp:effectExtent l="57150" t="0" r="47625" b="114300"/>
            <wp:docPr id="224" name="图表 2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947.44万元,比2018年度增加420.35万元，增长79.7%，主要是人员增加及抚恤增加；本年支出992.94万元，增加441.22万元，增长79.97%，主要是人员增加导致支出增多。</w:t>
      </w:r>
    </w:p>
    <w:p>
      <w:pPr>
        <w:adjustRightInd w:val="0"/>
        <w:snapToGrid w:val="0"/>
        <w:ind w:firstLine="420" w:firstLineChars="200"/>
        <w:rPr>
          <w:rFonts w:ascii="仿宋_GB2312" w:hAnsi="Times New Roman" w:eastAsia="仿宋_GB2312" w:cs="DengXian-Regular"/>
          <w:sz w:val="32"/>
          <w:szCs w:val="32"/>
          <w:highlight w:val="yellow"/>
        </w:rPr>
      </w:pPr>
      <w:r>
        <w:drawing>
          <wp:inline distT="0" distB="0" distL="0" distR="0">
            <wp:extent cx="4572000" cy="2981325"/>
            <wp:effectExtent l="57150" t="0" r="57150" b="104775"/>
            <wp:docPr id="226" name="图表 226"/>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947.44万元，完成年初预算的164.29%（如图3）,比年初预算增加370.77万元，决算数大于预算数主要原因是追加项目增多；本年支出992.94万元，完成年初预算的172.18%,比年初预算增加416.27万元，决算数大于预算数主要原因是主要是追加项目增多。</w:t>
      </w:r>
    </w:p>
    <w:p>
      <w:pPr>
        <w:adjustRightInd w:val="0"/>
        <w:snapToGrid w:val="0"/>
        <w:ind w:firstLine="420" w:firstLineChars="200"/>
        <w:rPr>
          <w:rFonts w:ascii="仿宋_GB2312" w:hAnsi="Times New Roman" w:eastAsia="仿宋_GB2312" w:cs="DengXian-Regular"/>
          <w:sz w:val="32"/>
          <w:szCs w:val="32"/>
        </w:rPr>
      </w:pPr>
      <w:r>
        <w:drawing>
          <wp:inline distT="0" distB="0" distL="0" distR="0">
            <wp:extent cx="4572000" cy="3486150"/>
            <wp:effectExtent l="57150" t="0" r="57150" b="114300"/>
            <wp:docPr id="228" name="图表 228"/>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992.94万元，主要用于以下方面：一般公共服务（类）支出809.44万元，占81.52%，；卫生健康支出（类）支出12.32万元，占1.24%；农林水（类）支出4.52万元，占0.46%；社会保障和就业（类）支出166.66万元，占16.78%。如图4所示：</w:t>
      </w:r>
    </w:p>
    <w:p>
      <w:pPr>
        <w:adjustRightInd w:val="0"/>
        <w:snapToGrid w:val="0"/>
        <w:jc w:val="center"/>
        <w:rPr>
          <w:rFonts w:ascii="楷体_GB2312" w:hAnsi="Times New Roman" w:eastAsia="楷体_GB2312" w:cs="DengXian-Bold"/>
          <w:b/>
          <w:bCs/>
          <w:sz w:val="32"/>
          <w:szCs w:val="32"/>
        </w:rPr>
      </w:pPr>
      <w:r>
        <w:drawing>
          <wp:inline distT="0" distB="0" distL="0" distR="0">
            <wp:extent cx="3181350" cy="2609850"/>
            <wp:effectExtent l="57150" t="0" r="57150" b="114300"/>
            <wp:docPr id="225" name="图表 225"/>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年度财政拨款基本支出330.21万元，其中：人员经费 330.21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77.87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本部门2019年度“三公”经费支出共计1.89万元，完成预算的63%,较预算减少1.11万元，降低37%，主要是压缩“三公”经费开支；较2018年度减少1.11万元，降低37%，主要是压缩“三公”经费开支。具体情况如下：</w:t>
      </w:r>
    </w:p>
    <w:p>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（一）因公出国（境）费支出0万元。</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color w:val="000000"/>
          <w:sz w:val="32"/>
          <w:szCs w:val="32"/>
        </w:rPr>
        <w:t>未发生“因公出国（境）”经费支出。</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（二）公务用车购置及运行维护费支出1.89万元。</w:t>
      </w:r>
      <w:r>
        <w:rPr>
          <w:rFonts w:hint="eastAsia" w:ascii="仿宋_GB2312" w:hAnsi="Times New Roman" w:eastAsia="仿宋_GB2312" w:cs="DengXian-Regular"/>
          <w:sz w:val="32"/>
          <w:szCs w:val="32"/>
        </w:rPr>
        <w:t>本部门2019年度公务用车购置及运行维护费较预算减少1.11万元，降低37%,主要是压缩“三公”经费开支；较上年减少1.11万元，降低37%,主要是压缩“三公”经费开支。</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color w:val="000000"/>
          <w:sz w:val="32"/>
          <w:szCs w:val="32"/>
        </w:rPr>
        <w:t>未发生“公务用车购置”经费支出。</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本部门2019年度单位公务用车保有量1辆。公车运行维护费支出较预算减少1.11万元，降低37%,主要是压缩“三公”经费开支。</w:t>
      </w:r>
    </w:p>
    <w:p>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（三）公务接待费支出0万元。</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color w:val="000000"/>
          <w:sz w:val="32"/>
          <w:szCs w:val="32"/>
        </w:rPr>
        <w:t>未发生“公务接待”经费支出</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19个，共涉及资金417.93万元，占一般公共预算项目支出总额的58.90%。本单位认真开展了预算绩效管理改革开展情况自查，对部门全面规范绩效预算编制、严格预算执行管理、推进绩效评价工作、推进预决算信息公开等方面进行自评。</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2018年考核奖励经费项目、村级场所维护经费、大组工网维护保障费、党员教育培训经费、人才工作经费、人才绿卡房补专项经费、及村级场所维护经费项目等19个项目绩效自评结果。</w:t>
      </w:r>
    </w:p>
    <w:p>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2018年考核奖励个人奖励经费项目自评综述：根据年初设定的绩效目标，2018年考核奖励个人奖励经费项目绩效自评得分为92分（绩效自评表附后）。全年预算数为39.6万元，执行数为39.6万元，完成预算的100%。项目绩效目标完成情况：一是年度考核完成后，个人奖励及时发放到位；二是发放率有所提高。</w:t>
      </w:r>
    </w:p>
    <w:tbl>
      <w:tblPr>
        <w:tblStyle w:val="7"/>
        <w:tblW w:w="9020" w:type="dxa"/>
        <w:jc w:val="center"/>
        <w:tblLayout w:type="fixed"/>
        <w:tblCellMar>
          <w:top w:w="0" w:type="dxa"/>
          <w:left w:w="108" w:type="dxa"/>
          <w:bottom w:w="0" w:type="dxa"/>
          <w:right w:w="108" w:type="dxa"/>
        </w:tblCellMar>
      </w:tblPr>
      <w:tblGrid>
        <w:gridCol w:w="584"/>
        <w:gridCol w:w="973"/>
        <w:gridCol w:w="1104"/>
        <w:gridCol w:w="725"/>
        <w:gridCol w:w="1126"/>
        <w:gridCol w:w="282"/>
        <w:gridCol w:w="845"/>
        <w:gridCol w:w="845"/>
        <w:gridCol w:w="281"/>
        <w:gridCol w:w="282"/>
        <w:gridCol w:w="422"/>
        <w:gridCol w:w="141"/>
        <w:gridCol w:w="704"/>
        <w:gridCol w:w="706"/>
      </w:tblGrid>
      <w:tr>
        <w:tblPrEx>
          <w:tblCellMar>
            <w:top w:w="0" w:type="dxa"/>
            <w:left w:w="108" w:type="dxa"/>
            <w:bottom w:w="0" w:type="dxa"/>
            <w:right w:w="108" w:type="dxa"/>
          </w:tblCellMar>
        </w:tblPrEx>
        <w:trPr>
          <w:trHeight w:val="442" w:hRule="exact"/>
          <w:jc w:val="center"/>
        </w:trPr>
        <w:tc>
          <w:tcPr>
            <w:tcW w:w="902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rPr>
          <w:trHeight w:val="397" w:hRule="atLeast"/>
          <w:jc w:val="center"/>
        </w:trPr>
        <w:tc>
          <w:tcPr>
            <w:tcW w:w="902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  2019  年度）</w:t>
            </w:r>
          </w:p>
        </w:tc>
      </w:tr>
      <w:tr>
        <w:tblPrEx>
          <w:tblCellMar>
            <w:top w:w="0" w:type="dxa"/>
            <w:left w:w="108" w:type="dxa"/>
            <w:bottom w:w="0" w:type="dxa"/>
            <w:right w:w="108" w:type="dxa"/>
          </w:tblCellMar>
        </w:tblPrEx>
        <w:trPr>
          <w:trHeight w:val="377" w:hRule="exact"/>
          <w:jc w:val="center"/>
        </w:trPr>
        <w:tc>
          <w:tcPr>
            <w:tcW w:w="155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463" w:type="dxa"/>
            <w:gridSpan w:val="12"/>
            <w:tcBorders>
              <w:top w:val="single" w:color="auto" w:sz="4" w:space="0"/>
              <w:left w:val="nil"/>
              <w:bottom w:val="single" w:color="auto" w:sz="4" w:space="0"/>
              <w:right w:val="single" w:color="auto" w:sz="4" w:space="0"/>
            </w:tcBorders>
            <w:vAlign w:val="center"/>
          </w:tcPr>
          <w:tbl>
            <w:tblPr>
              <w:tblStyle w:val="7"/>
              <w:tblW w:w="6150" w:type="dxa"/>
              <w:tblInd w:w="0" w:type="dxa"/>
              <w:tblLayout w:type="fixed"/>
              <w:tblCellMar>
                <w:top w:w="0" w:type="dxa"/>
                <w:left w:w="0" w:type="dxa"/>
                <w:bottom w:w="0" w:type="dxa"/>
                <w:right w:w="0" w:type="dxa"/>
              </w:tblCellMar>
            </w:tblPr>
            <w:tblGrid>
              <w:gridCol w:w="6150"/>
            </w:tblGrid>
            <w:tr>
              <w:trPr>
                <w:trHeight w:val="600" w:hRule="atLeast"/>
              </w:trPr>
              <w:tc>
                <w:tcPr>
                  <w:tcW w:w="6150" w:type="dxa"/>
                  <w:tcBorders>
                    <w:top w:val="nil"/>
                    <w:left w:val="nil"/>
                    <w:bottom w:val="nil"/>
                    <w:right w:val="nil"/>
                  </w:tcBorders>
                  <w:tcMar>
                    <w:top w:w="15" w:type="dxa"/>
                    <w:left w:w="15" w:type="dxa"/>
                    <w:right w:w="15" w:type="dxa"/>
                  </w:tcMar>
                  <w:vAlign w:val="center"/>
                </w:tcPr>
                <w:p>
                  <w:pPr>
                    <w:widowControl/>
                    <w:tabs>
                      <w:tab w:val="left" w:pos="1606"/>
                    </w:tabs>
                    <w:jc w:val="left"/>
                    <w:textAlignment w:val="center"/>
                    <w:rPr>
                      <w:rFonts w:ascii="宋体" w:hAnsi="宋体" w:eastAsia="宋体" w:cs="宋体"/>
                      <w:kern w:val="0"/>
                      <w:sz w:val="18"/>
                      <w:szCs w:val="18"/>
                    </w:rPr>
                  </w:pPr>
                  <w:r>
                    <w:rPr>
                      <w:rFonts w:hint="eastAsia" w:ascii="宋体" w:hAnsi="宋体" w:eastAsia="宋体" w:cs="宋体"/>
                      <w:kern w:val="0"/>
                      <w:sz w:val="18"/>
                      <w:szCs w:val="18"/>
                    </w:rPr>
                    <w:tab/>
                  </w:r>
                  <w:r>
                    <w:rPr>
                      <w:rFonts w:hint="eastAsia" w:ascii="宋体" w:hAnsi="宋体" w:eastAsia="宋体" w:cs="宋体"/>
                      <w:color w:val="000000"/>
                      <w:kern w:val="0"/>
                      <w:sz w:val="18"/>
                      <w:szCs w:val="18"/>
                      <w:lang w:bidi="ar"/>
                    </w:rPr>
                    <w:t>2018年考核奖励个人奖励经费</w:t>
                  </w:r>
                </w:p>
                <w:tbl>
                  <w:tblPr>
                    <w:tblStyle w:val="7"/>
                    <w:tblW w:w="6150" w:type="dxa"/>
                    <w:tblInd w:w="0" w:type="dxa"/>
                    <w:tblLayout w:type="fixed"/>
                    <w:tblCellMar>
                      <w:top w:w="0" w:type="dxa"/>
                      <w:left w:w="0" w:type="dxa"/>
                      <w:bottom w:w="0" w:type="dxa"/>
                      <w:right w:w="0" w:type="dxa"/>
                    </w:tblCellMar>
                  </w:tblPr>
                  <w:tblGrid>
                    <w:gridCol w:w="6150"/>
                  </w:tblGrid>
                  <w:tr>
                    <w:tblPrEx>
                      <w:tblCellMar>
                        <w:top w:w="0" w:type="dxa"/>
                        <w:left w:w="0" w:type="dxa"/>
                        <w:bottom w:w="0" w:type="dxa"/>
                        <w:right w:w="0" w:type="dxa"/>
                      </w:tblCellMar>
                    </w:tblPrEx>
                    <w:trPr>
                      <w:trHeight w:val="600" w:hRule="atLeast"/>
                    </w:trPr>
                    <w:tc>
                      <w:tcPr>
                        <w:tcW w:w="6150" w:type="dxa"/>
                        <w:tcBorders>
                          <w:top w:val="nil"/>
                          <w:left w:val="nil"/>
                          <w:bottom w:val="nil"/>
                          <w:right w:val="nil"/>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2019年考核奖励个人奖励经费</w:t>
                        </w:r>
                      </w:p>
                    </w:tc>
                  </w:tr>
                </w:tbl>
                <w:p>
                  <w:pPr>
                    <w:widowControl/>
                    <w:tabs>
                      <w:tab w:val="left" w:pos="1606"/>
                    </w:tabs>
                    <w:jc w:val="left"/>
                    <w:textAlignment w:val="center"/>
                    <w:rPr>
                      <w:rFonts w:ascii="宋体" w:hAnsi="宋体" w:eastAsia="宋体" w:cs="宋体"/>
                      <w:kern w:val="0"/>
                      <w:sz w:val="18"/>
                      <w:szCs w:val="18"/>
                    </w:rPr>
                  </w:pPr>
                  <w:r>
                    <w:rPr>
                      <w:rFonts w:hint="eastAsia" w:ascii="宋体" w:hAnsi="宋体" w:eastAsia="宋体" w:cs="宋体"/>
                      <w:kern w:val="0"/>
                      <w:sz w:val="18"/>
                      <w:szCs w:val="18"/>
                    </w:rPr>
                    <w:tab/>
                  </w:r>
                </w:p>
                <w:tbl>
                  <w:tblPr>
                    <w:tblStyle w:val="7"/>
                    <w:tblW w:w="6150" w:type="dxa"/>
                    <w:tblInd w:w="0" w:type="dxa"/>
                    <w:tblLayout w:type="fixed"/>
                    <w:tblCellMar>
                      <w:top w:w="0" w:type="dxa"/>
                      <w:left w:w="0" w:type="dxa"/>
                      <w:bottom w:w="0" w:type="dxa"/>
                      <w:right w:w="0" w:type="dxa"/>
                    </w:tblCellMar>
                  </w:tblPr>
                  <w:tblGrid>
                    <w:gridCol w:w="6150"/>
                  </w:tblGrid>
                  <w:tr>
                    <w:tblPrEx>
                      <w:tblCellMar>
                        <w:top w:w="0" w:type="dxa"/>
                        <w:left w:w="0" w:type="dxa"/>
                        <w:bottom w:w="0" w:type="dxa"/>
                        <w:right w:w="0" w:type="dxa"/>
                      </w:tblCellMar>
                    </w:tblPrEx>
                    <w:trPr>
                      <w:trHeight w:val="600" w:hRule="atLeast"/>
                    </w:trPr>
                    <w:tc>
                      <w:tcPr>
                        <w:tcW w:w="6150" w:type="dxa"/>
                        <w:tcBorders>
                          <w:top w:val="nil"/>
                          <w:left w:val="nil"/>
                          <w:bottom w:val="nil"/>
                          <w:right w:val="nil"/>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2019年考核奖励个人奖励经费</w:t>
                        </w:r>
                      </w:p>
                    </w:tc>
                  </w:tr>
                </w:tbl>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2019年考核奖励个人奖励经费</w:t>
                  </w:r>
                </w:p>
              </w:tc>
            </w:tr>
          </w:tbl>
          <w:p>
            <w:pPr>
              <w:widowControl/>
              <w:tabs>
                <w:tab w:val="left" w:pos="1327"/>
              </w:tabs>
              <w:spacing w:line="240" w:lineRule="exact"/>
              <w:jc w:val="left"/>
              <w:rPr>
                <w:rFonts w:ascii="宋体" w:hAnsi="宋体" w:eastAsia="宋体" w:cs="宋体"/>
                <w:kern w:val="0"/>
                <w:sz w:val="18"/>
                <w:szCs w:val="18"/>
              </w:rPr>
            </w:pPr>
          </w:p>
          <w:tbl>
            <w:tblPr>
              <w:tblStyle w:val="7"/>
              <w:tblW w:w="6150" w:type="dxa"/>
              <w:tblInd w:w="0" w:type="dxa"/>
              <w:tblLayout w:type="fixed"/>
              <w:tblCellMar>
                <w:top w:w="0" w:type="dxa"/>
                <w:left w:w="0" w:type="dxa"/>
                <w:bottom w:w="0" w:type="dxa"/>
                <w:right w:w="0" w:type="dxa"/>
              </w:tblCellMar>
            </w:tblPr>
            <w:tblGrid>
              <w:gridCol w:w="6150"/>
            </w:tblGrid>
            <w:tr>
              <w:tblPrEx>
                <w:tblCellMar>
                  <w:top w:w="0" w:type="dxa"/>
                  <w:left w:w="0" w:type="dxa"/>
                  <w:bottom w:w="0" w:type="dxa"/>
                  <w:right w:w="0" w:type="dxa"/>
                </w:tblCellMar>
              </w:tblPrEx>
              <w:trPr>
                <w:trHeight w:val="600" w:hRule="atLeast"/>
              </w:trPr>
              <w:tc>
                <w:tcPr>
                  <w:tcW w:w="6150" w:type="dxa"/>
                  <w:tcBorders>
                    <w:top w:val="nil"/>
                    <w:left w:val="nil"/>
                    <w:bottom w:val="nil"/>
                    <w:right w:val="nil"/>
                  </w:tcBorders>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2019年考核奖励个人奖励经费</w:t>
                  </w:r>
                </w:p>
              </w:tc>
            </w:tr>
          </w:tbl>
          <w:p>
            <w:pPr>
              <w:widowControl/>
              <w:tabs>
                <w:tab w:val="left" w:pos="1327"/>
              </w:tabs>
              <w:spacing w:line="240" w:lineRule="exact"/>
              <w:jc w:val="left"/>
              <w:rPr>
                <w:rFonts w:ascii="宋体" w:hAnsi="宋体" w:eastAsia="宋体" w:cs="宋体"/>
                <w:kern w:val="0"/>
                <w:sz w:val="18"/>
                <w:szCs w:val="18"/>
              </w:rPr>
            </w:pPr>
          </w:p>
        </w:tc>
      </w:tr>
      <w:tr>
        <w:tblPrEx>
          <w:tblCellMar>
            <w:top w:w="0" w:type="dxa"/>
            <w:left w:w="108" w:type="dxa"/>
            <w:bottom w:w="0" w:type="dxa"/>
            <w:right w:w="108" w:type="dxa"/>
          </w:tblCellMar>
        </w:tblPrEx>
        <w:trPr>
          <w:trHeight w:val="292" w:hRule="exact"/>
          <w:jc w:val="center"/>
        </w:trPr>
        <w:tc>
          <w:tcPr>
            <w:tcW w:w="1557"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082"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无极县委组织部</w:t>
            </w:r>
          </w:p>
        </w:tc>
        <w:tc>
          <w:tcPr>
            <w:tcW w:w="112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55"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无极县委组织部</w:t>
            </w:r>
          </w:p>
        </w:tc>
      </w:tr>
      <w:tr>
        <w:tblPrEx>
          <w:tblCellMar>
            <w:top w:w="0" w:type="dxa"/>
            <w:left w:w="108" w:type="dxa"/>
            <w:bottom w:w="0" w:type="dxa"/>
            <w:right w:w="108" w:type="dxa"/>
          </w:tblCellMar>
        </w:tblPrEx>
        <w:trPr>
          <w:trHeight w:val="292" w:hRule="exact"/>
          <w:jc w:val="center"/>
        </w:trPr>
        <w:tc>
          <w:tcPr>
            <w:tcW w:w="1557"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29"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2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2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2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4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292" w:hRule="exact"/>
          <w:jc w:val="center"/>
        </w:trPr>
        <w:tc>
          <w:tcPr>
            <w:tcW w:w="1557"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29"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2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39.6</w:t>
            </w:r>
          </w:p>
        </w:tc>
        <w:tc>
          <w:tcPr>
            <w:tcW w:w="112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39.6</w:t>
            </w:r>
          </w:p>
        </w:tc>
        <w:tc>
          <w:tcPr>
            <w:tcW w:w="112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39.6</w:t>
            </w:r>
          </w:p>
        </w:tc>
        <w:tc>
          <w:tcPr>
            <w:tcW w:w="70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45" w:type="dxa"/>
            <w:gridSpan w:val="2"/>
            <w:tcBorders>
              <w:top w:val="single" w:color="auto" w:sz="4" w:space="0"/>
              <w:left w:val="nil"/>
              <w:bottom w:val="single" w:color="auto" w:sz="4" w:space="0"/>
              <w:right w:val="single" w:color="auto" w:sz="4" w:space="0"/>
            </w:tcBorders>
            <w:vAlign w:val="center"/>
          </w:tcPr>
          <w:p>
            <w:pPr>
              <w:widowControl/>
              <w:tabs>
                <w:tab w:val="left" w:pos="286"/>
              </w:tabs>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100%</w:t>
            </w:r>
          </w:p>
        </w:tc>
        <w:tc>
          <w:tcPr>
            <w:tcW w:w="70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r>
      <w:tr>
        <w:trPr>
          <w:trHeight w:val="292" w:hRule="exact"/>
          <w:jc w:val="center"/>
        </w:trPr>
        <w:tc>
          <w:tcPr>
            <w:tcW w:w="1557"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29"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2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39.6</w:t>
            </w:r>
          </w:p>
        </w:tc>
        <w:tc>
          <w:tcPr>
            <w:tcW w:w="112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39.6</w:t>
            </w:r>
          </w:p>
        </w:tc>
        <w:tc>
          <w:tcPr>
            <w:tcW w:w="112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39.6</w:t>
            </w:r>
          </w:p>
        </w:tc>
        <w:tc>
          <w:tcPr>
            <w:tcW w:w="70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4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292" w:hRule="exact"/>
          <w:jc w:val="center"/>
        </w:trPr>
        <w:tc>
          <w:tcPr>
            <w:tcW w:w="1557"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29"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2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27" w:type="dxa"/>
            <w:gridSpan w:val="2"/>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1126" w:type="dxa"/>
            <w:gridSpan w:val="2"/>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70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4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292" w:hRule="exact"/>
          <w:jc w:val="center"/>
        </w:trPr>
        <w:tc>
          <w:tcPr>
            <w:tcW w:w="1557"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29"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2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2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2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4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292" w:hRule="exact"/>
          <w:jc w:val="center"/>
        </w:trPr>
        <w:tc>
          <w:tcPr>
            <w:tcW w:w="584"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55"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381"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80" w:hRule="exact"/>
          <w:jc w:val="center"/>
        </w:trPr>
        <w:tc>
          <w:tcPr>
            <w:tcW w:w="584"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55" w:type="dxa"/>
            <w:gridSpan w:val="6"/>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考核完成后，拨付2018年度奖励资金。</w:t>
            </w:r>
          </w:p>
        </w:tc>
        <w:tc>
          <w:tcPr>
            <w:tcW w:w="3381" w:type="dxa"/>
            <w:gridSpan w:val="7"/>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按时发放个人考核奖励资金。</w:t>
            </w:r>
          </w:p>
        </w:tc>
      </w:tr>
      <w:tr>
        <w:tblPrEx>
          <w:tblCellMar>
            <w:top w:w="0" w:type="dxa"/>
            <w:left w:w="108" w:type="dxa"/>
            <w:bottom w:w="0" w:type="dxa"/>
            <w:right w:w="108" w:type="dxa"/>
          </w:tblCellMar>
        </w:tblPrEx>
        <w:trPr>
          <w:trHeight w:val="518" w:hRule="exact"/>
          <w:jc w:val="center"/>
        </w:trPr>
        <w:tc>
          <w:tcPr>
            <w:tcW w:w="584"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73"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0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33"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0"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rPr>
          <w:trHeight w:val="292" w:hRule="exact"/>
          <w:jc w:val="center"/>
        </w:trPr>
        <w:tc>
          <w:tcPr>
            <w:tcW w:w="584"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3"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04"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3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指标1：补助金发放率</w:t>
            </w: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≧85%</w:t>
            </w: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≧85%</w:t>
            </w: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w:t>
            </w:r>
          </w:p>
        </w:tc>
        <w:tc>
          <w:tcPr>
            <w:tcW w:w="1410"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加大发放率</w:t>
            </w:r>
          </w:p>
        </w:tc>
      </w:tr>
      <w:tr>
        <w:tblPrEx>
          <w:tblCellMar>
            <w:top w:w="0" w:type="dxa"/>
            <w:left w:w="108" w:type="dxa"/>
            <w:bottom w:w="0" w:type="dxa"/>
            <w:right w:w="108" w:type="dxa"/>
          </w:tblCellMar>
        </w:tblPrEx>
        <w:trPr>
          <w:trHeight w:val="292" w:hRule="exact"/>
          <w:jc w:val="center"/>
        </w:trPr>
        <w:tc>
          <w:tcPr>
            <w:tcW w:w="584"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3"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04"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3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0"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46" w:hRule="exact"/>
          <w:jc w:val="center"/>
        </w:trPr>
        <w:tc>
          <w:tcPr>
            <w:tcW w:w="584"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3"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04"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3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0"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86" w:hRule="exact"/>
          <w:jc w:val="center"/>
        </w:trPr>
        <w:tc>
          <w:tcPr>
            <w:tcW w:w="584"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3"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04"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33" w:type="dxa"/>
            <w:gridSpan w:val="3"/>
            <w:tcBorders>
              <w:top w:val="single" w:color="auto" w:sz="4" w:space="0"/>
              <w:left w:val="nil"/>
              <w:bottom w:val="single" w:color="auto" w:sz="4" w:space="0"/>
              <w:right w:val="single" w:color="auto" w:sz="4" w:space="0"/>
            </w:tcBorders>
            <w:vAlign w:val="center"/>
          </w:tcPr>
          <w:p>
            <w:pPr>
              <w:widowControl/>
              <w:tabs>
                <w:tab w:val="center" w:pos="966"/>
              </w:tabs>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r>
              <w:rPr>
                <w:rFonts w:hint="eastAsia" w:ascii="宋体" w:hAnsi="宋体" w:eastAsia="宋体" w:cs="宋体"/>
                <w:color w:val="000000"/>
                <w:kern w:val="0"/>
                <w:sz w:val="18"/>
                <w:szCs w:val="18"/>
              </w:rPr>
              <w:tab/>
            </w:r>
            <w:r>
              <w:rPr>
                <w:rFonts w:hint="eastAsia" w:ascii="宋体" w:hAnsi="宋体" w:eastAsia="宋体" w:cs="宋体"/>
                <w:color w:val="000000"/>
                <w:kern w:val="0"/>
                <w:sz w:val="18"/>
                <w:szCs w:val="18"/>
              </w:rPr>
              <w:t>补助金到位率覆盖率</w:t>
            </w: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0"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32" w:hRule="exact"/>
          <w:jc w:val="center"/>
        </w:trPr>
        <w:tc>
          <w:tcPr>
            <w:tcW w:w="584"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3"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04"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33" w:type="dxa"/>
            <w:gridSpan w:val="3"/>
            <w:tcBorders>
              <w:top w:val="single" w:color="auto" w:sz="4" w:space="0"/>
              <w:left w:val="nil"/>
              <w:bottom w:val="single" w:color="auto" w:sz="4" w:space="0"/>
              <w:right w:val="single" w:color="auto" w:sz="4" w:space="0"/>
            </w:tcBorders>
            <w:vAlign w:val="center"/>
          </w:tcPr>
          <w:p>
            <w:pPr>
              <w:widowControl/>
              <w:tabs>
                <w:tab w:val="center" w:pos="966"/>
              </w:tabs>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指标2：及时率</w:t>
            </w: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0"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59" w:hRule="exact"/>
          <w:jc w:val="center"/>
        </w:trPr>
        <w:tc>
          <w:tcPr>
            <w:tcW w:w="584"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3"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04"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3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0"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92" w:hRule="exact"/>
          <w:jc w:val="center"/>
        </w:trPr>
        <w:tc>
          <w:tcPr>
            <w:tcW w:w="584"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3"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04"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3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指标1：工作按时完成率</w:t>
            </w: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0"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92" w:hRule="exact"/>
          <w:jc w:val="center"/>
        </w:trPr>
        <w:tc>
          <w:tcPr>
            <w:tcW w:w="584"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3"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04"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3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0"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3" w:hRule="exact"/>
          <w:jc w:val="center"/>
        </w:trPr>
        <w:tc>
          <w:tcPr>
            <w:tcW w:w="584"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3"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04"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3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0"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81" w:hRule="exact"/>
          <w:jc w:val="center"/>
        </w:trPr>
        <w:tc>
          <w:tcPr>
            <w:tcW w:w="584"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3"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04"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3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45" w:type="dxa"/>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845" w:type="dxa"/>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563" w:type="dxa"/>
            <w:gridSpan w:val="2"/>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0"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92" w:hRule="exact"/>
          <w:jc w:val="center"/>
        </w:trPr>
        <w:tc>
          <w:tcPr>
            <w:tcW w:w="584"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3"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04"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3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0"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34" w:hRule="exact"/>
          <w:jc w:val="center"/>
        </w:trPr>
        <w:tc>
          <w:tcPr>
            <w:tcW w:w="584"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3"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04"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3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0"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92" w:hRule="exact"/>
          <w:jc w:val="center"/>
        </w:trPr>
        <w:tc>
          <w:tcPr>
            <w:tcW w:w="584"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3"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04"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3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0"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92" w:hRule="exact"/>
          <w:jc w:val="center"/>
        </w:trPr>
        <w:tc>
          <w:tcPr>
            <w:tcW w:w="584"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3"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04"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3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0"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8" w:hRule="exact"/>
          <w:jc w:val="center"/>
        </w:trPr>
        <w:tc>
          <w:tcPr>
            <w:tcW w:w="584"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3"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04"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3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0"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50" w:hRule="exact"/>
          <w:jc w:val="center"/>
        </w:trPr>
        <w:tc>
          <w:tcPr>
            <w:tcW w:w="584"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3"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04"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3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指标1：补助人群生活改善情况</w:t>
            </w: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40</w:t>
            </w: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38</w:t>
            </w:r>
          </w:p>
        </w:tc>
        <w:tc>
          <w:tcPr>
            <w:tcW w:w="1410"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逐步加强生活水平</w:t>
            </w:r>
          </w:p>
        </w:tc>
      </w:tr>
      <w:tr>
        <w:tblPrEx>
          <w:tblCellMar>
            <w:top w:w="0" w:type="dxa"/>
            <w:left w:w="108" w:type="dxa"/>
            <w:bottom w:w="0" w:type="dxa"/>
            <w:right w:w="108" w:type="dxa"/>
          </w:tblCellMar>
        </w:tblPrEx>
        <w:trPr>
          <w:trHeight w:val="205" w:hRule="exact"/>
          <w:jc w:val="center"/>
        </w:trPr>
        <w:tc>
          <w:tcPr>
            <w:tcW w:w="584"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3"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04"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3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0"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46" w:hRule="exact"/>
          <w:jc w:val="center"/>
        </w:trPr>
        <w:tc>
          <w:tcPr>
            <w:tcW w:w="584"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3"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04"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3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0"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92" w:hRule="exact"/>
          <w:jc w:val="center"/>
        </w:trPr>
        <w:tc>
          <w:tcPr>
            <w:tcW w:w="584"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3"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04"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3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0"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92" w:hRule="exact"/>
          <w:jc w:val="center"/>
        </w:trPr>
        <w:tc>
          <w:tcPr>
            <w:tcW w:w="584"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3"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04"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3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0"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9" w:hRule="exact"/>
          <w:jc w:val="center"/>
        </w:trPr>
        <w:tc>
          <w:tcPr>
            <w:tcW w:w="584"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3"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04"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3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0"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92" w:hRule="exact"/>
          <w:jc w:val="center"/>
        </w:trPr>
        <w:tc>
          <w:tcPr>
            <w:tcW w:w="584"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3"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04"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3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0"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92" w:hRule="exact"/>
          <w:jc w:val="center"/>
        </w:trPr>
        <w:tc>
          <w:tcPr>
            <w:tcW w:w="584"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3"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04"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3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0"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9" w:hRule="exact"/>
          <w:jc w:val="center"/>
        </w:trPr>
        <w:tc>
          <w:tcPr>
            <w:tcW w:w="584"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3"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04"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3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0"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671" w:hRule="exact"/>
          <w:jc w:val="center"/>
        </w:trPr>
        <w:tc>
          <w:tcPr>
            <w:tcW w:w="584"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3"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04"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3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指标1：受益对象满意度满意度</w:t>
            </w: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6</w:t>
            </w:r>
          </w:p>
        </w:tc>
        <w:tc>
          <w:tcPr>
            <w:tcW w:w="1410" w:type="dxa"/>
            <w:gridSpan w:val="2"/>
            <w:tcBorders>
              <w:top w:val="single" w:color="auto" w:sz="4" w:space="0"/>
              <w:left w:val="nil"/>
              <w:bottom w:val="single" w:color="auto" w:sz="4" w:space="0"/>
              <w:right w:val="single" w:color="auto" w:sz="4" w:space="0"/>
            </w:tcBorders>
            <w:vAlign w:val="center"/>
          </w:tcPr>
          <w:p>
            <w:pPr>
              <w:widowControl/>
              <w:tabs>
                <w:tab w:val="left" w:pos="204"/>
              </w:tabs>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对年度优秀工作的了解需要加强</w:t>
            </w:r>
          </w:p>
        </w:tc>
      </w:tr>
      <w:tr>
        <w:tblPrEx>
          <w:tblCellMar>
            <w:top w:w="0" w:type="dxa"/>
            <w:left w:w="108" w:type="dxa"/>
            <w:bottom w:w="0" w:type="dxa"/>
            <w:right w:w="108" w:type="dxa"/>
          </w:tblCellMar>
        </w:tblPrEx>
        <w:trPr>
          <w:trHeight w:val="292" w:hRule="exact"/>
          <w:jc w:val="center"/>
        </w:trPr>
        <w:tc>
          <w:tcPr>
            <w:tcW w:w="584"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3"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04"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3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0"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5" w:hRule="exact"/>
          <w:jc w:val="center"/>
        </w:trPr>
        <w:tc>
          <w:tcPr>
            <w:tcW w:w="584"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3"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04"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33" w:type="dxa"/>
            <w:gridSpan w:val="3"/>
            <w:tcBorders>
              <w:top w:val="single" w:color="auto" w:sz="4" w:space="0"/>
              <w:left w:val="nil"/>
              <w:bottom w:val="single" w:color="auto" w:sz="4" w:space="0"/>
              <w:right w:val="single" w:color="auto" w:sz="4" w:space="0"/>
            </w:tcBorders>
            <w:vAlign w:val="center"/>
          </w:tcPr>
          <w:p>
            <w:pPr>
              <w:widowControl/>
              <w:tabs>
                <w:tab w:val="center" w:pos="966"/>
              </w:tabs>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r>
              <w:rPr>
                <w:rFonts w:hint="eastAsia" w:ascii="宋体" w:hAnsi="宋体" w:eastAsia="宋体" w:cs="宋体"/>
                <w:color w:val="000000"/>
                <w:kern w:val="0"/>
                <w:sz w:val="18"/>
                <w:szCs w:val="18"/>
              </w:rPr>
              <w:tab/>
            </w: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0"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2" w:hRule="exact"/>
          <w:jc w:val="center"/>
        </w:trPr>
        <w:tc>
          <w:tcPr>
            <w:tcW w:w="6484"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3"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92</w:t>
            </w:r>
          </w:p>
        </w:tc>
        <w:tc>
          <w:tcPr>
            <w:tcW w:w="1410"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2）村级场所维护经费项目绩效自评综述：根据年初设定的绩效目标，村级场所维护经费项目绩效自评得分为94分（绩效自评表附后）。全年预算数为80万元，执行数为80万元，完成预算的100%。项目绩效目标完成情况：一是通过新建、扩建或修缮村级场所，更好地服务广大群众；二是全县村级活动场所群众满意度大幅提高。</w:t>
      </w:r>
    </w:p>
    <w:tbl>
      <w:tblPr>
        <w:tblStyle w:val="7"/>
        <w:tblW w:w="0" w:type="auto"/>
        <w:jc w:val="center"/>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  2019  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tabs>
                <w:tab w:val="left" w:pos="1327"/>
              </w:tabs>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ab/>
            </w:r>
            <w:r>
              <w:rPr>
                <w:rFonts w:hint="eastAsia" w:ascii="宋体" w:hAnsi="宋体" w:eastAsia="宋体" w:cs="宋体"/>
                <w:kern w:val="0"/>
                <w:sz w:val="18"/>
                <w:szCs w:val="18"/>
              </w:rPr>
              <w:t>村级场所维护经费</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无极县委组织部</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无极县委组织部</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jc w:val="center"/>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通过新建、扩建或修缮村级场所，更好地服务广大群众。</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全县村级活动场所群众满意度大幅提高.</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指标1：扶助资金到位率</w:t>
            </w:r>
          </w:p>
        </w:tc>
        <w:tc>
          <w:tcPr>
            <w:tcW w:w="850" w:type="dxa"/>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≧75%</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指标1：规范化建设率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2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指标1：规范化建设及时率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3"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37"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62"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指标1：抓好规范化建设</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14</w:t>
            </w:r>
          </w:p>
        </w:tc>
        <w:tc>
          <w:tcPr>
            <w:tcW w:w="1417" w:type="dxa"/>
            <w:gridSpan w:val="2"/>
            <w:tcBorders>
              <w:top w:val="single" w:color="auto" w:sz="4" w:space="0"/>
              <w:left w:val="nil"/>
              <w:bottom w:val="single" w:color="auto" w:sz="4" w:space="0"/>
              <w:right w:val="single" w:color="auto" w:sz="4" w:space="0"/>
            </w:tcBorders>
            <w:vAlign w:val="center"/>
          </w:tcPr>
          <w:p>
            <w:pPr>
              <w:widowControl/>
              <w:tabs>
                <w:tab w:val="left" w:pos="245"/>
              </w:tabs>
              <w:spacing w:line="240" w:lineRule="exact"/>
              <w:rPr>
                <w:rFonts w:ascii="宋体" w:hAnsi="宋体" w:eastAsia="宋体" w:cs="宋体"/>
                <w:kern w:val="0"/>
                <w:sz w:val="18"/>
                <w:szCs w:val="18"/>
              </w:rPr>
            </w:pPr>
            <w:r>
              <w:rPr>
                <w:rFonts w:hint="eastAsia" w:ascii="宋体" w:hAnsi="宋体" w:eastAsia="宋体" w:cs="宋体"/>
                <w:kern w:val="0"/>
                <w:sz w:val="18"/>
                <w:szCs w:val="18"/>
              </w:rPr>
              <w:t>加强场所规范化建设.</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88"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66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指标1：长期使用性率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p>
        </w:tc>
      </w:tr>
      <w:tr>
        <w:tblPrEx>
          <w:tblCellMar>
            <w:top w:w="0" w:type="dxa"/>
            <w:left w:w="108" w:type="dxa"/>
            <w:bottom w:w="0" w:type="dxa"/>
            <w:right w:w="108" w:type="dxa"/>
          </w:tblCellMar>
        </w:tblPrEx>
        <w:trPr>
          <w:trHeight w:val="22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8"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2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指标1：受益对象满意度</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≧85%</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94</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3）无极县重点工作大督查办公经费项目绩效自评综述：根据年初设定的绩效目标，无极县重点工作大督查办公经费项目绩效自评得分为92分（绩效自评表附后）。全年预算数为3万元，执行数为0.17万元，完成预算的0.6%。项目绩效目标完成情况：一是提高协调服务、对接好各项工作；二是对接好上级大督查工作，不断提高协调能力。</w:t>
      </w:r>
    </w:p>
    <w:tbl>
      <w:tblPr>
        <w:tblStyle w:val="7"/>
        <w:tblW w:w="0" w:type="auto"/>
        <w:jc w:val="center"/>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  2019  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tabs>
                <w:tab w:val="left" w:pos="1327"/>
              </w:tabs>
              <w:spacing w:line="240" w:lineRule="exact"/>
              <w:ind w:firstLine="1260" w:firstLineChars="700"/>
              <w:rPr>
                <w:rFonts w:ascii="宋体" w:hAnsi="宋体" w:eastAsia="宋体" w:cs="宋体"/>
                <w:kern w:val="0"/>
                <w:sz w:val="18"/>
                <w:szCs w:val="18"/>
              </w:rPr>
            </w:pPr>
            <w:r>
              <w:rPr>
                <w:rFonts w:hint="eastAsia" w:ascii="宋体" w:hAnsi="宋体" w:eastAsia="宋体" w:cs="宋体"/>
                <w:kern w:val="0"/>
                <w:sz w:val="18"/>
                <w:szCs w:val="18"/>
              </w:rPr>
              <w:t>无极县重点工作大督查办公经费</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无极县委组织部</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无极县委组织部</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0.17</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0.6%</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0.17</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jc w:val="center"/>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提高协调服务、对接好各项工作。</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对接好上级大督查工作，不断提高协调能力。</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48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指标1：领导批示工作完成率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≧85</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加强协调落实.</w:t>
            </w:r>
          </w:p>
        </w:tc>
      </w:tr>
      <w:tr>
        <w:tblPrEx>
          <w:tblCellMar>
            <w:top w:w="0" w:type="dxa"/>
            <w:left w:w="108" w:type="dxa"/>
            <w:bottom w:w="0" w:type="dxa"/>
            <w:right w:w="108" w:type="dxa"/>
          </w:tblCellMar>
        </w:tblPrEx>
        <w:trPr>
          <w:trHeight w:val="22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2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87"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指标1：上级转件落实率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加强学习,提高案卷质量.</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指标1：案件受理率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17"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88"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指标1:为受援人挽回经济损失</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7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指标1：服务对象满意度</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92</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4）大组工网维护保障经费项目绩效自评综述：根据年初设定的绩效目标，大组工网维护保障经费项目绩效自评得分为95分（绩效自评表附后）。全年预算数为5.1万元，执行数为3.4万元，完成预算的67%。项目绩效目标完成情况：一是提高协调服务、对接好各项工作；二是对接好上级大督查工作，不断提高协调能力。</w:t>
      </w:r>
    </w:p>
    <w:tbl>
      <w:tblPr>
        <w:tblStyle w:val="7"/>
        <w:tblpPr w:leftFromText="180" w:rightFromText="180" w:vertAnchor="text" w:horzAnchor="page" w:tblpX="1571" w:tblpY="496"/>
        <w:tblOverlap w:val="never"/>
        <w:tblW w:w="9080" w:type="dxa"/>
        <w:tblInd w:w="0" w:type="dxa"/>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  2019  年度）</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tabs>
                <w:tab w:val="left" w:pos="1327"/>
              </w:tabs>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ab/>
            </w:r>
            <w:r>
              <w:rPr>
                <w:rFonts w:hint="eastAsia" w:ascii="宋体" w:hAnsi="宋体" w:eastAsia="宋体" w:cs="宋体"/>
                <w:kern w:val="0"/>
                <w:sz w:val="18"/>
                <w:szCs w:val="18"/>
              </w:rPr>
              <w:t>大组工网维护保障经费</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无极县委组织部</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无极县委组织部</w:t>
            </w:r>
          </w:p>
        </w:tc>
      </w:tr>
      <w:tr>
        <w:tblPrEx>
          <w:tblCellMar>
            <w:top w:w="0" w:type="dxa"/>
            <w:left w:w="108" w:type="dxa"/>
            <w:bottom w:w="0" w:type="dxa"/>
            <w:right w:w="108" w:type="dxa"/>
          </w:tblCellMar>
        </w:tblPrEx>
        <w:trPr>
          <w:trHeight w:val="300" w:hRule="exact"/>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5.1</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5.1</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3.4</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67%</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7</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5.1</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5.1</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3.4</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所需经费保障大组工网维护。</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确保设备运行正常。</w:t>
            </w:r>
          </w:p>
        </w:tc>
      </w:tr>
      <w:tr>
        <w:tblPrEx>
          <w:tblCellMar>
            <w:top w:w="0" w:type="dxa"/>
            <w:left w:w="108" w:type="dxa"/>
            <w:bottom w:w="0" w:type="dxa"/>
            <w:right w:w="108" w:type="dxa"/>
          </w:tblCellMar>
        </w:tblPrEx>
        <w:trPr>
          <w:trHeight w:val="533" w:hRule="exact"/>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562"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tabs>
                <w:tab w:val="center" w:pos="966"/>
              </w:tabs>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指标1：配套设施完成率</w:t>
            </w:r>
          </w:p>
        </w:tc>
        <w:tc>
          <w:tcPr>
            <w:tcW w:w="850" w:type="dxa"/>
            <w:tcBorders>
              <w:top w:val="nil"/>
              <w:left w:val="nil"/>
              <w:bottom w:val="single" w:color="auto" w:sz="4" w:space="0"/>
              <w:right w:val="single" w:color="auto" w:sz="4" w:space="0"/>
            </w:tcBorders>
            <w:vAlign w:val="center"/>
          </w:tcPr>
          <w:p>
            <w:pPr>
              <w:widowControl/>
              <w:tabs>
                <w:tab w:val="left" w:pos="217"/>
              </w:tabs>
              <w:spacing w:line="240" w:lineRule="exact"/>
              <w:rPr>
                <w:rFonts w:ascii="宋体" w:hAnsi="宋体" w:eastAsia="宋体" w:cs="宋体"/>
                <w:kern w:val="0"/>
                <w:sz w:val="18"/>
                <w:szCs w:val="18"/>
              </w:rPr>
            </w:pPr>
            <w:r>
              <w:rPr>
                <w:rFonts w:hint="eastAsia" w:ascii="宋体" w:hAnsi="宋体" w:eastAsia="宋体" w:cs="宋体"/>
                <w:kern w:val="0"/>
                <w:sz w:val="18"/>
                <w:szCs w:val="18"/>
              </w:rPr>
              <w:t>≧75%</w:t>
            </w:r>
          </w:p>
        </w:tc>
        <w:tc>
          <w:tcPr>
            <w:tcW w:w="851" w:type="dxa"/>
            <w:tcBorders>
              <w:top w:val="nil"/>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≧85%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2"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3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73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指标1：维修及时率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98%</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严格巡查次数,保证设备正常.</w:t>
            </w:r>
          </w:p>
        </w:tc>
      </w:tr>
      <w:tr>
        <w:tblPrEx>
          <w:tblCellMar>
            <w:top w:w="0" w:type="dxa"/>
            <w:left w:w="108" w:type="dxa"/>
            <w:bottom w:w="0" w:type="dxa"/>
            <w:right w:w="108" w:type="dxa"/>
          </w:tblCellMar>
        </w:tblPrEx>
        <w:trPr>
          <w:trHeight w:val="513"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指标2：综合业务管理完成率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98%</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p>
        </w:tc>
      </w:tr>
      <w:tr>
        <w:tblPrEx>
          <w:tblCellMar>
            <w:top w:w="0" w:type="dxa"/>
            <w:left w:w="108" w:type="dxa"/>
            <w:bottom w:w="0" w:type="dxa"/>
            <w:right w:w="108" w:type="dxa"/>
          </w:tblCellMar>
        </w:tblPrEx>
        <w:trPr>
          <w:trHeight w:val="18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指标1：对上级文件接收及时率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3"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指标1：网络设备维护覆盖率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3"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7"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24"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2"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58" w:hRule="exact"/>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95</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5）党员教育培训经费项目绩效自评综述：根据年初设定的绩效目标，党员教育培训经费项目绩效自评得分为94分（绩效自评表附后）。全年预算数为7万元，执行数为6.3万元，完成预算的90%。项目绩效目标完成情况：一是增强党员意识、发挥先锋模范作用；二是通过培训、达到良好培训效果。</w:t>
      </w:r>
    </w:p>
    <w:tbl>
      <w:tblPr>
        <w:tblStyle w:val="7"/>
        <w:tblpPr w:leftFromText="180" w:rightFromText="180" w:vertAnchor="text" w:horzAnchor="page" w:tblpX="1621" w:tblpY="360"/>
        <w:tblOverlap w:val="never"/>
        <w:tblW w:w="9080" w:type="dxa"/>
        <w:tblInd w:w="0" w:type="dxa"/>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  2019  年度）</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tabs>
                <w:tab w:val="left" w:pos="1327"/>
              </w:tabs>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ab/>
            </w:r>
            <w:r>
              <w:rPr>
                <w:rFonts w:hint="eastAsia" w:ascii="宋体" w:hAnsi="宋体" w:eastAsia="宋体" w:cs="宋体"/>
                <w:kern w:val="0"/>
                <w:sz w:val="18"/>
                <w:szCs w:val="18"/>
              </w:rPr>
              <w:t>党员教育培训经费</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无极县委组织部</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无极县委组织部</w:t>
            </w:r>
          </w:p>
        </w:tc>
      </w:tr>
      <w:tr>
        <w:tblPrEx>
          <w:tblCellMar>
            <w:top w:w="0" w:type="dxa"/>
            <w:left w:w="108" w:type="dxa"/>
            <w:bottom w:w="0" w:type="dxa"/>
            <w:right w:w="108" w:type="dxa"/>
          </w:tblCellMar>
        </w:tblPrEx>
        <w:trPr>
          <w:trHeight w:val="300" w:hRule="exact"/>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7</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7</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6.3</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7</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7</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6.3</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776" w:hRule="exact"/>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1增强党员意识、发挥先锋模范作用.2.有计划地对新发展党员进行培训.</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通过培训、达到良好培训效果.</w:t>
            </w:r>
          </w:p>
        </w:tc>
      </w:tr>
      <w:tr>
        <w:tblPrEx>
          <w:tblCellMar>
            <w:top w:w="0" w:type="dxa"/>
            <w:left w:w="108" w:type="dxa"/>
            <w:bottom w:w="0" w:type="dxa"/>
            <w:right w:w="108" w:type="dxa"/>
          </w:tblCellMar>
        </w:tblPrEx>
        <w:trPr>
          <w:trHeight w:val="533" w:hRule="exact"/>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476"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指标1：人均财政投入水平</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≧85%</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2"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8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指标1：新党员培训率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6</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加强宣传,提高覆盖率.</w:t>
            </w:r>
          </w:p>
        </w:tc>
      </w:tr>
      <w:tr>
        <w:tblPrEx>
          <w:tblCellMar>
            <w:top w:w="0" w:type="dxa"/>
            <w:left w:w="108" w:type="dxa"/>
            <w:bottom w:w="0" w:type="dxa"/>
            <w:right w:w="108" w:type="dxa"/>
          </w:tblCellMar>
        </w:tblPrEx>
        <w:trPr>
          <w:trHeight w:val="5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指标2：新党员培训及时率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加强学习,提高培训质量.</w:t>
            </w:r>
          </w:p>
        </w:tc>
      </w:tr>
      <w:tr>
        <w:tblPrEx>
          <w:tblCellMar>
            <w:top w:w="0" w:type="dxa"/>
            <w:left w:w="108" w:type="dxa"/>
            <w:bottom w:w="0" w:type="dxa"/>
            <w:right w:w="108" w:type="dxa"/>
          </w:tblCellMar>
        </w:tblPrEx>
        <w:trPr>
          <w:trHeight w:val="262"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指标1：按照上级规定</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2"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7"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3"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12"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指标1：模范作用发挥率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3"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2"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7"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3"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7"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指标1：服务对象满意度</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5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0" w:hRule="exact"/>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94</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6）干部教育培训工作经费项目绩效自评综述：根据年初设定的绩效目标，干部教育培训工作经费项目绩效自评得分为95分（绩效自评表附后）。全年预算数为10万元，执行数为9.9万元，完成预算的99%。项目绩效目标完成情况：一是加强服务型基层党组织建设；二是做好基层先进典型的培养及表彰。</w:t>
      </w:r>
    </w:p>
    <w:tbl>
      <w:tblPr>
        <w:tblStyle w:val="7"/>
        <w:tblW w:w="9080" w:type="dxa"/>
        <w:jc w:val="center"/>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  2019  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tabs>
                <w:tab w:val="left" w:pos="1327"/>
              </w:tabs>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ab/>
            </w:r>
            <w:r>
              <w:rPr>
                <w:rFonts w:hint="eastAsia" w:ascii="宋体" w:hAnsi="宋体" w:eastAsia="宋体" w:cs="宋体"/>
                <w:kern w:val="0"/>
                <w:sz w:val="18"/>
                <w:szCs w:val="18"/>
              </w:rPr>
              <w:t>干部教育培训工作经费</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无极县委组织部</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无极县委组织部</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9.9</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99%</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9.9</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jc w:val="center"/>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1、加强服务型基层党组织建设。2、加强干部队伍管理。</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做好基层先进典型的培养及表彰。</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562"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tabs>
                <w:tab w:val="center" w:pos="966"/>
              </w:tabs>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指标1：培训覆盖率</w:t>
            </w:r>
          </w:p>
        </w:tc>
        <w:tc>
          <w:tcPr>
            <w:tcW w:w="850" w:type="dxa"/>
            <w:tcBorders>
              <w:top w:val="nil"/>
              <w:left w:val="nil"/>
              <w:bottom w:val="single" w:color="auto" w:sz="4" w:space="0"/>
              <w:right w:val="single" w:color="auto" w:sz="4" w:space="0"/>
            </w:tcBorders>
            <w:vAlign w:val="center"/>
          </w:tcPr>
          <w:p>
            <w:pPr>
              <w:widowControl/>
              <w:tabs>
                <w:tab w:val="left" w:pos="217"/>
              </w:tabs>
              <w:spacing w:line="240" w:lineRule="exact"/>
              <w:rPr>
                <w:rFonts w:ascii="宋体" w:hAnsi="宋体" w:eastAsia="宋体" w:cs="宋体"/>
                <w:kern w:val="0"/>
                <w:sz w:val="18"/>
                <w:szCs w:val="18"/>
              </w:rPr>
            </w:pPr>
            <w:r>
              <w:rPr>
                <w:rFonts w:hint="eastAsia" w:ascii="宋体" w:hAnsi="宋体" w:eastAsia="宋体" w:cs="宋体"/>
                <w:kern w:val="0"/>
                <w:sz w:val="18"/>
                <w:szCs w:val="18"/>
              </w:rPr>
              <w:tab/>
            </w:r>
            <w:r>
              <w:rPr>
                <w:rFonts w:hint="eastAsia" w:ascii="宋体" w:hAnsi="宋体" w:eastAsia="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2"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38"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738"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指标1：年度培训按时完成率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98%</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6</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加强培训工作力度.</w:t>
            </w:r>
          </w:p>
        </w:tc>
      </w:tr>
      <w:tr>
        <w:tblPrEx>
          <w:tblCellMar>
            <w:top w:w="0" w:type="dxa"/>
            <w:left w:w="108" w:type="dxa"/>
            <w:bottom w:w="0" w:type="dxa"/>
            <w:right w:w="108" w:type="dxa"/>
          </w:tblCellMar>
        </w:tblPrEx>
        <w:trPr>
          <w:trHeight w:val="513"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指标2：培训费用利用率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98%</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p>
        </w:tc>
      </w:tr>
      <w:tr>
        <w:tblPrEx>
          <w:tblCellMar>
            <w:top w:w="0" w:type="dxa"/>
            <w:left w:w="108" w:type="dxa"/>
            <w:bottom w:w="0" w:type="dxa"/>
            <w:right w:w="108" w:type="dxa"/>
          </w:tblCellMar>
        </w:tblPrEx>
        <w:trPr>
          <w:trHeight w:val="188"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7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指标1：培训合格率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3"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8"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7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7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指标1：基层先进典型表彰完成率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≧85%</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3"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7"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24"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7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2"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58" w:hRule="exact"/>
          <w:jc w:val="center"/>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95</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7）人才工作经费项目绩效自评综述：根据年初设定的绩效目标，人才工作经费项目绩效自评得分为95分（绩效自评表附后）。全年预算数为5万元，执行数为3.95万元，完成预算的79%。项目绩效目标完成情况：一是对全县人才工作进行调查研究和督查、协调指导、提供服务；二是坚持党管人才、以人为本。</w:t>
      </w:r>
    </w:p>
    <w:tbl>
      <w:tblPr>
        <w:tblStyle w:val="7"/>
        <w:tblW w:w="9060" w:type="dxa"/>
        <w:jc w:val="center"/>
        <w:tblLayout w:type="fixed"/>
        <w:tblCellMar>
          <w:top w:w="0" w:type="dxa"/>
          <w:left w:w="108" w:type="dxa"/>
          <w:bottom w:w="0" w:type="dxa"/>
          <w:right w:w="108" w:type="dxa"/>
        </w:tblCellMar>
      </w:tblPr>
      <w:tblGrid>
        <w:gridCol w:w="586"/>
        <w:gridCol w:w="978"/>
        <w:gridCol w:w="1109"/>
        <w:gridCol w:w="728"/>
        <w:gridCol w:w="1131"/>
        <w:gridCol w:w="284"/>
        <w:gridCol w:w="848"/>
        <w:gridCol w:w="849"/>
        <w:gridCol w:w="282"/>
        <w:gridCol w:w="283"/>
        <w:gridCol w:w="424"/>
        <w:gridCol w:w="141"/>
        <w:gridCol w:w="708"/>
        <w:gridCol w:w="709"/>
      </w:tblGrid>
      <w:tr>
        <w:tblPrEx>
          <w:tblCellMar>
            <w:top w:w="0" w:type="dxa"/>
            <w:left w:w="108" w:type="dxa"/>
            <w:bottom w:w="0" w:type="dxa"/>
            <w:right w:w="108" w:type="dxa"/>
          </w:tblCellMar>
        </w:tblPrEx>
        <w:trPr>
          <w:trHeight w:val="486" w:hRule="exact"/>
          <w:jc w:val="center"/>
        </w:trPr>
        <w:tc>
          <w:tcPr>
            <w:tcW w:w="906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334" w:hRule="atLeast"/>
          <w:jc w:val="center"/>
        </w:trPr>
        <w:tc>
          <w:tcPr>
            <w:tcW w:w="906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  2019  年度）</w:t>
            </w:r>
          </w:p>
        </w:tc>
      </w:tr>
      <w:tr>
        <w:tblPrEx>
          <w:tblCellMar>
            <w:top w:w="0" w:type="dxa"/>
            <w:left w:w="108" w:type="dxa"/>
            <w:bottom w:w="0" w:type="dxa"/>
            <w:right w:w="108" w:type="dxa"/>
          </w:tblCellMar>
        </w:tblPrEx>
        <w:trPr>
          <w:trHeight w:val="321" w:hRule="exact"/>
          <w:jc w:val="center"/>
        </w:trPr>
        <w:tc>
          <w:tcPr>
            <w:tcW w:w="1564"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496" w:type="dxa"/>
            <w:gridSpan w:val="12"/>
            <w:tcBorders>
              <w:top w:val="single" w:color="auto" w:sz="4" w:space="0"/>
              <w:left w:val="nil"/>
              <w:bottom w:val="single" w:color="auto" w:sz="4" w:space="0"/>
              <w:right w:val="single" w:color="auto" w:sz="4" w:space="0"/>
            </w:tcBorders>
            <w:vAlign w:val="center"/>
          </w:tcPr>
          <w:p>
            <w:pPr>
              <w:widowControl/>
              <w:tabs>
                <w:tab w:val="left" w:pos="1327"/>
              </w:tabs>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ab/>
            </w:r>
            <w:r>
              <w:rPr>
                <w:rFonts w:hint="eastAsia" w:ascii="宋体" w:hAnsi="宋体" w:eastAsia="宋体" w:cs="宋体"/>
                <w:kern w:val="0"/>
                <w:sz w:val="18"/>
                <w:szCs w:val="18"/>
              </w:rPr>
              <w:t>人才工作经费</w:t>
            </w:r>
          </w:p>
        </w:tc>
      </w:tr>
      <w:tr>
        <w:tblPrEx>
          <w:tblCellMar>
            <w:top w:w="0" w:type="dxa"/>
            <w:left w:w="108" w:type="dxa"/>
            <w:bottom w:w="0" w:type="dxa"/>
            <w:right w:w="108" w:type="dxa"/>
          </w:tblCellMar>
        </w:tblPrEx>
        <w:trPr>
          <w:trHeight w:val="321" w:hRule="exact"/>
          <w:jc w:val="center"/>
        </w:trPr>
        <w:tc>
          <w:tcPr>
            <w:tcW w:w="1564"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0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无极县委组织部</w:t>
            </w:r>
          </w:p>
        </w:tc>
        <w:tc>
          <w:tcPr>
            <w:tcW w:w="1131"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5"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无极县委组织部</w:t>
            </w:r>
          </w:p>
        </w:tc>
      </w:tr>
      <w:tr>
        <w:tblPrEx>
          <w:tblCellMar>
            <w:top w:w="0" w:type="dxa"/>
            <w:left w:w="108" w:type="dxa"/>
            <w:bottom w:w="0" w:type="dxa"/>
            <w:right w:w="108" w:type="dxa"/>
          </w:tblCellMar>
        </w:tblPrEx>
        <w:trPr>
          <w:trHeight w:val="321" w:hRule="exact"/>
          <w:jc w:val="center"/>
        </w:trPr>
        <w:tc>
          <w:tcPr>
            <w:tcW w:w="1564"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3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2"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1"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49"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21" w:hRule="exact"/>
          <w:jc w:val="center"/>
        </w:trPr>
        <w:tc>
          <w:tcPr>
            <w:tcW w:w="1564"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37"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1132"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1131"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3.95</w:t>
            </w:r>
          </w:p>
        </w:tc>
        <w:tc>
          <w:tcPr>
            <w:tcW w:w="70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49"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79%</w:t>
            </w:r>
          </w:p>
        </w:tc>
        <w:tc>
          <w:tcPr>
            <w:tcW w:w="70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w:t>
            </w:r>
          </w:p>
        </w:tc>
      </w:tr>
      <w:tr>
        <w:tblPrEx>
          <w:tblCellMar>
            <w:top w:w="0" w:type="dxa"/>
            <w:left w:w="108" w:type="dxa"/>
            <w:bottom w:w="0" w:type="dxa"/>
            <w:right w:w="108" w:type="dxa"/>
          </w:tblCellMar>
        </w:tblPrEx>
        <w:trPr>
          <w:trHeight w:val="321" w:hRule="exact"/>
          <w:jc w:val="center"/>
        </w:trPr>
        <w:tc>
          <w:tcPr>
            <w:tcW w:w="1564"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3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1132"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1131"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3.95</w:t>
            </w:r>
          </w:p>
        </w:tc>
        <w:tc>
          <w:tcPr>
            <w:tcW w:w="70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49"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21" w:hRule="exact"/>
          <w:jc w:val="center"/>
        </w:trPr>
        <w:tc>
          <w:tcPr>
            <w:tcW w:w="1564"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3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1" w:type="dxa"/>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1132" w:type="dxa"/>
            <w:gridSpan w:val="2"/>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1131" w:type="dxa"/>
            <w:gridSpan w:val="2"/>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70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49"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21" w:hRule="exact"/>
          <w:jc w:val="center"/>
        </w:trPr>
        <w:tc>
          <w:tcPr>
            <w:tcW w:w="1564"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3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2"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1"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49"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21" w:hRule="exact"/>
          <w:jc w:val="center"/>
        </w:trPr>
        <w:tc>
          <w:tcPr>
            <w:tcW w:w="586"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78"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396"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640" w:hRule="exact"/>
          <w:jc w:val="center"/>
        </w:trPr>
        <w:tc>
          <w:tcPr>
            <w:tcW w:w="586"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78"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对全县人才工作进行调查研究和督查、协调指导、提供服务。</w:t>
            </w:r>
          </w:p>
        </w:tc>
        <w:tc>
          <w:tcPr>
            <w:tcW w:w="3396"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坚持党管人才、以人为本。</w:t>
            </w:r>
          </w:p>
        </w:tc>
      </w:tr>
      <w:tr>
        <w:tblPrEx>
          <w:tblCellMar>
            <w:top w:w="0" w:type="dxa"/>
            <w:left w:w="108" w:type="dxa"/>
            <w:bottom w:w="0" w:type="dxa"/>
            <w:right w:w="108" w:type="dxa"/>
          </w:tblCellMar>
        </w:tblPrEx>
        <w:trPr>
          <w:trHeight w:val="571" w:hRule="exact"/>
          <w:jc w:val="center"/>
        </w:trPr>
        <w:tc>
          <w:tcPr>
            <w:tcW w:w="586"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7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0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3"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4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4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602" w:hRule="exact"/>
          <w:jc w:val="center"/>
        </w:trPr>
        <w:tc>
          <w:tcPr>
            <w:tcW w:w="586"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09"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3" w:type="dxa"/>
            <w:gridSpan w:val="3"/>
            <w:tcBorders>
              <w:top w:val="single" w:color="auto" w:sz="4" w:space="0"/>
              <w:left w:val="nil"/>
              <w:bottom w:val="single" w:color="auto" w:sz="4" w:space="0"/>
              <w:right w:val="single" w:color="auto" w:sz="4" w:space="0"/>
            </w:tcBorders>
            <w:vAlign w:val="center"/>
          </w:tcPr>
          <w:p>
            <w:pPr>
              <w:widowControl/>
              <w:tabs>
                <w:tab w:val="center" w:pos="966"/>
              </w:tabs>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r>
              <w:rPr>
                <w:rFonts w:hint="eastAsia" w:ascii="宋体" w:hAnsi="宋体" w:eastAsia="宋体" w:cs="宋体"/>
                <w:color w:val="000000"/>
                <w:kern w:val="0"/>
                <w:sz w:val="18"/>
                <w:szCs w:val="18"/>
              </w:rPr>
              <w:tab/>
            </w:r>
            <w:r>
              <w:rPr>
                <w:rFonts w:hint="eastAsia" w:ascii="宋体" w:hAnsi="宋体" w:eastAsia="宋体" w:cs="宋体"/>
                <w:color w:val="000000"/>
                <w:kern w:val="0"/>
                <w:sz w:val="18"/>
                <w:szCs w:val="18"/>
              </w:rPr>
              <w:t>高技能人才培训完成率</w:t>
            </w:r>
          </w:p>
        </w:tc>
        <w:tc>
          <w:tcPr>
            <w:tcW w:w="848" w:type="dxa"/>
            <w:tcBorders>
              <w:top w:val="nil"/>
              <w:left w:val="nil"/>
              <w:bottom w:val="single" w:color="auto" w:sz="4" w:space="0"/>
              <w:right w:val="single" w:color="auto" w:sz="4" w:space="0"/>
            </w:tcBorders>
            <w:vAlign w:val="center"/>
          </w:tcPr>
          <w:p>
            <w:pPr>
              <w:widowControl/>
              <w:tabs>
                <w:tab w:val="left" w:pos="217"/>
              </w:tabs>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49" w:type="dxa"/>
            <w:tcBorders>
              <w:top w:val="nil"/>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≧90%</w:t>
            </w: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27" w:hRule="exact"/>
          <w:jc w:val="center"/>
        </w:trPr>
        <w:tc>
          <w:tcPr>
            <w:tcW w:w="586"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09"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4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4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55" w:hRule="exact"/>
          <w:jc w:val="center"/>
        </w:trPr>
        <w:tc>
          <w:tcPr>
            <w:tcW w:w="586"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09"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4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4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791" w:hRule="exact"/>
          <w:jc w:val="center"/>
        </w:trPr>
        <w:tc>
          <w:tcPr>
            <w:tcW w:w="586"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09"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4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4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r>
      <w:tr>
        <w:tblPrEx>
          <w:tblCellMar>
            <w:top w:w="0" w:type="dxa"/>
            <w:left w:w="108" w:type="dxa"/>
            <w:bottom w:w="0" w:type="dxa"/>
            <w:right w:w="108" w:type="dxa"/>
          </w:tblCellMar>
        </w:tblPrEx>
        <w:trPr>
          <w:trHeight w:val="550" w:hRule="exact"/>
          <w:jc w:val="center"/>
        </w:trPr>
        <w:tc>
          <w:tcPr>
            <w:tcW w:w="586"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09"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4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4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p>
        </w:tc>
      </w:tr>
      <w:tr>
        <w:tblPrEx>
          <w:tblCellMar>
            <w:top w:w="0" w:type="dxa"/>
            <w:left w:w="108" w:type="dxa"/>
            <w:bottom w:w="0" w:type="dxa"/>
            <w:right w:w="108" w:type="dxa"/>
          </w:tblCellMar>
        </w:tblPrEx>
        <w:trPr>
          <w:trHeight w:val="201" w:hRule="exact"/>
          <w:jc w:val="center"/>
        </w:trPr>
        <w:tc>
          <w:tcPr>
            <w:tcW w:w="586"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09"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4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4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09" w:hRule="exact"/>
          <w:jc w:val="center"/>
        </w:trPr>
        <w:tc>
          <w:tcPr>
            <w:tcW w:w="586"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09"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指标1：人才数量增长率</w:t>
            </w:r>
          </w:p>
        </w:tc>
        <w:tc>
          <w:tcPr>
            <w:tcW w:w="84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84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7</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加大人才引进工作.</w:t>
            </w:r>
          </w:p>
        </w:tc>
      </w:tr>
      <w:tr>
        <w:tblPrEx>
          <w:tblCellMar>
            <w:top w:w="0" w:type="dxa"/>
            <w:left w:w="108" w:type="dxa"/>
            <w:bottom w:w="0" w:type="dxa"/>
            <w:right w:w="108" w:type="dxa"/>
          </w:tblCellMar>
        </w:tblPrEx>
        <w:trPr>
          <w:trHeight w:val="282" w:hRule="exact"/>
          <w:jc w:val="center"/>
        </w:trPr>
        <w:tc>
          <w:tcPr>
            <w:tcW w:w="586"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09"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4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4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01" w:hRule="exact"/>
          <w:jc w:val="center"/>
        </w:trPr>
        <w:tc>
          <w:tcPr>
            <w:tcW w:w="586"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09"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4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4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21" w:hRule="exact"/>
          <w:jc w:val="center"/>
        </w:trPr>
        <w:tc>
          <w:tcPr>
            <w:tcW w:w="586"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09"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4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4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4" w:hRule="exact"/>
          <w:jc w:val="center"/>
        </w:trPr>
        <w:tc>
          <w:tcPr>
            <w:tcW w:w="586"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09"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4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4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7" w:hRule="exact"/>
          <w:jc w:val="center"/>
        </w:trPr>
        <w:tc>
          <w:tcPr>
            <w:tcW w:w="586"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09"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4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4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21" w:hRule="exact"/>
          <w:jc w:val="center"/>
        </w:trPr>
        <w:tc>
          <w:tcPr>
            <w:tcW w:w="586"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09"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4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4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96" w:hRule="exact"/>
          <w:jc w:val="center"/>
        </w:trPr>
        <w:tc>
          <w:tcPr>
            <w:tcW w:w="586"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09"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4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4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7" w:hRule="exact"/>
          <w:jc w:val="center"/>
        </w:trPr>
        <w:tc>
          <w:tcPr>
            <w:tcW w:w="586"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09"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4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4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36" w:hRule="exact"/>
          <w:jc w:val="center"/>
        </w:trPr>
        <w:tc>
          <w:tcPr>
            <w:tcW w:w="586"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09"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指标1：高技能人才增长率</w:t>
            </w:r>
          </w:p>
        </w:tc>
        <w:tc>
          <w:tcPr>
            <w:tcW w:w="84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84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50</w:t>
            </w: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82" w:hRule="exact"/>
          <w:jc w:val="center"/>
        </w:trPr>
        <w:tc>
          <w:tcPr>
            <w:tcW w:w="586"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09"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4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4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00" w:hRule="exact"/>
          <w:jc w:val="center"/>
        </w:trPr>
        <w:tc>
          <w:tcPr>
            <w:tcW w:w="586"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09"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4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4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78" w:hRule="exact"/>
          <w:jc w:val="center"/>
        </w:trPr>
        <w:tc>
          <w:tcPr>
            <w:tcW w:w="586"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09"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4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4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21" w:hRule="exact"/>
          <w:jc w:val="center"/>
        </w:trPr>
        <w:tc>
          <w:tcPr>
            <w:tcW w:w="586"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09"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4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4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4" w:hRule="exact"/>
          <w:jc w:val="center"/>
        </w:trPr>
        <w:tc>
          <w:tcPr>
            <w:tcW w:w="586"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09"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4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4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21" w:hRule="exact"/>
          <w:jc w:val="center"/>
        </w:trPr>
        <w:tc>
          <w:tcPr>
            <w:tcW w:w="586"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09"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4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4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21" w:hRule="exact"/>
          <w:jc w:val="center"/>
        </w:trPr>
        <w:tc>
          <w:tcPr>
            <w:tcW w:w="586"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09"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4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4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0" w:hRule="exact"/>
          <w:jc w:val="center"/>
        </w:trPr>
        <w:tc>
          <w:tcPr>
            <w:tcW w:w="586"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09"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4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4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94" w:hRule="exact"/>
          <w:jc w:val="center"/>
        </w:trPr>
        <w:tc>
          <w:tcPr>
            <w:tcW w:w="586"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09"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4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4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27" w:hRule="exact"/>
          <w:jc w:val="center"/>
        </w:trPr>
        <w:tc>
          <w:tcPr>
            <w:tcW w:w="586"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09"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4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4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69" w:hRule="exact"/>
          <w:jc w:val="center"/>
        </w:trPr>
        <w:tc>
          <w:tcPr>
            <w:tcW w:w="586"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7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09"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3"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4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4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32" w:hRule="exact"/>
          <w:jc w:val="center"/>
        </w:trPr>
        <w:tc>
          <w:tcPr>
            <w:tcW w:w="6513"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5"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95</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8）人才绿卡服务专项经费项目绩效自评综述：根据年初设定的绩效目标，人才绿卡服务专项经费项目绩效自评得分为96分（绩效自评表附后）。全年预算数为80万元，执行数为80万元，完成预算的100%。项目绩效目标完成情况：一是加强人才引进、广纳英豪；二是确保房租补贴发放到位。</w:t>
      </w:r>
    </w:p>
    <w:p>
      <w:pPr>
        <w:adjustRightInd w:val="0"/>
        <w:snapToGrid w:val="0"/>
        <w:spacing w:line="58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p>
    <w:tbl>
      <w:tblPr>
        <w:tblStyle w:val="7"/>
        <w:tblpPr w:leftFromText="180" w:rightFromText="180" w:vertAnchor="text" w:horzAnchor="page" w:tblpX="1537" w:tblpY="5"/>
        <w:tblOverlap w:val="never"/>
        <w:tblW w:w="9080" w:type="dxa"/>
        <w:tblInd w:w="0" w:type="dxa"/>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  2019  年度）</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tabs>
                <w:tab w:val="left" w:pos="1327"/>
              </w:tabs>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ab/>
            </w:r>
            <w:r>
              <w:rPr>
                <w:rFonts w:hint="eastAsia" w:ascii="宋体" w:hAnsi="宋体" w:eastAsia="宋体" w:cs="宋体"/>
                <w:kern w:val="0"/>
                <w:sz w:val="18"/>
                <w:szCs w:val="18"/>
              </w:rPr>
              <w:t>人才绿卡服务专项经费</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无极县委组织部</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无极县委组织部</w:t>
            </w:r>
          </w:p>
        </w:tc>
      </w:tr>
      <w:tr>
        <w:tblPrEx>
          <w:tblCellMar>
            <w:top w:w="0" w:type="dxa"/>
            <w:left w:w="108" w:type="dxa"/>
            <w:bottom w:w="0" w:type="dxa"/>
            <w:right w:w="108" w:type="dxa"/>
          </w:tblCellMar>
        </w:tblPrEx>
        <w:trPr>
          <w:trHeight w:val="300" w:hRule="exact"/>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加强人才引进、广纳英豪。</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确保房租补贴发放到位。</w:t>
            </w:r>
          </w:p>
        </w:tc>
      </w:tr>
      <w:tr>
        <w:tblPrEx>
          <w:tblCellMar>
            <w:top w:w="0" w:type="dxa"/>
            <w:left w:w="108" w:type="dxa"/>
            <w:bottom w:w="0" w:type="dxa"/>
            <w:right w:w="108" w:type="dxa"/>
          </w:tblCellMar>
        </w:tblPrEx>
        <w:trPr>
          <w:trHeight w:val="533" w:hRule="exact"/>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562"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tabs>
                <w:tab w:val="center" w:pos="966"/>
              </w:tabs>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指标1：资助人才数</w:t>
            </w:r>
          </w:p>
        </w:tc>
        <w:tc>
          <w:tcPr>
            <w:tcW w:w="850" w:type="dxa"/>
            <w:tcBorders>
              <w:top w:val="nil"/>
              <w:left w:val="nil"/>
              <w:bottom w:val="single" w:color="auto" w:sz="4" w:space="0"/>
              <w:right w:val="single" w:color="auto" w:sz="4" w:space="0"/>
            </w:tcBorders>
            <w:vAlign w:val="center"/>
          </w:tcPr>
          <w:p>
            <w:pPr>
              <w:widowControl/>
              <w:tabs>
                <w:tab w:val="left" w:pos="217"/>
              </w:tabs>
              <w:spacing w:line="240" w:lineRule="exact"/>
              <w:rPr>
                <w:rFonts w:ascii="宋体" w:hAnsi="宋体" w:eastAsia="宋体" w:cs="宋体"/>
                <w:kern w:val="0"/>
                <w:sz w:val="18"/>
                <w:szCs w:val="18"/>
              </w:rPr>
            </w:pPr>
            <w:r>
              <w:rPr>
                <w:rFonts w:hint="eastAsia" w:ascii="宋体" w:hAnsi="宋体" w:eastAsia="宋体" w:cs="宋体"/>
                <w:kern w:val="0"/>
                <w:sz w:val="18"/>
                <w:szCs w:val="18"/>
              </w:rPr>
              <w:t>≧85%</w:t>
            </w:r>
          </w:p>
        </w:tc>
        <w:tc>
          <w:tcPr>
            <w:tcW w:w="851" w:type="dxa"/>
            <w:tcBorders>
              <w:top w:val="nil"/>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2"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3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73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r>
      <w:tr>
        <w:tblPrEx>
          <w:tblCellMar>
            <w:top w:w="0" w:type="dxa"/>
            <w:left w:w="108" w:type="dxa"/>
            <w:bottom w:w="0" w:type="dxa"/>
            <w:right w:w="108" w:type="dxa"/>
          </w:tblCellMar>
        </w:tblPrEx>
        <w:trPr>
          <w:trHeight w:val="513"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指标2：人才增长率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98%</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p>
        </w:tc>
      </w:tr>
      <w:tr>
        <w:tblPrEx>
          <w:tblCellMar>
            <w:top w:w="0" w:type="dxa"/>
            <w:left w:w="108" w:type="dxa"/>
            <w:bottom w:w="0" w:type="dxa"/>
            <w:right w:w="108" w:type="dxa"/>
          </w:tblCellMar>
        </w:tblPrEx>
        <w:trPr>
          <w:trHeight w:val="18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指标1：同比增长率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3"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指标1：引进人才数</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44</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加强人才引进力度.</w:t>
            </w:r>
          </w:p>
        </w:tc>
      </w:tr>
      <w:tr>
        <w:tblPrEx>
          <w:tblCellMar>
            <w:top w:w="0" w:type="dxa"/>
            <w:left w:w="108" w:type="dxa"/>
            <w:bottom w:w="0" w:type="dxa"/>
            <w:right w:w="108" w:type="dxa"/>
          </w:tblCellMar>
        </w:tblPrEx>
        <w:trPr>
          <w:trHeight w:val="263"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7"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24"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2"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58" w:hRule="exact"/>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96</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ind w:left="420" w:leftChars="200"/>
        <w:rPr>
          <w:rFonts w:ascii="仿宋_GB2312" w:hAnsi="仿宋_GB2312" w:eastAsia="仿宋_GB2312" w:cs="仿宋_GB2312"/>
          <w:sz w:val="32"/>
          <w:szCs w:val="32"/>
        </w:rPr>
      </w:pPr>
      <w:r>
        <w:rPr>
          <w:rFonts w:hint="eastAsia" w:ascii="仿宋_GB2312" w:hAnsi="仿宋_GB2312" w:eastAsia="仿宋_GB2312" w:cs="仿宋_GB2312"/>
          <w:sz w:val="32"/>
          <w:szCs w:val="32"/>
        </w:rPr>
        <w:t>（9）县管拔尖人才工作津贴项目绩效自评综述：根据年初设定的绩效目标，县管拔尖人才工作津贴项目绩效自评得分为96分（绩效自评表附后）。全年预算数为9.6万元，执行数为9.6万元，完成预算的100%。项目绩效目标完成情况：一是加强和改进人才工作；二是推进人才兴县战略，为经济发展提供智力支持。</w:t>
      </w:r>
    </w:p>
    <w:tbl>
      <w:tblPr>
        <w:tblStyle w:val="7"/>
        <w:tblpPr w:leftFromText="180" w:rightFromText="180" w:vertAnchor="text" w:horzAnchor="page" w:tblpX="1604" w:tblpY="490"/>
        <w:tblOverlap w:val="never"/>
        <w:tblW w:w="0" w:type="auto"/>
        <w:tblInd w:w="0" w:type="dxa"/>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  2019  年度）</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tabs>
                <w:tab w:val="left" w:pos="1327"/>
              </w:tabs>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ab/>
            </w:r>
            <w:r>
              <w:rPr>
                <w:rFonts w:hint="eastAsia" w:ascii="宋体" w:hAnsi="宋体" w:eastAsia="宋体" w:cs="宋体"/>
                <w:kern w:val="0"/>
                <w:sz w:val="18"/>
                <w:szCs w:val="18"/>
              </w:rPr>
              <w:t>县管拔尖人才工作津贴</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无极县委组织部</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无极县委组织部</w:t>
            </w:r>
          </w:p>
        </w:tc>
      </w:tr>
      <w:tr>
        <w:tblPrEx>
          <w:tblCellMar>
            <w:top w:w="0" w:type="dxa"/>
            <w:left w:w="108" w:type="dxa"/>
            <w:bottom w:w="0" w:type="dxa"/>
            <w:right w:w="108" w:type="dxa"/>
          </w:tblCellMar>
        </w:tblPrEx>
        <w:trPr>
          <w:trHeight w:val="300" w:hRule="exact"/>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9.6</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9.6</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9.6</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9.6</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9.6</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9.6</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加强和改进人才工作。</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推进人才兴县战略，为经济发展提供智力支持。</w:t>
            </w:r>
          </w:p>
        </w:tc>
      </w:tr>
      <w:tr>
        <w:tblPrEx>
          <w:tblCellMar>
            <w:top w:w="0" w:type="dxa"/>
            <w:left w:w="108" w:type="dxa"/>
            <w:bottom w:w="0" w:type="dxa"/>
            <w:right w:w="108" w:type="dxa"/>
          </w:tblCellMar>
        </w:tblPrEx>
        <w:trPr>
          <w:trHeight w:val="533" w:hRule="exact"/>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562"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tabs>
                <w:tab w:val="center" w:pos="966"/>
              </w:tabs>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r>
              <w:rPr>
                <w:rFonts w:hint="eastAsia" w:ascii="宋体" w:hAnsi="宋体" w:eastAsia="宋体" w:cs="宋体"/>
                <w:color w:val="000000"/>
                <w:kern w:val="0"/>
                <w:sz w:val="18"/>
                <w:szCs w:val="18"/>
              </w:rPr>
              <w:tab/>
            </w:r>
            <w:r>
              <w:rPr>
                <w:rFonts w:hint="eastAsia" w:ascii="宋体" w:hAnsi="宋体" w:eastAsia="宋体" w:cs="宋体"/>
                <w:color w:val="000000"/>
                <w:kern w:val="0"/>
                <w:sz w:val="18"/>
                <w:szCs w:val="18"/>
              </w:rPr>
              <w:t>人才落实率</w:t>
            </w:r>
          </w:p>
        </w:tc>
        <w:tc>
          <w:tcPr>
            <w:tcW w:w="850" w:type="dxa"/>
            <w:tcBorders>
              <w:top w:val="nil"/>
              <w:left w:val="nil"/>
              <w:bottom w:val="single" w:color="auto" w:sz="4" w:space="0"/>
              <w:right w:val="single" w:color="auto" w:sz="4" w:space="0"/>
            </w:tcBorders>
            <w:vAlign w:val="center"/>
          </w:tcPr>
          <w:p>
            <w:pPr>
              <w:widowControl/>
              <w:tabs>
                <w:tab w:val="left" w:pos="217"/>
              </w:tabs>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851" w:type="dxa"/>
            <w:tcBorders>
              <w:top w:val="nil"/>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2"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3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73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r>
      <w:tr>
        <w:tblPrEx>
          <w:tblCellMar>
            <w:top w:w="0" w:type="dxa"/>
            <w:left w:w="108" w:type="dxa"/>
            <w:bottom w:w="0" w:type="dxa"/>
            <w:right w:w="108" w:type="dxa"/>
          </w:tblCellMar>
        </w:tblPrEx>
        <w:trPr>
          <w:trHeight w:val="48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98%</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p>
        </w:tc>
      </w:tr>
      <w:tr>
        <w:tblPrEx>
          <w:tblCellMar>
            <w:top w:w="0" w:type="dxa"/>
            <w:left w:w="108" w:type="dxa"/>
            <w:bottom w:w="0" w:type="dxa"/>
            <w:right w:w="108" w:type="dxa"/>
          </w:tblCellMar>
        </w:tblPrEx>
        <w:trPr>
          <w:trHeight w:val="18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指标1：政策落实率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6</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加大补贴力度.</w:t>
            </w:r>
          </w:p>
        </w:tc>
      </w:tr>
      <w:tr>
        <w:tblPrEx>
          <w:tblCellMar>
            <w:top w:w="0" w:type="dxa"/>
            <w:left w:w="108" w:type="dxa"/>
            <w:bottom w:w="0" w:type="dxa"/>
            <w:right w:w="108" w:type="dxa"/>
          </w:tblCellMar>
        </w:tblPrEx>
        <w:trPr>
          <w:trHeight w:val="263"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指标1：人才增长率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3"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7"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24"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指标1：人才满意度</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85%</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2"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58" w:hRule="exact"/>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96</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ind w:left="420" w:leftChars="200"/>
        <w:rPr>
          <w:rFonts w:ascii="仿宋_GB2312" w:hAnsi="仿宋_GB2312" w:eastAsia="仿宋_GB2312" w:cs="仿宋_GB2312"/>
          <w:sz w:val="32"/>
          <w:szCs w:val="32"/>
        </w:rPr>
      </w:pPr>
      <w:r>
        <w:rPr>
          <w:rFonts w:hint="eastAsia" w:ascii="仿宋_GB2312" w:hAnsi="仿宋_GB2312" w:eastAsia="仿宋_GB2312" w:cs="仿宋_GB2312"/>
          <w:sz w:val="32"/>
          <w:szCs w:val="32"/>
        </w:rPr>
        <w:t>（10）干部信息管理中心日常管理经费项目绩效自评综述：根据年初设定的绩效目标，干部信息管理中心日常管理经费项目绩效自评得分为96分（绩效自评表附后）。全年预算数为5万元，执行数为4.99万元，完成预算的99%。项目绩效目标完成情况：一是加强日常维护，确保档案的绝对安全；二是数字化软件系统经常维护、确保安全。</w:t>
      </w:r>
    </w:p>
    <w:tbl>
      <w:tblPr>
        <w:tblStyle w:val="7"/>
        <w:tblpPr w:leftFromText="180" w:rightFromText="180" w:vertAnchor="text" w:horzAnchor="page" w:tblpX="1604" w:tblpY="500"/>
        <w:tblOverlap w:val="never"/>
        <w:tblW w:w="9080" w:type="dxa"/>
        <w:tblInd w:w="0" w:type="dxa"/>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  2019  年度）</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tabs>
                <w:tab w:val="left" w:pos="1327"/>
              </w:tabs>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ab/>
            </w:r>
            <w:r>
              <w:rPr>
                <w:rFonts w:hint="eastAsia" w:ascii="宋体" w:hAnsi="宋体" w:eastAsia="宋体" w:cs="宋体"/>
                <w:kern w:val="0"/>
                <w:sz w:val="18"/>
                <w:szCs w:val="18"/>
              </w:rPr>
              <w:t>干部信息管理中心日常管理经费</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无极县委组织部</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无极县委组织部</w:t>
            </w:r>
          </w:p>
        </w:tc>
      </w:tr>
      <w:tr>
        <w:tblPrEx>
          <w:tblCellMar>
            <w:top w:w="0" w:type="dxa"/>
            <w:left w:w="108" w:type="dxa"/>
            <w:bottom w:w="0" w:type="dxa"/>
            <w:right w:w="108" w:type="dxa"/>
          </w:tblCellMar>
        </w:tblPrEx>
        <w:trPr>
          <w:trHeight w:val="300" w:hRule="exact"/>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4.99</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99%</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4.99</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加强日常维护，确保档案的绝对安全。</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数字化软件系统经常维护、确保安全。</w:t>
            </w:r>
          </w:p>
        </w:tc>
      </w:tr>
      <w:tr>
        <w:tblPrEx>
          <w:tblCellMar>
            <w:top w:w="0" w:type="dxa"/>
            <w:left w:w="108" w:type="dxa"/>
            <w:bottom w:w="0" w:type="dxa"/>
            <w:right w:w="108" w:type="dxa"/>
          </w:tblCellMar>
        </w:tblPrEx>
        <w:trPr>
          <w:trHeight w:val="533" w:hRule="exact"/>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562"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tabs>
                <w:tab w:val="center" w:pos="966"/>
              </w:tabs>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指标1：设备经常维护率</w:t>
            </w:r>
          </w:p>
        </w:tc>
        <w:tc>
          <w:tcPr>
            <w:tcW w:w="850" w:type="dxa"/>
            <w:tcBorders>
              <w:top w:val="nil"/>
              <w:left w:val="nil"/>
              <w:bottom w:val="single" w:color="auto" w:sz="4" w:space="0"/>
              <w:right w:val="single" w:color="auto" w:sz="4" w:space="0"/>
            </w:tcBorders>
            <w:vAlign w:val="center"/>
          </w:tcPr>
          <w:p>
            <w:pPr>
              <w:widowControl/>
              <w:tabs>
                <w:tab w:val="left" w:pos="217"/>
              </w:tabs>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2"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3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73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指标1：确保资助项目政治导向正确</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98%</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严格控制请假次数,保证培训质量.</w:t>
            </w:r>
          </w:p>
        </w:tc>
      </w:tr>
      <w:tr>
        <w:tblPrEx>
          <w:tblCellMar>
            <w:top w:w="0" w:type="dxa"/>
            <w:left w:w="108" w:type="dxa"/>
            <w:bottom w:w="0" w:type="dxa"/>
            <w:right w:w="108" w:type="dxa"/>
          </w:tblCellMar>
        </w:tblPrEx>
        <w:trPr>
          <w:trHeight w:val="513"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p>
        </w:tc>
      </w:tr>
      <w:tr>
        <w:tblPrEx>
          <w:tblCellMar>
            <w:top w:w="0" w:type="dxa"/>
            <w:left w:w="108" w:type="dxa"/>
            <w:bottom w:w="0" w:type="dxa"/>
            <w:right w:w="108" w:type="dxa"/>
          </w:tblCellMar>
        </w:tblPrEx>
        <w:trPr>
          <w:trHeight w:val="18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指标1：查借阅率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rPr>
          <w:trHeight w:val="263"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指标1：完成率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85%</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3"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7"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24"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rPr>
          <w:trHeight w:val="2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指标1：群众满意度</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2"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58" w:hRule="exact"/>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96</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ind w:left="420" w:leftChars="200"/>
        <w:rPr>
          <w:rFonts w:ascii="仿宋_GB2312" w:hAnsi="仿宋_GB2312" w:eastAsia="仿宋_GB2312" w:cs="仿宋_GB2312"/>
          <w:sz w:val="32"/>
          <w:szCs w:val="32"/>
        </w:rPr>
      </w:pPr>
      <w:r>
        <w:rPr>
          <w:rFonts w:hint="eastAsia" w:ascii="仿宋_GB2312" w:hAnsi="仿宋_GB2312" w:eastAsia="仿宋_GB2312" w:cs="仿宋_GB2312"/>
          <w:sz w:val="32"/>
          <w:szCs w:val="32"/>
        </w:rPr>
        <w:t>（11）远教终端站点运行服务费经费项目绩效自评综述：根据年初设定的绩效目标，远教终端站点运行服务费经费项目绩效自评得分为96分（绩效自评表附后）。全年预算数为9.24万元，执行数为9.24万元，完成预算的100%。项目绩效目标完成情况：一是切实提高远教站点设备正常；二是保障原教站点设备运转、服务到位。</w:t>
      </w:r>
    </w:p>
    <w:tbl>
      <w:tblPr>
        <w:tblStyle w:val="7"/>
        <w:tblpPr w:leftFromText="180" w:rightFromText="180" w:vertAnchor="text" w:horzAnchor="page" w:tblpX="1571" w:tblpY="369"/>
        <w:tblOverlap w:val="never"/>
        <w:tblW w:w="9080" w:type="dxa"/>
        <w:tblInd w:w="0" w:type="dxa"/>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  2019  年度）</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tabs>
                <w:tab w:val="left" w:pos="1327"/>
              </w:tabs>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ab/>
            </w:r>
            <w:r>
              <w:rPr>
                <w:rFonts w:hint="eastAsia" w:ascii="宋体" w:hAnsi="宋体" w:eastAsia="宋体" w:cs="宋体"/>
                <w:kern w:val="0"/>
                <w:sz w:val="18"/>
                <w:szCs w:val="18"/>
              </w:rPr>
              <w:t>远教终端站点运行服务费</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无极县委组织部</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无极县委组织部</w:t>
            </w:r>
          </w:p>
        </w:tc>
      </w:tr>
      <w:tr>
        <w:tblPrEx>
          <w:tblCellMar>
            <w:top w:w="0" w:type="dxa"/>
            <w:left w:w="108" w:type="dxa"/>
            <w:bottom w:w="0" w:type="dxa"/>
            <w:right w:w="108" w:type="dxa"/>
          </w:tblCellMar>
        </w:tblPrEx>
        <w:trPr>
          <w:trHeight w:val="300" w:hRule="exact"/>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9.24</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9.24</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9.24</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9.24</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9.24</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9.24</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切实提高远教站点设备正常。</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保障原教站点设备运转、服务到位。</w:t>
            </w:r>
          </w:p>
        </w:tc>
      </w:tr>
      <w:tr>
        <w:tblPrEx>
          <w:tblCellMar>
            <w:top w:w="0" w:type="dxa"/>
            <w:left w:w="108" w:type="dxa"/>
            <w:bottom w:w="0" w:type="dxa"/>
            <w:right w:w="108" w:type="dxa"/>
          </w:tblCellMar>
        </w:tblPrEx>
        <w:trPr>
          <w:trHeight w:val="533" w:hRule="exact"/>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562"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tabs>
                <w:tab w:val="center" w:pos="966"/>
              </w:tabs>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指标1：远程教育站点完成率</w:t>
            </w:r>
          </w:p>
        </w:tc>
        <w:tc>
          <w:tcPr>
            <w:tcW w:w="850" w:type="dxa"/>
            <w:tcBorders>
              <w:top w:val="nil"/>
              <w:left w:val="nil"/>
              <w:bottom w:val="single" w:color="auto" w:sz="4" w:space="0"/>
              <w:right w:val="single" w:color="auto" w:sz="4" w:space="0"/>
            </w:tcBorders>
            <w:vAlign w:val="center"/>
          </w:tcPr>
          <w:p>
            <w:pPr>
              <w:widowControl/>
              <w:tabs>
                <w:tab w:val="left" w:pos="217"/>
              </w:tabs>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rPr>
          <w:trHeight w:val="212"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3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73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指标1：全年设备正常率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98%</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r>
      <w:tr>
        <w:tblPrEx>
          <w:tblCellMar>
            <w:top w:w="0" w:type="dxa"/>
            <w:left w:w="108" w:type="dxa"/>
            <w:bottom w:w="0" w:type="dxa"/>
            <w:right w:w="108" w:type="dxa"/>
          </w:tblCellMar>
        </w:tblPrEx>
        <w:trPr>
          <w:trHeight w:val="513"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p>
        </w:tc>
      </w:tr>
      <w:tr>
        <w:tblPrEx>
          <w:tblCellMar>
            <w:top w:w="0" w:type="dxa"/>
            <w:left w:w="108" w:type="dxa"/>
            <w:bottom w:w="0" w:type="dxa"/>
            <w:right w:w="108" w:type="dxa"/>
          </w:tblCellMar>
        </w:tblPrEx>
        <w:trPr>
          <w:trHeight w:val="18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指标1：故障设备维护及时率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3"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指标1：教育站点正常使用率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85%</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3"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7"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24"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指标1：农村党员满意度</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80%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6</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加强政策宣传.</w:t>
            </w:r>
          </w:p>
        </w:tc>
      </w:tr>
      <w:tr>
        <w:tblPrEx>
          <w:tblCellMar>
            <w:top w:w="0" w:type="dxa"/>
            <w:left w:w="108" w:type="dxa"/>
            <w:bottom w:w="0" w:type="dxa"/>
            <w:right w:w="108" w:type="dxa"/>
          </w:tblCellMar>
        </w:tblPrEx>
        <w:trPr>
          <w:trHeight w:val="212"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58" w:hRule="exact"/>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96</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ind w:left="420" w:leftChars="200"/>
        <w:rPr>
          <w:rFonts w:ascii="仿宋_GB2312" w:hAnsi="仿宋_GB2312" w:eastAsia="仿宋_GB2312" w:cs="仿宋_GB2312"/>
          <w:sz w:val="32"/>
          <w:szCs w:val="32"/>
        </w:rPr>
      </w:pPr>
    </w:p>
    <w:p>
      <w:pPr>
        <w:adjustRightInd w:val="0"/>
        <w:snapToGrid w:val="0"/>
        <w:spacing w:line="580" w:lineRule="exact"/>
        <w:ind w:left="420" w:leftChars="200"/>
        <w:rPr>
          <w:rFonts w:ascii="仿宋_GB2312" w:hAnsi="仿宋_GB2312" w:eastAsia="仿宋_GB2312" w:cs="仿宋_GB2312"/>
          <w:sz w:val="32"/>
          <w:szCs w:val="32"/>
        </w:rPr>
      </w:pPr>
      <w:r>
        <w:rPr>
          <w:rFonts w:hint="eastAsia" w:ascii="仿宋_GB2312" w:hAnsi="仿宋_GB2312" w:eastAsia="仿宋_GB2312" w:cs="仿宋_GB2312"/>
          <w:sz w:val="32"/>
          <w:szCs w:val="32"/>
        </w:rPr>
        <w:t>（12）大学生村官社会保险缴费经费项目绩效自评综述：根据年初设定的绩效目标，大学生村官社会保险缴费经费项目绩效自评得分为96分（绩效自评表附后）。全年预算数为23万元，执行数为23万元，完成预算的100%。项目绩效目标完成情况：一是落实大学生村官医疗、养老保险缴费费、意外保险缴费等；二是保障各项保险缴费落实到位、服务到位。</w:t>
      </w:r>
    </w:p>
    <w:tbl>
      <w:tblPr>
        <w:tblStyle w:val="7"/>
        <w:tblpPr w:leftFromText="180" w:rightFromText="180" w:vertAnchor="text" w:horzAnchor="page" w:tblpX="1571" w:tblpY="369"/>
        <w:tblOverlap w:val="never"/>
        <w:tblW w:w="9080" w:type="dxa"/>
        <w:tblInd w:w="0" w:type="dxa"/>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  2019  年度）</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tabs>
                <w:tab w:val="left" w:pos="1327"/>
              </w:tabs>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ab/>
            </w:r>
            <w:r>
              <w:rPr>
                <w:rFonts w:hint="eastAsia" w:ascii="宋体" w:hAnsi="宋体" w:eastAsia="宋体" w:cs="宋体"/>
                <w:kern w:val="0"/>
                <w:sz w:val="18"/>
                <w:szCs w:val="18"/>
              </w:rPr>
              <w:t>大学生村官社会保险缴费</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无极县委组织部</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无极县委组织部</w:t>
            </w:r>
          </w:p>
        </w:tc>
      </w:tr>
      <w:tr>
        <w:tblPrEx>
          <w:tblCellMar>
            <w:top w:w="0" w:type="dxa"/>
            <w:left w:w="108" w:type="dxa"/>
            <w:bottom w:w="0" w:type="dxa"/>
            <w:right w:w="108" w:type="dxa"/>
          </w:tblCellMar>
        </w:tblPrEx>
        <w:trPr>
          <w:trHeight w:val="300" w:hRule="exact"/>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23</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23</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23</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23</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23</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23</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落实大学生村官医疗、养老保险缴费费、意外保险缴费等。</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保障各项保险缴费落实到位、服务到位。</w:t>
            </w:r>
          </w:p>
        </w:tc>
      </w:tr>
      <w:tr>
        <w:tblPrEx>
          <w:tblCellMar>
            <w:top w:w="0" w:type="dxa"/>
            <w:left w:w="108" w:type="dxa"/>
            <w:bottom w:w="0" w:type="dxa"/>
            <w:right w:w="108" w:type="dxa"/>
          </w:tblCellMar>
        </w:tblPrEx>
        <w:trPr>
          <w:trHeight w:val="533" w:hRule="exact"/>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562"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指标1：大学生村官工资及保险发放覆盖率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≧75%</w:t>
            </w:r>
          </w:p>
        </w:tc>
        <w:tc>
          <w:tcPr>
            <w:tcW w:w="851" w:type="dxa"/>
            <w:tcBorders>
              <w:top w:val="nil"/>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2"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3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73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指标1：发放及时率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98%</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6</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加快发放力度</w:t>
            </w:r>
          </w:p>
        </w:tc>
      </w:tr>
      <w:tr>
        <w:tblPrEx>
          <w:tblCellMar>
            <w:top w:w="0" w:type="dxa"/>
            <w:left w:w="108" w:type="dxa"/>
            <w:bottom w:w="0" w:type="dxa"/>
            <w:right w:w="108" w:type="dxa"/>
          </w:tblCellMar>
        </w:tblPrEx>
        <w:trPr>
          <w:trHeight w:val="513"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p>
        </w:tc>
      </w:tr>
      <w:tr>
        <w:tblPrEx>
          <w:tblCellMar>
            <w:top w:w="0" w:type="dxa"/>
            <w:left w:w="108" w:type="dxa"/>
            <w:bottom w:w="0" w:type="dxa"/>
            <w:right w:w="108" w:type="dxa"/>
          </w:tblCellMar>
        </w:tblPrEx>
        <w:trPr>
          <w:trHeight w:val="18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指标1：大学生村官享受工资合规率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3"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指标1：大学生村官到岗率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85%</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3"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7"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24"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指标1：大学生村官满意度</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2"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58" w:hRule="exact"/>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96</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（13）农村干部培训经费项目绩效自评综述：根据年初设定的绩效目标， 农村干部培训经费项目绩效自评得分为92分（绩效自评表附后）。全年预算数为5万元，执行数为5万元，完成预算的100%。项目绩效目标完成情况：一是实施农村干部素质工程，加强和改善党对农村工作的领导；二是进一步加强农村基层党组织建设，带领群众致富。</w:t>
      </w:r>
    </w:p>
    <w:tbl>
      <w:tblPr>
        <w:tblStyle w:val="7"/>
        <w:tblpPr w:leftFromText="180" w:rightFromText="180" w:vertAnchor="text" w:horzAnchor="page" w:tblpX="1571" w:tblpY="369"/>
        <w:tblOverlap w:val="never"/>
        <w:tblW w:w="9080" w:type="dxa"/>
        <w:tblInd w:w="0" w:type="dxa"/>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  2019  年度）</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tabs>
                <w:tab w:val="left" w:pos="1327"/>
              </w:tabs>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 xml:space="preserve">              农村干部培训经费</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无极县委组织部</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无极县委组织部</w:t>
            </w:r>
          </w:p>
        </w:tc>
      </w:tr>
      <w:tr>
        <w:tblPrEx>
          <w:tblCellMar>
            <w:top w:w="0" w:type="dxa"/>
            <w:left w:w="108" w:type="dxa"/>
            <w:bottom w:w="0" w:type="dxa"/>
            <w:right w:w="108" w:type="dxa"/>
          </w:tblCellMar>
        </w:tblPrEx>
        <w:trPr>
          <w:trHeight w:val="300" w:hRule="exact"/>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实施农村干部素质工程，加强和改善党对农村工作的领导，为建设社会主义新农村提供坚强的组织保障。</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进一步加强农村基层党组织建设，带领群众致富。</w:t>
            </w:r>
          </w:p>
        </w:tc>
      </w:tr>
      <w:tr>
        <w:tblPrEx>
          <w:tblCellMar>
            <w:top w:w="0" w:type="dxa"/>
            <w:left w:w="108" w:type="dxa"/>
            <w:bottom w:w="0" w:type="dxa"/>
            <w:right w:w="108" w:type="dxa"/>
          </w:tblCellMar>
        </w:tblPrEx>
        <w:trPr>
          <w:trHeight w:val="533" w:hRule="exact"/>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562"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w:t>
            </w:r>
            <w:r>
              <w:rPr>
                <w:rFonts w:hint="eastAsia" w:ascii="方正书宋_GBK" w:eastAsia="方正书宋_GBK"/>
                <w:sz w:val="18"/>
                <w:szCs w:val="18"/>
              </w:rPr>
              <w:t>培</w:t>
            </w:r>
            <w:r>
              <w:rPr>
                <w:rFonts w:hint="eastAsia" w:ascii="宋体" w:hAnsi="宋体" w:eastAsia="宋体" w:cs="宋体"/>
                <w:kern w:val="0"/>
                <w:sz w:val="18"/>
                <w:szCs w:val="18"/>
              </w:rPr>
              <w:t>训覆盖率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≧85%</w:t>
            </w:r>
          </w:p>
        </w:tc>
        <w:tc>
          <w:tcPr>
            <w:tcW w:w="851" w:type="dxa"/>
            <w:tcBorders>
              <w:top w:val="nil"/>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2"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3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73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指标1：培训合格率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98%</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r>
      <w:tr>
        <w:tblPrEx>
          <w:tblCellMar>
            <w:top w:w="0" w:type="dxa"/>
            <w:left w:w="108" w:type="dxa"/>
            <w:bottom w:w="0" w:type="dxa"/>
            <w:right w:w="108" w:type="dxa"/>
          </w:tblCellMar>
        </w:tblPrEx>
        <w:trPr>
          <w:trHeight w:val="513"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p>
        </w:tc>
      </w:tr>
      <w:tr>
        <w:tblPrEx>
          <w:tblCellMar>
            <w:top w:w="0" w:type="dxa"/>
            <w:left w:w="108" w:type="dxa"/>
            <w:bottom w:w="0" w:type="dxa"/>
            <w:right w:w="108" w:type="dxa"/>
          </w:tblCellMar>
        </w:tblPrEx>
        <w:trPr>
          <w:trHeight w:val="18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指标1：年度培训按时完成率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3"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指标1：基层先进典型表彰完成率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85%</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42</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加强政策导向。</w:t>
            </w:r>
          </w:p>
        </w:tc>
      </w:tr>
      <w:tr>
        <w:tblPrEx>
          <w:tblCellMar>
            <w:top w:w="0" w:type="dxa"/>
            <w:left w:w="108" w:type="dxa"/>
            <w:bottom w:w="0" w:type="dxa"/>
            <w:right w:w="108" w:type="dxa"/>
          </w:tblCellMar>
        </w:tblPrEx>
        <w:trPr>
          <w:trHeight w:val="263"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7"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24"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指标1：服务对象满意度</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2"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58" w:hRule="exact"/>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92</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（14）非公企业和社会组织党建工作经费项目绩效自评综述：根据年初设定的绩效目标， 非公企业和社会组织党建工作经费项目绩效自评得分为95分（绩效自评表附后）。全年预算数为5万元，执行数为5万元，完成预算的100%。项目绩效目标完成情况：一是加强非公企业和社会组织党建示范点建设；二是确保党建示范点工作有序推进。</w:t>
      </w:r>
    </w:p>
    <w:tbl>
      <w:tblPr>
        <w:tblStyle w:val="7"/>
        <w:tblpPr w:leftFromText="180" w:rightFromText="180" w:vertAnchor="text" w:horzAnchor="page" w:tblpX="1571" w:tblpY="369"/>
        <w:tblOverlap w:val="never"/>
        <w:tblW w:w="9080" w:type="dxa"/>
        <w:tblInd w:w="0" w:type="dxa"/>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  2019  年度）</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tabs>
                <w:tab w:val="left" w:pos="1327"/>
              </w:tabs>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 xml:space="preserve">              非公企业和社会组织党建工作经费</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无极县委组织部</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无极县委组织部</w:t>
            </w:r>
          </w:p>
        </w:tc>
      </w:tr>
      <w:tr>
        <w:tblPrEx>
          <w:tblCellMar>
            <w:top w:w="0" w:type="dxa"/>
            <w:left w:w="108" w:type="dxa"/>
            <w:bottom w:w="0" w:type="dxa"/>
            <w:right w:w="108" w:type="dxa"/>
          </w:tblCellMar>
        </w:tblPrEx>
        <w:trPr>
          <w:trHeight w:val="300" w:hRule="exact"/>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加强非公企业和社会组织党建示范点建设。</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确保党建示范点工作有序推进。</w:t>
            </w:r>
          </w:p>
        </w:tc>
      </w:tr>
      <w:tr>
        <w:tblPrEx>
          <w:tblCellMar>
            <w:top w:w="0" w:type="dxa"/>
            <w:left w:w="108" w:type="dxa"/>
            <w:bottom w:w="0" w:type="dxa"/>
            <w:right w:w="108" w:type="dxa"/>
          </w:tblCellMar>
        </w:tblPrEx>
        <w:trPr>
          <w:trHeight w:val="533" w:hRule="exact"/>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562"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指标1：党组织阵地建设率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2"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3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73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指标1：已建非公企业、国企、学校、医院和社会党组织合规率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98%</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加强党建示范点建设</w:t>
            </w:r>
          </w:p>
        </w:tc>
      </w:tr>
      <w:tr>
        <w:tblPrEx>
          <w:tblCellMar>
            <w:top w:w="0" w:type="dxa"/>
            <w:left w:w="108" w:type="dxa"/>
            <w:bottom w:w="0" w:type="dxa"/>
            <w:right w:w="108" w:type="dxa"/>
          </w:tblCellMar>
        </w:tblPrEx>
        <w:trPr>
          <w:trHeight w:val="513"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p>
        </w:tc>
      </w:tr>
      <w:tr>
        <w:tblPrEx>
          <w:tblCellMar>
            <w:top w:w="0" w:type="dxa"/>
            <w:left w:w="108" w:type="dxa"/>
            <w:bottom w:w="0" w:type="dxa"/>
            <w:right w:w="108" w:type="dxa"/>
          </w:tblCellMar>
        </w:tblPrEx>
        <w:trPr>
          <w:trHeight w:val="18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指标1：年度培训按时完成率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3"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rPr>
          <w:trHeight w:val="5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指标1：党组织书记培训覆盖率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85%</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3"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7"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24"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指标1：服务对象满意度</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2"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58" w:hRule="exact"/>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95</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ind w:left="420" w:leftChars="200"/>
        <w:rPr>
          <w:rFonts w:ascii="仿宋_GB2312" w:hAnsi="仿宋_GB2312" w:eastAsia="仿宋_GB2312" w:cs="仿宋_GB2312"/>
          <w:sz w:val="32"/>
          <w:szCs w:val="32"/>
        </w:rPr>
      </w:pPr>
    </w:p>
    <w:p>
      <w:pPr>
        <w:adjustRightInd w:val="0"/>
        <w:snapToGrid w:val="0"/>
        <w:spacing w:line="58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（15）提前下达2019年老党员生活补贴省级补助经费项目绩效自评综述：根据年初设定的绩效目标，  提前下达2019年老党员生活补贴省级补助经费项目绩效自评得分为98分（绩效自评表附后）。全年预算数为39.44万元，执行数为39.44万元，完成预算的100%。项目绩效目标完成情况：一是做好2019年老党员生活补贴经费发放工作；二是按时足额发放、服务到位。</w:t>
      </w:r>
    </w:p>
    <w:tbl>
      <w:tblPr>
        <w:tblStyle w:val="7"/>
        <w:tblpPr w:leftFromText="180" w:rightFromText="180" w:vertAnchor="text" w:horzAnchor="page" w:tblpX="1571" w:tblpY="369"/>
        <w:tblOverlap w:val="never"/>
        <w:tblW w:w="9080" w:type="dxa"/>
        <w:tblInd w:w="0" w:type="dxa"/>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  2019  年度）</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tabs>
                <w:tab w:val="left" w:pos="1327"/>
              </w:tabs>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 xml:space="preserve">              提前下达2019年老党员生活补贴省级补助经费</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无极县委组织部</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无极县委组织部</w:t>
            </w:r>
          </w:p>
        </w:tc>
      </w:tr>
      <w:tr>
        <w:tblPrEx>
          <w:tblCellMar>
            <w:top w:w="0" w:type="dxa"/>
            <w:left w:w="108" w:type="dxa"/>
            <w:bottom w:w="0" w:type="dxa"/>
            <w:right w:w="108" w:type="dxa"/>
          </w:tblCellMar>
        </w:tblPrEx>
        <w:trPr>
          <w:trHeight w:val="300" w:hRule="exact"/>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39.44</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39.44</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39.44</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39.44</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39.44</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39.44</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做好2019年老党员生活补贴经费发放工作。</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按时足额发放、服务到位。</w:t>
            </w:r>
          </w:p>
        </w:tc>
      </w:tr>
      <w:tr>
        <w:tblPrEx>
          <w:tblCellMar>
            <w:top w:w="0" w:type="dxa"/>
            <w:left w:w="108" w:type="dxa"/>
            <w:bottom w:w="0" w:type="dxa"/>
            <w:right w:w="108" w:type="dxa"/>
          </w:tblCellMar>
        </w:tblPrEx>
        <w:trPr>
          <w:trHeight w:val="533" w:hRule="exact"/>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562"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spacing w:line="300" w:lineRule="exact"/>
              <w:jc w:val="left"/>
              <w:rPr>
                <w:rFonts w:ascii="宋体" w:hAnsi="宋体" w:eastAsia="宋体" w:cs="宋体"/>
                <w:kern w:val="0"/>
                <w:sz w:val="18"/>
                <w:szCs w:val="18"/>
              </w:rPr>
            </w:pPr>
            <w:r>
              <w:rPr>
                <w:rFonts w:hint="eastAsia" w:ascii="宋体" w:hAnsi="宋体" w:eastAsia="宋体" w:cs="宋体"/>
                <w:kern w:val="0"/>
                <w:sz w:val="18"/>
                <w:szCs w:val="18"/>
              </w:rPr>
              <w:t>指标1：按标准足额发放率</w:t>
            </w:r>
          </w:p>
          <w:p>
            <w:pPr>
              <w:widowControl/>
              <w:spacing w:line="240" w:lineRule="exact"/>
              <w:jc w:val="left"/>
              <w:rPr>
                <w:rFonts w:ascii="宋体" w:hAnsi="宋体" w:eastAsia="宋体" w:cs="宋体"/>
                <w:kern w:val="0"/>
                <w:sz w:val="18"/>
                <w:szCs w:val="18"/>
              </w:rPr>
            </w:pP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≧85%</w:t>
            </w:r>
          </w:p>
        </w:tc>
        <w:tc>
          <w:tcPr>
            <w:tcW w:w="851" w:type="dxa"/>
            <w:tcBorders>
              <w:top w:val="nil"/>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2"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3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73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指标1严格按照补贴标准发放</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98%</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r>
      <w:tr>
        <w:tblPrEx>
          <w:tblCellMar>
            <w:top w:w="0" w:type="dxa"/>
            <w:left w:w="108" w:type="dxa"/>
            <w:bottom w:w="0" w:type="dxa"/>
            <w:right w:w="108" w:type="dxa"/>
          </w:tblCellMar>
        </w:tblPrEx>
        <w:trPr>
          <w:trHeight w:val="513"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p>
        </w:tc>
      </w:tr>
      <w:tr>
        <w:tblPrEx>
          <w:tblCellMar>
            <w:top w:w="0" w:type="dxa"/>
            <w:left w:w="108" w:type="dxa"/>
            <w:bottom w:w="0" w:type="dxa"/>
            <w:right w:w="108" w:type="dxa"/>
          </w:tblCellMar>
        </w:tblPrEx>
        <w:trPr>
          <w:trHeight w:val="18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指标1：老党员补贴发放及时率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3"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95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指标1：老党员对党的关怀和温暖的感受率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85%</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48</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加强对老党员全方位的关怀，切实感受党的温暖。</w:t>
            </w:r>
          </w:p>
        </w:tc>
      </w:tr>
      <w:tr>
        <w:tblPrEx>
          <w:tblCellMar>
            <w:top w:w="0" w:type="dxa"/>
            <w:left w:w="108" w:type="dxa"/>
            <w:bottom w:w="0" w:type="dxa"/>
            <w:right w:w="108" w:type="dxa"/>
          </w:tblCellMar>
        </w:tblPrEx>
        <w:trPr>
          <w:trHeight w:val="263"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7"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24"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指标1：发放对象满意度</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2"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58" w:hRule="exact"/>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98</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（16）</w:t>
      </w:r>
      <w:r>
        <w:rPr>
          <w:rFonts w:hint="eastAsia" w:ascii="宋体" w:hAnsi="宋体" w:eastAsia="宋体" w:cs="宋体"/>
          <w:kern w:val="0"/>
          <w:sz w:val="18"/>
          <w:szCs w:val="18"/>
        </w:rPr>
        <w:t xml:space="preserve"> </w:t>
      </w:r>
      <w:r>
        <w:rPr>
          <w:rFonts w:hint="eastAsia" w:ascii="仿宋_GB2312" w:hAnsi="仿宋_GB2312" w:eastAsia="仿宋_GB2312" w:cs="仿宋_GB2312"/>
          <w:sz w:val="32"/>
          <w:szCs w:val="32"/>
        </w:rPr>
        <w:t>提前下达2019年老党员生活补贴中央补助经费项目绩效自评综述：根据年初设定的绩效目标， 提前下达2019年老党员生活补贴中央补助经费项目绩效自评得分为96分（绩效自评表附后）。全年预算数为43.22万元，执行数为43.22万元，完成预算的100%。项目绩效目标完成情况：一是做好2019年老党员中央生活补贴经费发放工作；二是按时足额发放、服务到位。</w:t>
      </w:r>
    </w:p>
    <w:tbl>
      <w:tblPr>
        <w:tblStyle w:val="7"/>
        <w:tblpPr w:leftFromText="180" w:rightFromText="180" w:vertAnchor="text" w:horzAnchor="page" w:tblpX="1571" w:tblpY="369"/>
        <w:tblOverlap w:val="never"/>
        <w:tblW w:w="9080" w:type="dxa"/>
        <w:tblInd w:w="0" w:type="dxa"/>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  2019  年度）</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tabs>
                <w:tab w:val="left" w:pos="1327"/>
              </w:tabs>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 xml:space="preserve">              提前下达2019年老党员生活补贴中央补助经费</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无极县委组织部</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无极县委组织部</w:t>
            </w:r>
          </w:p>
        </w:tc>
      </w:tr>
      <w:tr>
        <w:tblPrEx>
          <w:tblCellMar>
            <w:top w:w="0" w:type="dxa"/>
            <w:left w:w="108" w:type="dxa"/>
            <w:bottom w:w="0" w:type="dxa"/>
            <w:right w:w="108" w:type="dxa"/>
          </w:tblCellMar>
        </w:tblPrEx>
        <w:trPr>
          <w:trHeight w:val="300" w:hRule="exact"/>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43.22</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43.22</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43.22</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43.22</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43.22</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43.22</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做好2019年老党员中央生活补贴经费发放工作。</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按时足额发放、服务到位。</w:t>
            </w:r>
          </w:p>
        </w:tc>
      </w:tr>
      <w:tr>
        <w:tblPrEx>
          <w:tblCellMar>
            <w:top w:w="0" w:type="dxa"/>
            <w:left w:w="108" w:type="dxa"/>
            <w:bottom w:w="0" w:type="dxa"/>
            <w:right w:w="108" w:type="dxa"/>
          </w:tblCellMar>
        </w:tblPrEx>
        <w:trPr>
          <w:trHeight w:val="533" w:hRule="exact"/>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562"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指标1：按标准足额发放率</w:t>
            </w:r>
          </w:p>
          <w:p>
            <w:pPr>
              <w:widowControl/>
              <w:spacing w:line="240" w:lineRule="exact"/>
              <w:jc w:val="left"/>
              <w:rPr>
                <w:rFonts w:ascii="宋体" w:hAnsi="宋体" w:eastAsia="宋体" w:cs="宋体"/>
                <w:kern w:val="0"/>
                <w:sz w:val="18"/>
                <w:szCs w:val="18"/>
              </w:rPr>
            </w:pP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≧75%</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2"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3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73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指标1严格按照补贴标准发放</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98%</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r>
      <w:tr>
        <w:tblPrEx>
          <w:tblCellMar>
            <w:top w:w="0" w:type="dxa"/>
            <w:left w:w="108" w:type="dxa"/>
            <w:bottom w:w="0" w:type="dxa"/>
            <w:right w:w="108" w:type="dxa"/>
          </w:tblCellMar>
        </w:tblPrEx>
        <w:trPr>
          <w:trHeight w:val="513"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p>
        </w:tc>
      </w:tr>
      <w:tr>
        <w:tblPrEx>
          <w:tblCellMar>
            <w:top w:w="0" w:type="dxa"/>
            <w:left w:w="108" w:type="dxa"/>
            <w:bottom w:w="0" w:type="dxa"/>
            <w:right w:w="108" w:type="dxa"/>
          </w:tblCellMar>
        </w:tblPrEx>
        <w:trPr>
          <w:trHeight w:val="18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指标1：老党员补贴发放及时率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3"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rPr>
          <w:trHeight w:val="2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指标1：老党员对党的关怀和温暖的感受率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85%</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rPr>
          <w:trHeight w:val="263"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7"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24"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rPr>
          <w:trHeight w:val="48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指标1：发放对象满意度</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6</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大力宣传党的补贴政策。</w:t>
            </w:r>
          </w:p>
        </w:tc>
      </w:tr>
      <w:tr>
        <w:tblPrEx>
          <w:tblCellMar>
            <w:top w:w="0" w:type="dxa"/>
            <w:left w:w="108" w:type="dxa"/>
            <w:bottom w:w="0" w:type="dxa"/>
            <w:right w:w="108" w:type="dxa"/>
          </w:tblCellMar>
        </w:tblPrEx>
        <w:trPr>
          <w:trHeight w:val="212"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58" w:hRule="exact"/>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96</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ind w:left="420" w:leftChars="200"/>
        <w:rPr>
          <w:rFonts w:ascii="仿宋_GB2312" w:hAnsi="仿宋_GB2312" w:eastAsia="仿宋_GB2312" w:cs="仿宋_GB2312"/>
          <w:sz w:val="32"/>
          <w:szCs w:val="32"/>
        </w:rPr>
      </w:pPr>
      <w:r>
        <w:rPr>
          <w:rFonts w:hint="eastAsia" w:ascii="仿宋_GB2312" w:hAnsi="仿宋_GB2312" w:eastAsia="仿宋_GB2312" w:cs="仿宋_GB2312"/>
          <w:sz w:val="32"/>
          <w:szCs w:val="32"/>
        </w:rPr>
        <w:t>（17）全县农村党支部书记“双提升”培训班经费项目绩效自评综述：根据年初设定的绩效目标， 全县农村党支部书记“双提升”培训班经费项目绩效自评得分为91分（绩效自评表附后）。全年预算数为34.73万元，执行数为34.73万元，完成预算的100%。项目绩效目标完成情况：一是全面提升农村党支部书记的政治思想素质、引领发展能力、基层治理本领和服务群众水平；二是培训组织有序、效果明显起到示范引领作用。</w:t>
      </w:r>
    </w:p>
    <w:tbl>
      <w:tblPr>
        <w:tblStyle w:val="7"/>
        <w:tblpPr w:leftFromText="180" w:rightFromText="180" w:vertAnchor="text" w:horzAnchor="page" w:tblpX="1571" w:tblpY="369"/>
        <w:tblOverlap w:val="never"/>
        <w:tblW w:w="9080" w:type="dxa"/>
        <w:tblInd w:w="0" w:type="dxa"/>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  2019  年度）</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tabs>
                <w:tab w:val="left" w:pos="1327"/>
              </w:tabs>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 xml:space="preserve">              全县农村党支部书记“双提升”培训班经费</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无极县委组织部</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无极县委组织部</w:t>
            </w:r>
          </w:p>
        </w:tc>
      </w:tr>
      <w:tr>
        <w:tblPrEx>
          <w:tblCellMar>
            <w:top w:w="0" w:type="dxa"/>
            <w:left w:w="108" w:type="dxa"/>
            <w:bottom w:w="0" w:type="dxa"/>
            <w:right w:w="108" w:type="dxa"/>
          </w:tblCellMar>
        </w:tblPrEx>
        <w:trPr>
          <w:trHeight w:val="300" w:hRule="exact"/>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34.73</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34.73</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34.73</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34.73</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34.73</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34.73</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全面提升农村党支部书记的政治思想素质、引领发展能力、基层治理本领和服务群众水平。</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培训组织有序、效果明显起到示范引领作用。</w:t>
            </w:r>
          </w:p>
        </w:tc>
      </w:tr>
      <w:tr>
        <w:tblPrEx>
          <w:tblCellMar>
            <w:top w:w="0" w:type="dxa"/>
            <w:left w:w="108" w:type="dxa"/>
            <w:bottom w:w="0" w:type="dxa"/>
            <w:right w:w="108" w:type="dxa"/>
          </w:tblCellMar>
        </w:tblPrEx>
        <w:trPr>
          <w:trHeight w:val="533" w:hRule="exact"/>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562"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指标1：培训覆盖率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≧75%</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2"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3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73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指标1：培训合格率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98%</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加强培训合格率</w:t>
            </w:r>
          </w:p>
        </w:tc>
      </w:tr>
      <w:tr>
        <w:tblPrEx>
          <w:tblCellMar>
            <w:top w:w="0" w:type="dxa"/>
            <w:left w:w="108" w:type="dxa"/>
            <w:bottom w:w="0" w:type="dxa"/>
            <w:right w:w="108" w:type="dxa"/>
          </w:tblCellMar>
        </w:tblPrEx>
        <w:trPr>
          <w:trHeight w:val="513"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p>
        </w:tc>
      </w:tr>
      <w:tr>
        <w:tblPrEx>
          <w:tblCellMar>
            <w:top w:w="0" w:type="dxa"/>
            <w:left w:w="108" w:type="dxa"/>
            <w:bottom w:w="0" w:type="dxa"/>
            <w:right w:w="108" w:type="dxa"/>
          </w:tblCellMar>
        </w:tblPrEx>
        <w:trPr>
          <w:trHeight w:val="18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指标1：年度培训按时完成率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3"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指标1：先进典型表彰完成率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85%</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44</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加强培训力度</w:t>
            </w:r>
          </w:p>
        </w:tc>
      </w:tr>
      <w:tr>
        <w:tblPrEx>
          <w:tblCellMar>
            <w:top w:w="0" w:type="dxa"/>
            <w:left w:w="108" w:type="dxa"/>
            <w:bottom w:w="0" w:type="dxa"/>
            <w:right w:w="108" w:type="dxa"/>
          </w:tblCellMar>
        </w:tblPrEx>
        <w:trPr>
          <w:trHeight w:val="263"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7"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24"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指标1：服务对象满意度</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2"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58" w:hRule="exact"/>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91</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ind w:left="420" w:leftChars="200"/>
        <w:rPr>
          <w:rFonts w:ascii="仿宋_GB2312" w:hAnsi="仿宋_GB2312" w:eastAsia="仿宋_GB2312" w:cs="仿宋_GB2312"/>
          <w:sz w:val="32"/>
          <w:szCs w:val="32"/>
        </w:rPr>
      </w:pPr>
      <w:r>
        <w:rPr>
          <w:rFonts w:hint="eastAsia" w:ascii="仿宋_GB2312" w:hAnsi="仿宋_GB2312" w:eastAsia="仿宋_GB2312" w:cs="仿宋_GB2312"/>
          <w:sz w:val="32"/>
          <w:szCs w:val="32"/>
        </w:rPr>
        <w:t>（18）组织部日常公用经费项目绩效自评综述：根据年初设定的绩效目标，  组织部日常公用经费项目绩效自评得分为96分（绩效自评表附后）。全年预算数为9万元，执行数为9万元，完成预算的100%。项目绩效目标完成情况：一是确保日常公用经费拨付，机关运转正常；二是按时拨付，确保机关有序运行。</w:t>
      </w:r>
    </w:p>
    <w:tbl>
      <w:tblPr>
        <w:tblStyle w:val="7"/>
        <w:tblpPr w:leftFromText="180" w:rightFromText="180" w:vertAnchor="text" w:horzAnchor="page" w:tblpX="1571" w:tblpY="369"/>
        <w:tblOverlap w:val="never"/>
        <w:tblW w:w="9080" w:type="dxa"/>
        <w:tblInd w:w="0" w:type="dxa"/>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  2019  年度）</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tabs>
                <w:tab w:val="left" w:pos="1327"/>
              </w:tabs>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 xml:space="preserve">              组织部日常公用经费</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无极县委组织部</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无极县委组织部</w:t>
            </w:r>
          </w:p>
        </w:tc>
      </w:tr>
      <w:tr>
        <w:tblPrEx>
          <w:tblCellMar>
            <w:top w:w="0" w:type="dxa"/>
            <w:left w:w="108" w:type="dxa"/>
            <w:bottom w:w="0" w:type="dxa"/>
            <w:right w:w="108" w:type="dxa"/>
          </w:tblCellMar>
        </w:tblPrEx>
        <w:trPr>
          <w:trHeight w:val="300" w:hRule="exact"/>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确保日常公用经费拨付，机关运转正常。</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按时拨付，确保机关有序运行。</w:t>
            </w:r>
          </w:p>
        </w:tc>
      </w:tr>
      <w:tr>
        <w:tblPrEx>
          <w:tblCellMar>
            <w:top w:w="0" w:type="dxa"/>
            <w:left w:w="108" w:type="dxa"/>
            <w:bottom w:w="0" w:type="dxa"/>
            <w:right w:w="108" w:type="dxa"/>
          </w:tblCellMar>
        </w:tblPrEx>
        <w:trPr>
          <w:trHeight w:val="533" w:hRule="exact"/>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562"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指标1：保障正常运转率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≧85%</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2"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3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73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指标1：日常工作运转率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98%</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6</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加强日常维护，确保运转正常</w:t>
            </w:r>
          </w:p>
        </w:tc>
      </w:tr>
      <w:tr>
        <w:tblPrEx>
          <w:tblCellMar>
            <w:top w:w="0" w:type="dxa"/>
            <w:left w:w="108" w:type="dxa"/>
            <w:bottom w:w="0" w:type="dxa"/>
            <w:right w:w="108" w:type="dxa"/>
          </w:tblCellMar>
        </w:tblPrEx>
        <w:trPr>
          <w:trHeight w:val="513"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p>
        </w:tc>
      </w:tr>
      <w:tr>
        <w:tblPrEx>
          <w:tblCellMar>
            <w:top w:w="0" w:type="dxa"/>
            <w:left w:w="108" w:type="dxa"/>
            <w:bottom w:w="0" w:type="dxa"/>
            <w:right w:w="108" w:type="dxa"/>
          </w:tblCellMar>
        </w:tblPrEx>
        <w:trPr>
          <w:trHeight w:val="18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指标1：年度工作按时完成率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3"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指标1：综合业务管理工作完成率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85%</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3"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7"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24"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指标1：服务对象满意度</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2"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rPr>
          <w:trHeight w:val="158" w:hRule="exact"/>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96</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（19）党内互助关怀帮扶专项资金项目绩效自评综述：根据年初设定的绩效目标，  党内互助关怀帮扶专项资金项目绩效自评得分为94分（绩效自评表附后）。全年预算数为5万元，执行数为5万元，完成预算的100%。项目绩效目标完成情况：一是帮助困难党员</w:t>
      </w:r>
      <w:r>
        <w:rPr>
          <w:rFonts w:hint="eastAsia" w:ascii="仿宋_GB2312" w:hAnsi="仿宋_GB2312" w:eastAsia="仿宋_GB2312" w:cs="仿宋_GB2312"/>
          <w:sz w:val="32"/>
          <w:szCs w:val="32"/>
          <w:lang w:eastAsia="zh-CN"/>
        </w:rPr>
        <w:t>渡过难关</w:t>
      </w:r>
      <w:r>
        <w:rPr>
          <w:rFonts w:hint="eastAsia" w:ascii="仿宋_GB2312" w:hAnsi="仿宋_GB2312" w:eastAsia="仿宋_GB2312" w:cs="仿宋_GB2312"/>
          <w:sz w:val="32"/>
          <w:szCs w:val="32"/>
        </w:rPr>
        <w:t>，摆脱困境和增强自我发展能力；二是按照立足党内、实事求是、公开公平公正的原则管理和使用。</w:t>
      </w:r>
    </w:p>
    <w:tbl>
      <w:tblPr>
        <w:tblStyle w:val="7"/>
        <w:tblpPr w:leftFromText="180" w:rightFromText="180" w:vertAnchor="text" w:horzAnchor="page" w:tblpX="1571" w:tblpY="369"/>
        <w:tblOverlap w:val="never"/>
        <w:tblW w:w="9080" w:type="dxa"/>
        <w:tblInd w:w="0" w:type="dxa"/>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  2019  年度）</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tabs>
                <w:tab w:val="left" w:pos="1327"/>
              </w:tabs>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 xml:space="preserve">              党内互助关怀帮扶专项资金</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无极县委组织部</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无极县委组织部</w:t>
            </w:r>
          </w:p>
        </w:tc>
      </w:tr>
      <w:tr>
        <w:tblPrEx>
          <w:tblCellMar>
            <w:top w:w="0" w:type="dxa"/>
            <w:left w:w="108" w:type="dxa"/>
            <w:bottom w:w="0" w:type="dxa"/>
            <w:right w:w="108" w:type="dxa"/>
          </w:tblCellMar>
        </w:tblPrEx>
        <w:trPr>
          <w:trHeight w:val="300" w:hRule="exact"/>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帮助困难党员</w:t>
            </w:r>
            <w:r>
              <w:rPr>
                <w:rFonts w:hint="eastAsia" w:ascii="宋体" w:hAnsi="宋体" w:eastAsia="宋体" w:cs="宋体"/>
                <w:kern w:val="0"/>
                <w:sz w:val="18"/>
                <w:szCs w:val="18"/>
                <w:lang w:eastAsia="zh-CN"/>
              </w:rPr>
              <w:t>渡过难关</w:t>
            </w:r>
            <w:r>
              <w:rPr>
                <w:rFonts w:hint="eastAsia" w:ascii="宋体" w:hAnsi="宋体" w:eastAsia="宋体" w:cs="宋体"/>
                <w:kern w:val="0"/>
                <w:sz w:val="18"/>
                <w:szCs w:val="18"/>
              </w:rPr>
              <w:t>，摆脱困境和增强自我发展能力。</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按照立足党内、实事求是、公开公平公正的原则管理和使用。</w:t>
            </w:r>
          </w:p>
        </w:tc>
      </w:tr>
      <w:tr>
        <w:tblPrEx>
          <w:tblCellMar>
            <w:top w:w="0" w:type="dxa"/>
            <w:left w:w="108" w:type="dxa"/>
            <w:bottom w:w="0" w:type="dxa"/>
            <w:right w:w="108" w:type="dxa"/>
          </w:tblCellMar>
        </w:tblPrEx>
        <w:trPr>
          <w:trHeight w:val="533" w:hRule="exact"/>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562"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指标1：按标准足额发放率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≧75%</w:t>
            </w:r>
          </w:p>
        </w:tc>
        <w:tc>
          <w:tcPr>
            <w:tcW w:w="851" w:type="dxa"/>
            <w:tcBorders>
              <w:top w:val="nil"/>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2"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3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73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指标1：按标准足额发放率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98%</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r>
      <w:tr>
        <w:tblPrEx>
          <w:tblCellMar>
            <w:top w:w="0" w:type="dxa"/>
            <w:left w:w="108" w:type="dxa"/>
            <w:bottom w:w="0" w:type="dxa"/>
            <w:right w:w="108" w:type="dxa"/>
          </w:tblCellMar>
        </w:tblPrEx>
        <w:trPr>
          <w:trHeight w:val="513"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p>
        </w:tc>
      </w:tr>
      <w:tr>
        <w:tblPrEx>
          <w:tblCellMar>
            <w:top w:w="0" w:type="dxa"/>
            <w:left w:w="108" w:type="dxa"/>
            <w:bottom w:w="0" w:type="dxa"/>
            <w:right w:w="108" w:type="dxa"/>
          </w:tblCellMar>
        </w:tblPrEx>
        <w:trPr>
          <w:trHeight w:val="18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指标1：补贴发放及时率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3"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8"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9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71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指标1：生活困难党员对党的关怀和温暖的感受率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85%</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44</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加大对困难党员帮扶力度。</w:t>
            </w:r>
          </w:p>
        </w:tc>
      </w:tr>
      <w:tr>
        <w:tblPrEx>
          <w:tblCellMar>
            <w:top w:w="0" w:type="dxa"/>
            <w:left w:w="108" w:type="dxa"/>
            <w:bottom w:w="0" w:type="dxa"/>
            <w:right w:w="108" w:type="dxa"/>
          </w:tblCellMar>
        </w:tblPrEx>
        <w:trPr>
          <w:trHeight w:val="263"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7"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24"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75"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指标1：服务对象满意度</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2" w:hRule="exact"/>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58" w:hRule="exact"/>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94</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rPr>
          <w:rFonts w:ascii="仿宋_GB2312" w:hAnsi="仿宋_GB2312" w:eastAsia="仿宋_GB2312" w:cs="仿宋_GB2312"/>
          <w:sz w:val="32"/>
          <w:szCs w:val="32"/>
        </w:rPr>
      </w:pPr>
    </w:p>
    <w:p>
      <w:pPr>
        <w:keepNext/>
        <w:keepLines/>
        <w:numPr>
          <w:ilvl w:val="0"/>
          <w:numId w:val="3"/>
        </w:numPr>
        <w:snapToGrid w:val="0"/>
        <w:spacing w:line="580" w:lineRule="exact"/>
        <w:ind w:firstLine="643" w:firstLineChars="200"/>
        <w:outlineLvl w:val="1"/>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财政评价项目绩效评价结果</w:t>
      </w:r>
    </w:p>
    <w:p>
      <w:pPr>
        <w:keepNext/>
        <w:keepLines/>
        <w:snapToGrid w:val="0"/>
        <w:spacing w:line="580" w:lineRule="exact"/>
        <w:ind w:firstLine="566" w:firstLineChars="177"/>
        <w:outlineLvl w:val="1"/>
        <w:rPr>
          <w:rFonts w:ascii="仿宋_GB2312" w:hAnsi="Times New Roman" w:eastAsia="仿宋_GB2312" w:cs="DengXian-Regular"/>
          <w:sz w:val="32"/>
          <w:szCs w:val="32"/>
        </w:rPr>
      </w:pPr>
      <w:r>
        <w:rPr>
          <w:rFonts w:hint="eastAsia" w:ascii="仿宋_GB2312" w:hAnsi="Times New Roman" w:eastAsia="仿宋_GB2312" w:cs="DengXian-Regular"/>
          <w:sz w:val="32"/>
          <w:szCs w:val="32"/>
        </w:rPr>
        <w:t>财政评价项目绩效评价结果为优。</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本部门2019年度机关运行经费支出348万元，比2018年度增加79.36万元，增长29.54%。主要原因是人员增加。</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本部门2019年度政府采购支出总额0万元</w:t>
      </w:r>
      <w:r>
        <w:rPr>
          <w:rFonts w:ascii="仿宋_GB2312" w:hAnsi="仿宋_GB2312" w:eastAsia="仿宋_GB2312" w:cs="仿宋_GB2312"/>
          <w:color w:val="000000"/>
          <w:kern w:val="0"/>
          <w:sz w:val="32"/>
          <w:szCs w:val="32"/>
          <w:lang w:bidi="ar"/>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1辆，比上年持平。其中，副部（省）级及以上领导用车0辆，主要领导干部用车0辆，机要通信用车1辆，应急保障用车0辆，执法执勤用车0辆，特种专业技术用车0辆，离退休干部用车0辆，其他用车0辆，其他用车主要是上报材料开会和下乡督导工作用车；单位价值50万元以上通用设备0台（套），比上年持平，单位价值100万元以上专用设备0台（套）比上年持平。</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本部门2019年度政府性基金、国有资本经营无收支及结转结余情况，故政府性基金预算财政拨款收入支出决算批复表、国有资本经营预算财政拨款支出决算表以空表列示。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headerReference r:id="rId16" w:type="default"/>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88960"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88960;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3212]" o:title="5%" focussize="0,0" r:id="rId28"/>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21"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2" w:type="default"/>
          <w:pgSz w:w="11906" w:h="16838"/>
          <w:pgMar w:top="2098" w:right="1474" w:bottom="1985" w:left="1588" w:header="851" w:footer="992" w:gutter="0"/>
          <w:pgNumType w:fmt="numberInDash"/>
          <w:cols w:space="425" w:num="1"/>
          <w:docGrid w:type="lines" w:linePitch="312" w:charSpace="0"/>
        </w:sectPr>
      </w:pPr>
    </w:p>
    <w:p>
      <w:pPr>
        <w:tabs>
          <w:tab w:val="left" w:pos="235"/>
        </w:tabs>
        <w:jc w:val="left"/>
        <w:sectPr>
          <w:headerReference r:id="rId23"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89984"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89984;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fill type="pattern" on="t" color2="#FFFFFF [3212]" o:title="5%"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pPr>
        <w:tabs>
          <w:tab w:val="left" w:pos="886"/>
        </w:tabs>
        <w:jc w:val="left"/>
      </w:pPr>
    </w:p>
    <w:p>
      <w:pPr>
        <w:jc w:val="left"/>
      </w:pPr>
    </w:p>
    <w:tbl>
      <w:tblPr>
        <w:tblStyle w:val="7"/>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731"/>
        <w:gridCol w:w="691"/>
        <w:gridCol w:w="3474"/>
        <w:gridCol w:w="541"/>
        <w:gridCol w:w="844"/>
      </w:tblGrid>
      <w:tr>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公开01表</w:t>
            </w:r>
          </w:p>
        </w:tc>
      </w:tr>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收入</w:t>
            </w:r>
          </w:p>
        </w:tc>
        <w:tc>
          <w:tcPr>
            <w:tcW w:w="485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947.44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809.44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三、上级补助收入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四、事业收入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五、经营收入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六、附属单位上缴收入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七、其他收入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166.66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12.32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4.52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十八、自然资源海洋气象等支出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二十一、灾害防治及应急管理支出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947.44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992.94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用事业基金弥补收支差额</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结余分配</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50.38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4.88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997.82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997.82　</w:t>
            </w:r>
          </w:p>
        </w:tc>
      </w:tr>
      <w:tr>
        <w:tblPrEx>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注：本表反映部门本年度的总收支和年末结转结余情况。</w:t>
            </w:r>
          </w:p>
          <w:p>
            <w:pPr>
              <w:widowControl/>
              <w:jc w:val="left"/>
              <w:textAlignment w:val="center"/>
              <w:rPr>
                <w:rFonts w:ascii="宋体" w:hAnsi="宋体" w:eastAsia="宋体" w:cs="宋体"/>
                <w:color w:val="000000"/>
                <w:kern w:val="0"/>
                <w:sz w:val="22"/>
                <w:lang w:bidi="ar"/>
              </w:rPr>
            </w:pPr>
          </w:p>
          <w:p>
            <w:pPr>
              <w:widowControl/>
              <w:jc w:val="left"/>
              <w:textAlignment w:val="center"/>
              <w:rPr>
                <w:rFonts w:ascii="宋体" w:hAnsi="宋体" w:eastAsia="宋体" w:cs="宋体"/>
                <w:color w:val="000000"/>
                <w:kern w:val="0"/>
                <w:sz w:val="22"/>
                <w:lang w:bidi="ar"/>
              </w:rPr>
            </w:pPr>
          </w:p>
        </w:tc>
      </w:tr>
    </w:tbl>
    <w:tbl>
      <w:tblPr>
        <w:tblStyle w:val="7"/>
        <w:tblW w:w="5000" w:type="pct"/>
        <w:jc w:val="center"/>
        <w:tblLayout w:type="fixed"/>
        <w:tblCellMar>
          <w:top w:w="0" w:type="dxa"/>
          <w:left w:w="0" w:type="dxa"/>
          <w:bottom w:w="0" w:type="dxa"/>
          <w:right w:w="0" w:type="dxa"/>
        </w:tblCellMar>
      </w:tblPr>
      <w:tblGrid>
        <w:gridCol w:w="629"/>
        <w:gridCol w:w="50"/>
        <w:gridCol w:w="828"/>
        <w:gridCol w:w="3770"/>
        <w:gridCol w:w="948"/>
        <w:gridCol w:w="734"/>
        <w:gridCol w:w="379"/>
        <w:gridCol w:w="331"/>
        <w:gridCol w:w="317"/>
        <w:gridCol w:w="111"/>
        <w:gridCol w:w="566"/>
        <w:gridCol w:w="439"/>
      </w:tblGrid>
      <w:tr>
        <w:tblPrEx>
          <w:tblCellMar>
            <w:top w:w="0" w:type="dxa"/>
            <w:left w:w="0" w:type="dxa"/>
            <w:bottom w:w="0" w:type="dxa"/>
            <w:right w:w="0" w:type="dxa"/>
          </w:tblCellMar>
        </w:tblPrEx>
        <w:trPr>
          <w:trHeight w:val="670" w:hRule="atLeast"/>
          <w:jc w:val="center"/>
        </w:trPr>
        <w:tc>
          <w:tcPr>
            <w:tcW w:w="5000" w:type="pct"/>
            <w:gridSpan w:val="12"/>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lang w:bidi="ar"/>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收入决算表</w:t>
            </w:r>
          </w:p>
        </w:tc>
      </w:tr>
      <w:tr>
        <w:tblPrEx>
          <w:tblCellMar>
            <w:top w:w="0" w:type="dxa"/>
            <w:left w:w="0" w:type="dxa"/>
            <w:bottom w:w="0" w:type="dxa"/>
            <w:right w:w="0" w:type="dxa"/>
          </w:tblCellMar>
        </w:tblPrEx>
        <w:trPr>
          <w:trHeight w:val="357" w:hRule="atLeast"/>
          <w:jc w:val="center"/>
        </w:trPr>
        <w:tc>
          <w:tcPr>
            <w:tcW w:w="346" w:type="pct"/>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7" w:type="pct"/>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55" w:type="pct"/>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71" w:type="pct"/>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21" w:type="pct"/>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03" w:type="pct"/>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8" w:type="pct"/>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82" w:type="pct"/>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74" w:type="pct"/>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13" w:type="pct"/>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tblPrEx>
          <w:tblCellMar>
            <w:top w:w="0" w:type="dxa"/>
            <w:left w:w="0" w:type="dxa"/>
            <w:bottom w:w="0" w:type="dxa"/>
            <w:right w:w="0" w:type="dxa"/>
          </w:tblCellMar>
        </w:tblPrEx>
        <w:trPr>
          <w:trHeight w:val="357" w:hRule="atLeast"/>
          <w:jc w:val="center"/>
        </w:trPr>
        <w:tc>
          <w:tcPr>
            <w:tcW w:w="346" w:type="pct"/>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27" w:type="pct"/>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55" w:type="pct"/>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71" w:type="pct"/>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21" w:type="pct"/>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03" w:type="pct"/>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8" w:type="pct"/>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82" w:type="pct"/>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87" w:type="pct"/>
            <w:gridSpan w:val="4"/>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85" w:hRule="atLeast"/>
          <w:jc w:val="center"/>
        </w:trPr>
        <w:tc>
          <w:tcPr>
            <w:tcW w:w="2899" w:type="pct"/>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21"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本年收入合计</w:t>
            </w:r>
          </w:p>
        </w:tc>
        <w:tc>
          <w:tcPr>
            <w:tcW w:w="403"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财政拨款收入</w:t>
            </w:r>
          </w:p>
        </w:tc>
        <w:tc>
          <w:tcPr>
            <w:tcW w:w="208"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上级补助收入</w:t>
            </w:r>
          </w:p>
        </w:tc>
        <w:tc>
          <w:tcPr>
            <w:tcW w:w="182"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事业收入</w:t>
            </w:r>
          </w:p>
        </w:tc>
        <w:tc>
          <w:tcPr>
            <w:tcW w:w="235" w:type="pct"/>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经营收入</w:t>
            </w:r>
          </w:p>
        </w:tc>
        <w:tc>
          <w:tcPr>
            <w:tcW w:w="311"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附属单位上缴收入</w:t>
            </w:r>
          </w:p>
        </w:tc>
        <w:tc>
          <w:tcPr>
            <w:tcW w:w="241"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其他收入</w:t>
            </w:r>
          </w:p>
        </w:tc>
      </w:tr>
      <w:tr>
        <w:tblPrEx>
          <w:tblCellMar>
            <w:top w:w="0" w:type="dxa"/>
            <w:left w:w="0" w:type="dxa"/>
            <w:bottom w:w="0" w:type="dxa"/>
            <w:right w:w="0" w:type="dxa"/>
          </w:tblCellMar>
        </w:tblPrEx>
        <w:trPr>
          <w:trHeight w:val="380" w:hRule="atLeast"/>
          <w:jc w:val="center"/>
        </w:trPr>
        <w:tc>
          <w:tcPr>
            <w:tcW w:w="828" w:type="pct"/>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2071" w:type="pct"/>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521"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03"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8"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2"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5" w:type="pct"/>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11"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41"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828" w:type="pct"/>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71" w:type="pct"/>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521"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03"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8"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2"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5" w:type="pct"/>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11"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41"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828" w:type="pct"/>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71" w:type="pct"/>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521"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03"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8"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2"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5" w:type="pct"/>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11"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41"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2899" w:type="pct"/>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2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403"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208"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82"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235" w:type="pct"/>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31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241"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r>
      <w:tr>
        <w:tblPrEx>
          <w:tblCellMar>
            <w:top w:w="0" w:type="dxa"/>
            <w:left w:w="0" w:type="dxa"/>
            <w:bottom w:w="0" w:type="dxa"/>
            <w:right w:w="0" w:type="dxa"/>
          </w:tblCellMar>
        </w:tblPrEx>
        <w:trPr>
          <w:trHeight w:val="385" w:hRule="atLeast"/>
          <w:jc w:val="center"/>
        </w:trPr>
        <w:tc>
          <w:tcPr>
            <w:tcW w:w="2899" w:type="pct"/>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52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Cs/>
                <w:color w:val="000000"/>
                <w:sz w:val="22"/>
              </w:rPr>
            </w:pPr>
            <w:r>
              <w:rPr>
                <w:rFonts w:hint="eastAsia" w:ascii="宋体" w:hAnsi="宋体" w:eastAsia="宋体" w:cs="宋体"/>
                <w:bCs/>
                <w:color w:val="000000"/>
                <w:sz w:val="22"/>
              </w:rPr>
              <w:t>947.44</w:t>
            </w:r>
          </w:p>
        </w:tc>
        <w:tc>
          <w:tcPr>
            <w:tcW w:w="403"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Cs/>
                <w:color w:val="000000"/>
                <w:sz w:val="22"/>
              </w:rPr>
            </w:pPr>
            <w:r>
              <w:rPr>
                <w:rFonts w:hint="eastAsia" w:ascii="宋体" w:hAnsi="宋体" w:eastAsia="宋体" w:cs="宋体"/>
                <w:bCs/>
                <w:color w:val="000000"/>
                <w:sz w:val="22"/>
              </w:rPr>
              <w:t>947.44</w:t>
            </w:r>
          </w:p>
        </w:tc>
        <w:tc>
          <w:tcPr>
            <w:tcW w:w="208"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82"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235" w:type="pct"/>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31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24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85" w:hRule="atLeast"/>
          <w:jc w:val="center"/>
        </w:trPr>
        <w:tc>
          <w:tcPr>
            <w:tcW w:w="828" w:type="pct"/>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w:t>
            </w:r>
          </w:p>
        </w:tc>
        <w:tc>
          <w:tcPr>
            <w:tcW w:w="207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一般公共服务支出</w:t>
            </w:r>
          </w:p>
        </w:tc>
        <w:tc>
          <w:tcPr>
            <w:tcW w:w="52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809.64</w:t>
            </w:r>
          </w:p>
        </w:tc>
        <w:tc>
          <w:tcPr>
            <w:tcW w:w="403"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809.64</w:t>
            </w:r>
          </w:p>
        </w:tc>
        <w:tc>
          <w:tcPr>
            <w:tcW w:w="208"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2"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5" w:type="pct"/>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4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28" w:type="pct"/>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20132</w:t>
            </w:r>
          </w:p>
        </w:tc>
        <w:tc>
          <w:tcPr>
            <w:tcW w:w="207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组织事务</w:t>
            </w:r>
          </w:p>
        </w:tc>
        <w:tc>
          <w:tcPr>
            <w:tcW w:w="52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809.64</w:t>
            </w:r>
          </w:p>
        </w:tc>
        <w:tc>
          <w:tcPr>
            <w:tcW w:w="403"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809.64</w:t>
            </w:r>
          </w:p>
        </w:tc>
        <w:tc>
          <w:tcPr>
            <w:tcW w:w="208"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2"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5" w:type="pct"/>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4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28" w:type="pct"/>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2013201</w:t>
            </w:r>
          </w:p>
        </w:tc>
        <w:tc>
          <w:tcPr>
            <w:tcW w:w="207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行政运行</w:t>
            </w:r>
          </w:p>
        </w:tc>
        <w:tc>
          <w:tcPr>
            <w:tcW w:w="52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348.00</w:t>
            </w:r>
          </w:p>
        </w:tc>
        <w:tc>
          <w:tcPr>
            <w:tcW w:w="403"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348.00</w:t>
            </w:r>
          </w:p>
        </w:tc>
        <w:tc>
          <w:tcPr>
            <w:tcW w:w="208"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2"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5" w:type="pct"/>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4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28" w:type="pct"/>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2013204</w:t>
            </w:r>
          </w:p>
        </w:tc>
        <w:tc>
          <w:tcPr>
            <w:tcW w:w="207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公务员事务</w:t>
            </w:r>
          </w:p>
        </w:tc>
        <w:tc>
          <w:tcPr>
            <w:tcW w:w="52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1.58</w:t>
            </w:r>
          </w:p>
        </w:tc>
        <w:tc>
          <w:tcPr>
            <w:tcW w:w="403"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1.58</w:t>
            </w:r>
          </w:p>
        </w:tc>
        <w:tc>
          <w:tcPr>
            <w:tcW w:w="208"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2"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5" w:type="pct"/>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4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28" w:type="pct"/>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2013299</w:t>
            </w:r>
          </w:p>
        </w:tc>
        <w:tc>
          <w:tcPr>
            <w:tcW w:w="207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其他组织事务支出</w:t>
            </w:r>
          </w:p>
        </w:tc>
        <w:tc>
          <w:tcPr>
            <w:tcW w:w="52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460.05</w:t>
            </w:r>
          </w:p>
        </w:tc>
        <w:tc>
          <w:tcPr>
            <w:tcW w:w="403"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460.05</w:t>
            </w:r>
          </w:p>
        </w:tc>
        <w:tc>
          <w:tcPr>
            <w:tcW w:w="208"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2"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5" w:type="pct"/>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4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28" w:type="pct"/>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w:t>
            </w:r>
          </w:p>
        </w:tc>
        <w:tc>
          <w:tcPr>
            <w:tcW w:w="207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社会保障和就业支出</w:t>
            </w:r>
          </w:p>
        </w:tc>
        <w:tc>
          <w:tcPr>
            <w:tcW w:w="52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123.81</w:t>
            </w:r>
          </w:p>
        </w:tc>
        <w:tc>
          <w:tcPr>
            <w:tcW w:w="403"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123.81</w:t>
            </w:r>
          </w:p>
        </w:tc>
        <w:tc>
          <w:tcPr>
            <w:tcW w:w="208"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2"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5" w:type="pct"/>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4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28" w:type="pct"/>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20805</w:t>
            </w:r>
          </w:p>
        </w:tc>
        <w:tc>
          <w:tcPr>
            <w:tcW w:w="207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行政事业单位离退休</w:t>
            </w:r>
          </w:p>
        </w:tc>
        <w:tc>
          <w:tcPr>
            <w:tcW w:w="52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42.28</w:t>
            </w:r>
          </w:p>
        </w:tc>
        <w:tc>
          <w:tcPr>
            <w:tcW w:w="403"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42.28</w:t>
            </w:r>
          </w:p>
        </w:tc>
        <w:tc>
          <w:tcPr>
            <w:tcW w:w="208"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2"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5" w:type="pct"/>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4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28" w:type="pct"/>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2080501</w:t>
            </w:r>
          </w:p>
        </w:tc>
        <w:tc>
          <w:tcPr>
            <w:tcW w:w="207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归口管理的行政单位离退休</w:t>
            </w:r>
          </w:p>
        </w:tc>
        <w:tc>
          <w:tcPr>
            <w:tcW w:w="52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11.00</w:t>
            </w:r>
          </w:p>
        </w:tc>
        <w:tc>
          <w:tcPr>
            <w:tcW w:w="403"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11.00</w:t>
            </w:r>
          </w:p>
        </w:tc>
        <w:tc>
          <w:tcPr>
            <w:tcW w:w="208"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2"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5" w:type="pct"/>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4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28" w:type="pct"/>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2080505</w:t>
            </w:r>
          </w:p>
        </w:tc>
        <w:tc>
          <w:tcPr>
            <w:tcW w:w="207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机关事业单位基本养老保险缴费支出</w:t>
            </w:r>
          </w:p>
        </w:tc>
        <w:tc>
          <w:tcPr>
            <w:tcW w:w="52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31.28</w:t>
            </w:r>
          </w:p>
        </w:tc>
        <w:tc>
          <w:tcPr>
            <w:tcW w:w="403"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31.28</w:t>
            </w:r>
          </w:p>
        </w:tc>
        <w:tc>
          <w:tcPr>
            <w:tcW w:w="208"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2"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5" w:type="pct"/>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4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28" w:type="pct"/>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20808</w:t>
            </w:r>
          </w:p>
        </w:tc>
        <w:tc>
          <w:tcPr>
            <w:tcW w:w="207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抚恤</w:t>
            </w:r>
          </w:p>
        </w:tc>
        <w:tc>
          <w:tcPr>
            <w:tcW w:w="52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80.35</w:t>
            </w:r>
          </w:p>
        </w:tc>
        <w:tc>
          <w:tcPr>
            <w:tcW w:w="403"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80.35</w:t>
            </w:r>
          </w:p>
        </w:tc>
        <w:tc>
          <w:tcPr>
            <w:tcW w:w="208"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2"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5" w:type="pct"/>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4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28" w:type="pct"/>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2080899</w:t>
            </w:r>
          </w:p>
        </w:tc>
        <w:tc>
          <w:tcPr>
            <w:tcW w:w="207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其他优抚支出</w:t>
            </w:r>
          </w:p>
        </w:tc>
        <w:tc>
          <w:tcPr>
            <w:tcW w:w="52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80.35</w:t>
            </w:r>
          </w:p>
        </w:tc>
        <w:tc>
          <w:tcPr>
            <w:tcW w:w="403"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80.35</w:t>
            </w:r>
          </w:p>
        </w:tc>
        <w:tc>
          <w:tcPr>
            <w:tcW w:w="208"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2"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5" w:type="pct"/>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4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28" w:type="pct"/>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20827</w:t>
            </w:r>
          </w:p>
        </w:tc>
        <w:tc>
          <w:tcPr>
            <w:tcW w:w="207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财政对其他社会保险基金的补助</w:t>
            </w:r>
          </w:p>
        </w:tc>
        <w:tc>
          <w:tcPr>
            <w:tcW w:w="52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1.18</w:t>
            </w:r>
          </w:p>
        </w:tc>
        <w:tc>
          <w:tcPr>
            <w:tcW w:w="403"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1.18</w:t>
            </w:r>
          </w:p>
        </w:tc>
        <w:tc>
          <w:tcPr>
            <w:tcW w:w="208"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2"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5" w:type="pct"/>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4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28" w:type="pct"/>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2082702</w:t>
            </w:r>
          </w:p>
        </w:tc>
        <w:tc>
          <w:tcPr>
            <w:tcW w:w="207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财政对工伤保险基金的补助</w:t>
            </w:r>
          </w:p>
        </w:tc>
        <w:tc>
          <w:tcPr>
            <w:tcW w:w="52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0.75</w:t>
            </w:r>
          </w:p>
        </w:tc>
        <w:tc>
          <w:tcPr>
            <w:tcW w:w="403"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0.75</w:t>
            </w:r>
          </w:p>
        </w:tc>
        <w:tc>
          <w:tcPr>
            <w:tcW w:w="208"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2"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5" w:type="pct"/>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4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28" w:type="pct"/>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2082703</w:t>
            </w:r>
          </w:p>
        </w:tc>
        <w:tc>
          <w:tcPr>
            <w:tcW w:w="207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财政对生育保险基金的补助</w:t>
            </w:r>
          </w:p>
        </w:tc>
        <w:tc>
          <w:tcPr>
            <w:tcW w:w="52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0.43</w:t>
            </w:r>
          </w:p>
        </w:tc>
        <w:tc>
          <w:tcPr>
            <w:tcW w:w="403"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0.43</w:t>
            </w:r>
          </w:p>
        </w:tc>
        <w:tc>
          <w:tcPr>
            <w:tcW w:w="208"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2"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5" w:type="pct"/>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4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28" w:type="pct"/>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210</w:t>
            </w:r>
          </w:p>
        </w:tc>
        <w:tc>
          <w:tcPr>
            <w:tcW w:w="207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卫生健康支出</w:t>
            </w:r>
          </w:p>
        </w:tc>
        <w:tc>
          <w:tcPr>
            <w:tcW w:w="52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12.32</w:t>
            </w:r>
          </w:p>
        </w:tc>
        <w:tc>
          <w:tcPr>
            <w:tcW w:w="403"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12.32</w:t>
            </w:r>
          </w:p>
        </w:tc>
        <w:tc>
          <w:tcPr>
            <w:tcW w:w="208"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2"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5" w:type="pct"/>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4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28" w:type="pct"/>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21011</w:t>
            </w:r>
          </w:p>
        </w:tc>
        <w:tc>
          <w:tcPr>
            <w:tcW w:w="207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行政事业单位医疗</w:t>
            </w:r>
          </w:p>
        </w:tc>
        <w:tc>
          <w:tcPr>
            <w:tcW w:w="52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12.32</w:t>
            </w:r>
          </w:p>
        </w:tc>
        <w:tc>
          <w:tcPr>
            <w:tcW w:w="403"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12.32</w:t>
            </w:r>
          </w:p>
        </w:tc>
        <w:tc>
          <w:tcPr>
            <w:tcW w:w="208"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2"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5" w:type="pct"/>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4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28" w:type="pct"/>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2101101</w:t>
            </w:r>
          </w:p>
        </w:tc>
        <w:tc>
          <w:tcPr>
            <w:tcW w:w="207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行政单位医疗</w:t>
            </w:r>
          </w:p>
        </w:tc>
        <w:tc>
          <w:tcPr>
            <w:tcW w:w="52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12.32</w:t>
            </w:r>
          </w:p>
        </w:tc>
        <w:tc>
          <w:tcPr>
            <w:tcW w:w="403"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12.32</w:t>
            </w:r>
          </w:p>
        </w:tc>
        <w:tc>
          <w:tcPr>
            <w:tcW w:w="208"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2"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5" w:type="pct"/>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4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28" w:type="pct"/>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213</w:t>
            </w:r>
          </w:p>
        </w:tc>
        <w:tc>
          <w:tcPr>
            <w:tcW w:w="207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农林水支出</w:t>
            </w:r>
          </w:p>
        </w:tc>
        <w:tc>
          <w:tcPr>
            <w:tcW w:w="52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1.67</w:t>
            </w:r>
          </w:p>
        </w:tc>
        <w:tc>
          <w:tcPr>
            <w:tcW w:w="403"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1.67</w:t>
            </w:r>
          </w:p>
        </w:tc>
        <w:tc>
          <w:tcPr>
            <w:tcW w:w="208"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2"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5" w:type="pct"/>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4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28" w:type="pct"/>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21301</w:t>
            </w:r>
          </w:p>
        </w:tc>
        <w:tc>
          <w:tcPr>
            <w:tcW w:w="207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农业</w:t>
            </w:r>
          </w:p>
        </w:tc>
        <w:tc>
          <w:tcPr>
            <w:tcW w:w="52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1.67</w:t>
            </w:r>
          </w:p>
        </w:tc>
        <w:tc>
          <w:tcPr>
            <w:tcW w:w="403"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1.67</w:t>
            </w:r>
          </w:p>
        </w:tc>
        <w:tc>
          <w:tcPr>
            <w:tcW w:w="208"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2"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5" w:type="pct"/>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4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28" w:type="pct"/>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2130152</w:t>
            </w:r>
          </w:p>
        </w:tc>
        <w:tc>
          <w:tcPr>
            <w:tcW w:w="207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对高校毕业生到基层任职补助</w:t>
            </w:r>
          </w:p>
        </w:tc>
        <w:tc>
          <w:tcPr>
            <w:tcW w:w="52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1.67</w:t>
            </w:r>
          </w:p>
        </w:tc>
        <w:tc>
          <w:tcPr>
            <w:tcW w:w="403"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1.67</w:t>
            </w:r>
          </w:p>
        </w:tc>
        <w:tc>
          <w:tcPr>
            <w:tcW w:w="208"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2"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5" w:type="pct"/>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1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41" w:type="pc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5000" w:type="pct"/>
            <w:gridSpan w:val="12"/>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注：本表反映部门本年度取得的各项收入情况。</w:t>
            </w:r>
          </w:p>
        </w:tc>
      </w:tr>
    </w:tbl>
    <w:p>
      <w:pPr>
        <w:jc w:val="left"/>
      </w:pPr>
    </w:p>
    <w:p>
      <w:r>
        <w:br w:type="page"/>
      </w:r>
    </w:p>
    <w:tbl>
      <w:tblPr>
        <w:tblStyle w:val="7"/>
        <w:tblW w:w="9093" w:type="dxa"/>
        <w:jc w:val="center"/>
        <w:tblLayout w:type="fixed"/>
        <w:tblCellMar>
          <w:top w:w="0" w:type="dxa"/>
          <w:left w:w="0" w:type="dxa"/>
          <w:bottom w:w="0" w:type="dxa"/>
          <w:right w:w="0" w:type="dxa"/>
        </w:tblCellMar>
      </w:tblPr>
      <w:tblGrid>
        <w:gridCol w:w="941"/>
        <w:gridCol w:w="53"/>
        <w:gridCol w:w="111"/>
        <w:gridCol w:w="3584"/>
        <w:gridCol w:w="851"/>
        <w:gridCol w:w="708"/>
        <w:gridCol w:w="709"/>
        <w:gridCol w:w="709"/>
        <w:gridCol w:w="603"/>
        <w:gridCol w:w="824"/>
      </w:tblGrid>
      <w:tr>
        <w:tblPrEx>
          <w:tblCellMar>
            <w:top w:w="0" w:type="dxa"/>
            <w:left w:w="0" w:type="dxa"/>
            <w:bottom w:w="0" w:type="dxa"/>
            <w:right w:w="0" w:type="dxa"/>
          </w:tblCellMar>
        </w:tblPrEx>
        <w:trPr>
          <w:trHeight w:val="612" w:hRule="atLeast"/>
          <w:jc w:val="center"/>
        </w:trPr>
        <w:tc>
          <w:tcPr>
            <w:tcW w:w="9093"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支出决算表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58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5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0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0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0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0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24"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公开03表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58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5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0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0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0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27"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23" w:hRule="atLeast"/>
          <w:jc w:val="center"/>
        </w:trPr>
        <w:tc>
          <w:tcPr>
            <w:tcW w:w="4689"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85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本年支出合计</w:t>
            </w:r>
          </w:p>
        </w:tc>
        <w:tc>
          <w:tcPr>
            <w:tcW w:w="70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70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70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上缴上级支出</w:t>
            </w:r>
          </w:p>
        </w:tc>
        <w:tc>
          <w:tcPr>
            <w:tcW w:w="60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经营支出</w:t>
            </w:r>
          </w:p>
        </w:tc>
        <w:tc>
          <w:tcPr>
            <w:tcW w:w="82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对附属单位补助支出</w:t>
            </w:r>
          </w:p>
        </w:tc>
      </w:tr>
      <w:tr>
        <w:tblPrEx>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584"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85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0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2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58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5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0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2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58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5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0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2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468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8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7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6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82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323" w:hRule="atLeast"/>
          <w:jc w:val="center"/>
        </w:trPr>
        <w:tc>
          <w:tcPr>
            <w:tcW w:w="468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Cs/>
                <w:color w:val="000000"/>
                <w:sz w:val="20"/>
                <w:szCs w:val="20"/>
              </w:rPr>
            </w:pPr>
            <w:r>
              <w:rPr>
                <w:rFonts w:hint="eastAsia" w:ascii="宋体" w:hAnsi="宋体" w:eastAsia="宋体" w:cs="宋体"/>
                <w:bCs/>
                <w:color w:val="000000"/>
                <w:sz w:val="20"/>
                <w:szCs w:val="20"/>
              </w:rPr>
              <w:t>992.94</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Cs/>
                <w:color w:val="000000"/>
                <w:sz w:val="20"/>
                <w:szCs w:val="20"/>
              </w:rPr>
            </w:pPr>
            <w:r>
              <w:rPr>
                <w:rFonts w:hint="eastAsia" w:ascii="宋体" w:hAnsi="宋体" w:eastAsia="宋体" w:cs="宋体"/>
                <w:bCs/>
                <w:color w:val="000000"/>
                <w:sz w:val="20"/>
                <w:szCs w:val="20"/>
              </w:rPr>
              <w:t>408.08</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Cs/>
                <w:color w:val="000000"/>
                <w:sz w:val="20"/>
                <w:szCs w:val="20"/>
              </w:rPr>
            </w:pPr>
            <w:r>
              <w:rPr>
                <w:rFonts w:hint="eastAsia" w:ascii="宋体" w:hAnsi="宋体" w:eastAsia="宋体" w:cs="宋体"/>
                <w:bCs/>
                <w:color w:val="000000"/>
                <w:sz w:val="20"/>
                <w:szCs w:val="20"/>
              </w:rPr>
              <w:t>584.86</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0"/>
                <w:szCs w:val="20"/>
              </w:rPr>
            </w:pPr>
          </w:p>
        </w:tc>
        <w:tc>
          <w:tcPr>
            <w:tcW w:w="6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8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w:t>
            </w:r>
          </w:p>
        </w:tc>
        <w:tc>
          <w:tcPr>
            <w:tcW w:w="3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一般公共服务支出</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809.44</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352.30</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457.14</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20132</w:t>
            </w:r>
          </w:p>
        </w:tc>
        <w:tc>
          <w:tcPr>
            <w:tcW w:w="3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组织事务</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809.44</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352.30</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457.14</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2013201</w:t>
            </w:r>
          </w:p>
        </w:tc>
        <w:tc>
          <w:tcPr>
            <w:tcW w:w="3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行政运行</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348.00</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348.00</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2013204</w:t>
            </w:r>
          </w:p>
        </w:tc>
        <w:tc>
          <w:tcPr>
            <w:tcW w:w="3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公务员事务</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1.58</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1.58</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2013299</w:t>
            </w:r>
          </w:p>
        </w:tc>
        <w:tc>
          <w:tcPr>
            <w:tcW w:w="3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其他组织事务支出</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459.86</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2.72</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457.14</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w:t>
            </w:r>
          </w:p>
        </w:tc>
        <w:tc>
          <w:tcPr>
            <w:tcW w:w="3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社会保障和就业支出</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166.66</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43.46</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123.20</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20805</w:t>
            </w:r>
          </w:p>
        </w:tc>
        <w:tc>
          <w:tcPr>
            <w:tcW w:w="3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行政事业单位离退休</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42.28</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42.28</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2080501</w:t>
            </w:r>
          </w:p>
        </w:tc>
        <w:tc>
          <w:tcPr>
            <w:tcW w:w="3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归口管理的行政单位离退休</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11.00</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11.00</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2080505</w:t>
            </w:r>
          </w:p>
        </w:tc>
        <w:tc>
          <w:tcPr>
            <w:tcW w:w="3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机关事业单位基本养老保险缴费支出</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31.28</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31.28</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20808</w:t>
            </w:r>
          </w:p>
        </w:tc>
        <w:tc>
          <w:tcPr>
            <w:tcW w:w="3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抚恤</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123.20</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123.20</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2080899</w:t>
            </w:r>
          </w:p>
        </w:tc>
        <w:tc>
          <w:tcPr>
            <w:tcW w:w="3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其他优抚支出</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123.20</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123.20</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20827</w:t>
            </w:r>
          </w:p>
        </w:tc>
        <w:tc>
          <w:tcPr>
            <w:tcW w:w="3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财政对其他社会保险基金的补助</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1.18</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1.18</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2082702</w:t>
            </w:r>
          </w:p>
        </w:tc>
        <w:tc>
          <w:tcPr>
            <w:tcW w:w="3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财政对工伤保险基金的补助</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0.75</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0.75</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2082703</w:t>
            </w:r>
          </w:p>
        </w:tc>
        <w:tc>
          <w:tcPr>
            <w:tcW w:w="3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财政对生育保险基金的补助</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0.43</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0.43</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210</w:t>
            </w:r>
          </w:p>
        </w:tc>
        <w:tc>
          <w:tcPr>
            <w:tcW w:w="3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卫生健康支出</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12.32</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12.32</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21011</w:t>
            </w:r>
          </w:p>
        </w:tc>
        <w:tc>
          <w:tcPr>
            <w:tcW w:w="3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行政事业单位医疗</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12.32</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12.32</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2101101</w:t>
            </w:r>
          </w:p>
        </w:tc>
        <w:tc>
          <w:tcPr>
            <w:tcW w:w="3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行政单位医疗</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12.32</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12.32</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213</w:t>
            </w:r>
          </w:p>
        </w:tc>
        <w:tc>
          <w:tcPr>
            <w:tcW w:w="3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农林水支出</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4.52</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4.52</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21301</w:t>
            </w:r>
          </w:p>
        </w:tc>
        <w:tc>
          <w:tcPr>
            <w:tcW w:w="3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农业</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4.52</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4.52</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2130152</w:t>
            </w:r>
          </w:p>
        </w:tc>
        <w:tc>
          <w:tcPr>
            <w:tcW w:w="3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对高校毕业生到基层任职补助</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4.52</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4.52</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9093"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注：本表反映部门本年度各项支出情况。</w:t>
            </w:r>
          </w:p>
        </w:tc>
      </w:tr>
    </w:tbl>
    <w:p>
      <w:r>
        <w:br w:type="page"/>
      </w:r>
    </w:p>
    <w:tbl>
      <w:tblPr>
        <w:tblStyle w:val="7"/>
        <w:tblW w:w="9520" w:type="dxa"/>
        <w:jc w:val="center"/>
        <w:tblLayout w:type="fixed"/>
        <w:tblCellMar>
          <w:top w:w="0" w:type="dxa"/>
          <w:left w:w="0" w:type="dxa"/>
          <w:bottom w:w="0" w:type="dxa"/>
          <w:right w:w="0" w:type="dxa"/>
        </w:tblCellMar>
      </w:tblPr>
      <w:tblGrid>
        <w:gridCol w:w="2922"/>
        <w:gridCol w:w="425"/>
        <w:gridCol w:w="746"/>
        <w:gridCol w:w="2794"/>
        <w:gridCol w:w="425"/>
        <w:gridCol w:w="709"/>
        <w:gridCol w:w="708"/>
        <w:gridCol w:w="791"/>
      </w:tblGrid>
      <w:tr>
        <w:tblPrEx>
          <w:tblCellMar>
            <w:top w:w="0" w:type="dxa"/>
            <w:left w:w="0" w:type="dxa"/>
            <w:bottom w:w="0" w:type="dxa"/>
            <w:right w:w="0" w:type="dxa"/>
          </w:tblCellMar>
        </w:tblPrEx>
        <w:trPr>
          <w:trHeight w:val="406"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财政拨款收入支出决算总表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79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208"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公开04表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79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208"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90" w:hRule="atLeast"/>
          <w:jc w:val="center"/>
        </w:trPr>
        <w:tc>
          <w:tcPr>
            <w:tcW w:w="409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     入</w:t>
            </w:r>
          </w:p>
        </w:tc>
        <w:tc>
          <w:tcPr>
            <w:tcW w:w="5427"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     出</w:t>
            </w:r>
          </w:p>
        </w:tc>
      </w:tr>
      <w:tr>
        <w:tblPrEx>
          <w:tblCellMar>
            <w:top w:w="0" w:type="dxa"/>
            <w:left w:w="0" w:type="dxa"/>
            <w:bottom w:w="0" w:type="dxa"/>
            <w:right w:w="0" w:type="dxa"/>
          </w:tblCellMar>
        </w:tblPrEx>
        <w:trPr>
          <w:trHeight w:val="312" w:hRule="atLeast"/>
          <w:jc w:val="center"/>
        </w:trPr>
        <w:tc>
          <w:tcPr>
            <w:tcW w:w="292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4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74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279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4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70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70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一般公共预算财政拨款</w:t>
            </w:r>
          </w:p>
        </w:tc>
        <w:tc>
          <w:tcPr>
            <w:tcW w:w="7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政府性基金预算财政拨款</w:t>
            </w:r>
          </w:p>
        </w:tc>
      </w:tr>
      <w:tr>
        <w:tblPrEx>
          <w:tblCellMar>
            <w:top w:w="0" w:type="dxa"/>
            <w:left w:w="0" w:type="dxa"/>
            <w:bottom w:w="0" w:type="dxa"/>
            <w:right w:w="0" w:type="dxa"/>
          </w:tblCellMar>
        </w:tblPrEx>
        <w:trPr>
          <w:trHeight w:val="312" w:hRule="atLeast"/>
          <w:jc w:val="center"/>
        </w:trPr>
        <w:tc>
          <w:tcPr>
            <w:tcW w:w="292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79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0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栏次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7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cs="Arial"/>
                <w:color w:val="000000"/>
                <w:sz w:val="20"/>
                <w:szCs w:val="20"/>
              </w:rPr>
              <w:t>947.44</w:t>
            </w: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809.44</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809.44</w:t>
            </w: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7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7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7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7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7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7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7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166.66</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166.66</w:t>
            </w: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7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12.32</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12.32</w:t>
            </w: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7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7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7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4.52</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4.52</w:t>
            </w: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7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7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7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7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7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7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lang w:bidi="ar"/>
              </w:rPr>
              <w:t>十八、自然资源海洋气象等支出</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7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7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7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lang w:bidi="ar"/>
              </w:rPr>
              <w:t>二十一、灾害防治及应急管理支出</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7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7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7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947.44</w:t>
            </w: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992.94</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992.94</w:t>
            </w: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年初财政拨款结转和结余</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7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50.38</w:t>
            </w: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年末财政拨款结转和结余</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4.88</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4.88</w:t>
            </w: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7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50.38</w:t>
            </w: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　</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　</w:t>
            </w: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7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2"/>
              </w:rPr>
            </w:pP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　</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　</w:t>
            </w: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7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　</w:t>
            </w: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57</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　</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　</w:t>
            </w: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7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997.82</w:t>
            </w: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58</w:t>
            </w: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997.82</w:t>
            </w:r>
          </w:p>
        </w:tc>
        <w:tc>
          <w:tcPr>
            <w:tcW w:w="7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997.82</w:t>
            </w: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注：本表反映部门本年度一般公共预算财政拨款和政府性基金预算财政拨款的总收支和年末结转结余情况。</w:t>
            </w:r>
          </w:p>
        </w:tc>
      </w:tr>
    </w:tbl>
    <w:p/>
    <w:tbl>
      <w:tblPr>
        <w:tblStyle w:val="7"/>
        <w:tblW w:w="10279" w:type="dxa"/>
        <w:jc w:val="center"/>
        <w:tblLayout w:type="autofit"/>
        <w:tblCellMar>
          <w:top w:w="0" w:type="dxa"/>
          <w:left w:w="0" w:type="dxa"/>
          <w:bottom w:w="0" w:type="dxa"/>
          <w:right w:w="0" w:type="dxa"/>
        </w:tblCellMar>
      </w:tblPr>
      <w:tblGrid>
        <w:gridCol w:w="758"/>
        <w:gridCol w:w="42"/>
        <w:gridCol w:w="42"/>
        <w:gridCol w:w="5056"/>
        <w:gridCol w:w="1589"/>
        <w:gridCol w:w="1613"/>
        <w:gridCol w:w="1366"/>
      </w:tblGrid>
      <w:tr>
        <w:tblPrEx>
          <w:tblCellMar>
            <w:top w:w="0" w:type="dxa"/>
            <w:left w:w="0" w:type="dxa"/>
            <w:bottom w:w="0" w:type="dxa"/>
            <w:right w:w="0" w:type="dxa"/>
          </w:tblCellMar>
        </w:tblPrEx>
        <w:trPr>
          <w:trHeight w:val="600" w:hRule="atLeast"/>
          <w:jc w:val="center"/>
        </w:trPr>
        <w:tc>
          <w:tcPr>
            <w:tcW w:w="10279"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93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38"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公开05表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93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38"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577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450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CellMar>
            <w:top w:w="0" w:type="dxa"/>
            <w:left w:w="0" w:type="dxa"/>
            <w:bottom w:w="0" w:type="dxa"/>
            <w:right w:w="0" w:type="dxa"/>
          </w:tblCellMar>
        </w:tblPrEx>
        <w:trPr>
          <w:trHeight w:val="312" w:hRule="atLeast"/>
          <w:jc w:val="center"/>
        </w:trPr>
        <w:tc>
          <w:tcPr>
            <w:tcW w:w="842"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4932"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56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34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CellMar>
            <w:top w:w="0" w:type="dxa"/>
            <w:left w:w="0" w:type="dxa"/>
            <w:bottom w:w="0" w:type="dxa"/>
            <w:right w:w="0" w:type="dxa"/>
          </w:tblCellMar>
        </w:tblPrEx>
        <w:trPr>
          <w:trHeight w:val="312" w:hRule="atLeast"/>
          <w:jc w:val="center"/>
        </w:trPr>
        <w:tc>
          <w:tcPr>
            <w:tcW w:w="84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932"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56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4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84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932"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56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4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577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3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trHeight w:val="308" w:hRule="atLeast"/>
          <w:jc w:val="center"/>
        </w:trPr>
        <w:tc>
          <w:tcPr>
            <w:tcW w:w="577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bCs/>
                <w:color w:val="000000"/>
                <w:sz w:val="20"/>
                <w:szCs w:val="20"/>
              </w:rPr>
            </w:pPr>
            <w:r>
              <w:rPr>
                <w:rFonts w:hint="eastAsia" w:cs="Arial"/>
                <w:bCs/>
                <w:color w:val="000000"/>
                <w:sz w:val="20"/>
                <w:szCs w:val="20"/>
              </w:rPr>
              <w:t>992.94</w:t>
            </w:r>
          </w:p>
        </w:tc>
        <w:tc>
          <w:tcPr>
            <w:tcW w:w="1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bCs/>
                <w:color w:val="000000"/>
                <w:sz w:val="20"/>
                <w:szCs w:val="20"/>
              </w:rPr>
            </w:pPr>
            <w:r>
              <w:rPr>
                <w:rFonts w:hint="eastAsia" w:cs="Arial"/>
                <w:bCs/>
                <w:color w:val="000000"/>
                <w:sz w:val="20"/>
                <w:szCs w:val="20"/>
              </w:rPr>
              <w:t>408.08</w:t>
            </w:r>
          </w:p>
        </w:tc>
        <w:tc>
          <w:tcPr>
            <w:tcW w:w="13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bCs/>
                <w:color w:val="000000"/>
                <w:sz w:val="20"/>
                <w:szCs w:val="20"/>
              </w:rPr>
            </w:pPr>
            <w:r>
              <w:rPr>
                <w:rFonts w:hint="eastAsia" w:cs="Arial"/>
                <w:bCs/>
                <w:color w:val="000000"/>
                <w:sz w:val="20"/>
                <w:szCs w:val="20"/>
              </w:rPr>
              <w:t>584.86</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w:t>
            </w:r>
          </w:p>
        </w:tc>
        <w:tc>
          <w:tcPr>
            <w:tcW w:w="49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一般公共服务支出</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r>
              <w:rPr>
                <w:rFonts w:hint="eastAsia" w:cs="Arial"/>
                <w:color w:val="000000"/>
                <w:sz w:val="20"/>
                <w:szCs w:val="20"/>
              </w:rPr>
              <w:t>809.44</w:t>
            </w:r>
          </w:p>
        </w:tc>
        <w:tc>
          <w:tcPr>
            <w:tcW w:w="1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r>
              <w:rPr>
                <w:rFonts w:hint="eastAsia" w:cs="Arial"/>
                <w:color w:val="000000"/>
                <w:sz w:val="20"/>
                <w:szCs w:val="20"/>
              </w:rPr>
              <w:t>352.30</w:t>
            </w:r>
          </w:p>
        </w:tc>
        <w:tc>
          <w:tcPr>
            <w:tcW w:w="13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r>
              <w:rPr>
                <w:rFonts w:hint="eastAsia" w:cs="Arial"/>
                <w:color w:val="000000"/>
                <w:sz w:val="20"/>
                <w:szCs w:val="20"/>
              </w:rPr>
              <w:t>457.14</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20132</w:t>
            </w:r>
          </w:p>
        </w:tc>
        <w:tc>
          <w:tcPr>
            <w:tcW w:w="49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组织事务</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r>
              <w:rPr>
                <w:rFonts w:hint="eastAsia" w:cs="Arial"/>
                <w:color w:val="000000"/>
                <w:sz w:val="20"/>
                <w:szCs w:val="20"/>
              </w:rPr>
              <w:t>809.44</w:t>
            </w:r>
          </w:p>
        </w:tc>
        <w:tc>
          <w:tcPr>
            <w:tcW w:w="1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r>
              <w:rPr>
                <w:rFonts w:hint="eastAsia" w:cs="Arial"/>
                <w:color w:val="000000"/>
                <w:sz w:val="20"/>
                <w:szCs w:val="20"/>
              </w:rPr>
              <w:t>352.30</w:t>
            </w:r>
          </w:p>
        </w:tc>
        <w:tc>
          <w:tcPr>
            <w:tcW w:w="13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r>
              <w:rPr>
                <w:rFonts w:hint="eastAsia" w:cs="Arial"/>
                <w:color w:val="000000"/>
                <w:sz w:val="20"/>
                <w:szCs w:val="20"/>
              </w:rPr>
              <w:t>457.14</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2013201</w:t>
            </w:r>
          </w:p>
        </w:tc>
        <w:tc>
          <w:tcPr>
            <w:tcW w:w="49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行政运行</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r>
              <w:rPr>
                <w:rFonts w:hint="eastAsia" w:cs="Arial"/>
                <w:color w:val="000000"/>
                <w:sz w:val="20"/>
                <w:szCs w:val="20"/>
              </w:rPr>
              <w:t>348.00</w:t>
            </w:r>
          </w:p>
        </w:tc>
        <w:tc>
          <w:tcPr>
            <w:tcW w:w="1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r>
              <w:rPr>
                <w:rFonts w:hint="eastAsia" w:cs="Arial"/>
                <w:color w:val="000000"/>
                <w:sz w:val="20"/>
                <w:szCs w:val="20"/>
              </w:rPr>
              <w:t>348.00</w:t>
            </w:r>
          </w:p>
        </w:tc>
        <w:tc>
          <w:tcPr>
            <w:tcW w:w="13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2013204</w:t>
            </w:r>
          </w:p>
        </w:tc>
        <w:tc>
          <w:tcPr>
            <w:tcW w:w="49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公务员事务</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r>
              <w:rPr>
                <w:rFonts w:hint="eastAsia" w:cs="Arial"/>
                <w:color w:val="000000"/>
                <w:sz w:val="20"/>
                <w:szCs w:val="20"/>
              </w:rPr>
              <w:t>1.58</w:t>
            </w:r>
          </w:p>
        </w:tc>
        <w:tc>
          <w:tcPr>
            <w:tcW w:w="1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r>
              <w:rPr>
                <w:rFonts w:hint="eastAsia" w:cs="Arial"/>
                <w:color w:val="000000"/>
                <w:sz w:val="20"/>
                <w:szCs w:val="20"/>
              </w:rPr>
              <w:t>1.58</w:t>
            </w:r>
          </w:p>
        </w:tc>
        <w:tc>
          <w:tcPr>
            <w:tcW w:w="13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2013299</w:t>
            </w:r>
          </w:p>
        </w:tc>
        <w:tc>
          <w:tcPr>
            <w:tcW w:w="49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其他组织事务支出</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r>
              <w:rPr>
                <w:rFonts w:hint="eastAsia" w:cs="Arial"/>
                <w:color w:val="000000"/>
                <w:sz w:val="20"/>
                <w:szCs w:val="20"/>
              </w:rPr>
              <w:t>459.86</w:t>
            </w:r>
          </w:p>
        </w:tc>
        <w:tc>
          <w:tcPr>
            <w:tcW w:w="1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r>
              <w:rPr>
                <w:rFonts w:hint="eastAsia" w:cs="Arial"/>
                <w:color w:val="000000"/>
                <w:sz w:val="20"/>
                <w:szCs w:val="20"/>
              </w:rPr>
              <w:t>2.72</w:t>
            </w:r>
          </w:p>
        </w:tc>
        <w:tc>
          <w:tcPr>
            <w:tcW w:w="13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r>
              <w:rPr>
                <w:rFonts w:hint="eastAsia" w:cs="Arial"/>
                <w:color w:val="000000"/>
                <w:sz w:val="20"/>
                <w:szCs w:val="20"/>
              </w:rPr>
              <w:t>457.14</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w:t>
            </w:r>
          </w:p>
        </w:tc>
        <w:tc>
          <w:tcPr>
            <w:tcW w:w="49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社会保障和就业支出</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r>
              <w:rPr>
                <w:rFonts w:hint="eastAsia" w:cs="Arial"/>
                <w:color w:val="000000"/>
                <w:sz w:val="20"/>
                <w:szCs w:val="20"/>
              </w:rPr>
              <w:t>166.66</w:t>
            </w:r>
          </w:p>
        </w:tc>
        <w:tc>
          <w:tcPr>
            <w:tcW w:w="1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r>
              <w:rPr>
                <w:rFonts w:hint="eastAsia" w:cs="Arial"/>
                <w:color w:val="000000"/>
                <w:sz w:val="20"/>
                <w:szCs w:val="20"/>
              </w:rPr>
              <w:t>43.46</w:t>
            </w:r>
          </w:p>
        </w:tc>
        <w:tc>
          <w:tcPr>
            <w:tcW w:w="13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r>
              <w:rPr>
                <w:rFonts w:hint="eastAsia" w:cs="Arial"/>
                <w:color w:val="000000"/>
                <w:sz w:val="20"/>
                <w:szCs w:val="20"/>
              </w:rPr>
              <w:t>123.20</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20805</w:t>
            </w:r>
          </w:p>
        </w:tc>
        <w:tc>
          <w:tcPr>
            <w:tcW w:w="49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行政事业单位离退休</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r>
              <w:rPr>
                <w:rFonts w:hint="eastAsia" w:cs="Arial"/>
                <w:color w:val="000000"/>
                <w:sz w:val="20"/>
                <w:szCs w:val="20"/>
              </w:rPr>
              <w:t>42.28</w:t>
            </w:r>
          </w:p>
        </w:tc>
        <w:tc>
          <w:tcPr>
            <w:tcW w:w="1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r>
              <w:rPr>
                <w:rFonts w:hint="eastAsia" w:cs="Arial"/>
                <w:color w:val="000000"/>
                <w:sz w:val="20"/>
                <w:szCs w:val="20"/>
              </w:rPr>
              <w:t>42.28</w:t>
            </w:r>
          </w:p>
        </w:tc>
        <w:tc>
          <w:tcPr>
            <w:tcW w:w="13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2080501</w:t>
            </w:r>
          </w:p>
        </w:tc>
        <w:tc>
          <w:tcPr>
            <w:tcW w:w="49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归口管理的行政单位离退休</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r>
              <w:rPr>
                <w:rFonts w:hint="eastAsia" w:cs="Arial"/>
                <w:color w:val="000000"/>
                <w:sz w:val="20"/>
                <w:szCs w:val="20"/>
              </w:rPr>
              <w:t>11.00</w:t>
            </w:r>
          </w:p>
        </w:tc>
        <w:tc>
          <w:tcPr>
            <w:tcW w:w="1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r>
              <w:rPr>
                <w:rFonts w:hint="eastAsia" w:cs="Arial"/>
                <w:color w:val="000000"/>
                <w:sz w:val="20"/>
                <w:szCs w:val="20"/>
              </w:rPr>
              <w:t>11.00</w:t>
            </w:r>
          </w:p>
        </w:tc>
        <w:tc>
          <w:tcPr>
            <w:tcW w:w="13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2080505</w:t>
            </w:r>
          </w:p>
        </w:tc>
        <w:tc>
          <w:tcPr>
            <w:tcW w:w="49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机关事业单位基本养老保险缴费支出</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r>
              <w:rPr>
                <w:rFonts w:hint="eastAsia" w:cs="Arial"/>
                <w:color w:val="000000"/>
                <w:sz w:val="20"/>
                <w:szCs w:val="20"/>
              </w:rPr>
              <w:t>31.28</w:t>
            </w:r>
          </w:p>
        </w:tc>
        <w:tc>
          <w:tcPr>
            <w:tcW w:w="1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r>
              <w:rPr>
                <w:rFonts w:hint="eastAsia" w:cs="Arial"/>
                <w:color w:val="000000"/>
                <w:sz w:val="20"/>
                <w:szCs w:val="20"/>
              </w:rPr>
              <w:t>31.28</w:t>
            </w:r>
          </w:p>
        </w:tc>
        <w:tc>
          <w:tcPr>
            <w:tcW w:w="13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20808</w:t>
            </w:r>
          </w:p>
        </w:tc>
        <w:tc>
          <w:tcPr>
            <w:tcW w:w="49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抚恤</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r>
              <w:rPr>
                <w:rFonts w:hint="eastAsia" w:cs="Arial"/>
                <w:color w:val="000000"/>
                <w:sz w:val="20"/>
                <w:szCs w:val="20"/>
              </w:rPr>
              <w:t>123.20</w:t>
            </w:r>
          </w:p>
        </w:tc>
        <w:tc>
          <w:tcPr>
            <w:tcW w:w="1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p>
        </w:tc>
        <w:tc>
          <w:tcPr>
            <w:tcW w:w="13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r>
              <w:rPr>
                <w:rFonts w:hint="eastAsia" w:cs="Arial"/>
                <w:color w:val="000000"/>
                <w:sz w:val="20"/>
                <w:szCs w:val="20"/>
              </w:rPr>
              <w:t>123.20</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2080899</w:t>
            </w:r>
          </w:p>
        </w:tc>
        <w:tc>
          <w:tcPr>
            <w:tcW w:w="49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其他优抚支出</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r>
              <w:rPr>
                <w:rFonts w:hint="eastAsia" w:cs="Arial"/>
                <w:color w:val="000000"/>
                <w:sz w:val="20"/>
                <w:szCs w:val="20"/>
              </w:rPr>
              <w:t>123.20</w:t>
            </w:r>
          </w:p>
        </w:tc>
        <w:tc>
          <w:tcPr>
            <w:tcW w:w="1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p>
        </w:tc>
        <w:tc>
          <w:tcPr>
            <w:tcW w:w="13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r>
              <w:rPr>
                <w:rFonts w:hint="eastAsia" w:cs="Arial"/>
                <w:color w:val="000000"/>
                <w:sz w:val="20"/>
                <w:szCs w:val="20"/>
              </w:rPr>
              <w:t>123.20</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20827</w:t>
            </w:r>
          </w:p>
        </w:tc>
        <w:tc>
          <w:tcPr>
            <w:tcW w:w="49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财政对其他社会保险基金的补助</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r>
              <w:rPr>
                <w:rFonts w:hint="eastAsia" w:cs="Arial"/>
                <w:color w:val="000000"/>
                <w:sz w:val="20"/>
                <w:szCs w:val="20"/>
              </w:rPr>
              <w:t>1.18</w:t>
            </w:r>
          </w:p>
        </w:tc>
        <w:tc>
          <w:tcPr>
            <w:tcW w:w="1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r>
              <w:rPr>
                <w:rFonts w:hint="eastAsia" w:cs="Arial"/>
                <w:color w:val="000000"/>
                <w:sz w:val="20"/>
                <w:szCs w:val="20"/>
              </w:rPr>
              <w:t>1.18</w:t>
            </w:r>
          </w:p>
        </w:tc>
        <w:tc>
          <w:tcPr>
            <w:tcW w:w="13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2082702</w:t>
            </w:r>
          </w:p>
        </w:tc>
        <w:tc>
          <w:tcPr>
            <w:tcW w:w="49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财政对工伤保险基金的补助</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r>
              <w:rPr>
                <w:rFonts w:hint="eastAsia" w:cs="Arial"/>
                <w:color w:val="000000"/>
                <w:sz w:val="20"/>
                <w:szCs w:val="20"/>
              </w:rPr>
              <w:t>0.75</w:t>
            </w:r>
          </w:p>
        </w:tc>
        <w:tc>
          <w:tcPr>
            <w:tcW w:w="1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r>
              <w:rPr>
                <w:rFonts w:hint="eastAsia" w:cs="Arial"/>
                <w:color w:val="000000"/>
                <w:sz w:val="20"/>
                <w:szCs w:val="20"/>
              </w:rPr>
              <w:t>0.75</w:t>
            </w:r>
          </w:p>
        </w:tc>
        <w:tc>
          <w:tcPr>
            <w:tcW w:w="13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2082703</w:t>
            </w:r>
          </w:p>
        </w:tc>
        <w:tc>
          <w:tcPr>
            <w:tcW w:w="49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财政对生育保险基金的补助</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r>
              <w:rPr>
                <w:rFonts w:hint="eastAsia" w:cs="Arial"/>
                <w:color w:val="000000"/>
                <w:sz w:val="20"/>
                <w:szCs w:val="20"/>
              </w:rPr>
              <w:t>0.43</w:t>
            </w:r>
          </w:p>
        </w:tc>
        <w:tc>
          <w:tcPr>
            <w:tcW w:w="1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r>
              <w:rPr>
                <w:rFonts w:hint="eastAsia" w:cs="Arial"/>
                <w:color w:val="000000"/>
                <w:sz w:val="20"/>
                <w:szCs w:val="20"/>
              </w:rPr>
              <w:t>0.43</w:t>
            </w:r>
          </w:p>
        </w:tc>
        <w:tc>
          <w:tcPr>
            <w:tcW w:w="13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210</w:t>
            </w:r>
          </w:p>
        </w:tc>
        <w:tc>
          <w:tcPr>
            <w:tcW w:w="49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卫生健康支出</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r>
              <w:rPr>
                <w:rFonts w:hint="eastAsia" w:cs="Arial"/>
                <w:color w:val="000000"/>
                <w:sz w:val="20"/>
                <w:szCs w:val="20"/>
              </w:rPr>
              <w:t>12.32</w:t>
            </w:r>
          </w:p>
        </w:tc>
        <w:tc>
          <w:tcPr>
            <w:tcW w:w="1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r>
              <w:rPr>
                <w:rFonts w:hint="eastAsia" w:cs="Arial"/>
                <w:color w:val="000000"/>
                <w:sz w:val="20"/>
                <w:szCs w:val="20"/>
              </w:rPr>
              <w:t>12.32</w:t>
            </w:r>
          </w:p>
        </w:tc>
        <w:tc>
          <w:tcPr>
            <w:tcW w:w="13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21011</w:t>
            </w:r>
          </w:p>
        </w:tc>
        <w:tc>
          <w:tcPr>
            <w:tcW w:w="49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行政事业单位医疗</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r>
              <w:rPr>
                <w:rFonts w:hint="eastAsia" w:cs="Arial"/>
                <w:color w:val="000000"/>
                <w:sz w:val="20"/>
                <w:szCs w:val="20"/>
              </w:rPr>
              <w:t>12.32</w:t>
            </w:r>
          </w:p>
        </w:tc>
        <w:tc>
          <w:tcPr>
            <w:tcW w:w="1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r>
              <w:rPr>
                <w:rFonts w:hint="eastAsia" w:cs="Arial"/>
                <w:color w:val="000000"/>
                <w:sz w:val="20"/>
                <w:szCs w:val="20"/>
              </w:rPr>
              <w:t>12.32</w:t>
            </w:r>
          </w:p>
        </w:tc>
        <w:tc>
          <w:tcPr>
            <w:tcW w:w="13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2101101</w:t>
            </w:r>
          </w:p>
        </w:tc>
        <w:tc>
          <w:tcPr>
            <w:tcW w:w="49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行政单位医疗</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r>
              <w:rPr>
                <w:rFonts w:hint="eastAsia" w:cs="Arial"/>
                <w:color w:val="000000"/>
                <w:sz w:val="20"/>
                <w:szCs w:val="20"/>
              </w:rPr>
              <w:t>12.32</w:t>
            </w:r>
          </w:p>
        </w:tc>
        <w:tc>
          <w:tcPr>
            <w:tcW w:w="1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r>
              <w:rPr>
                <w:rFonts w:hint="eastAsia" w:cs="Arial"/>
                <w:color w:val="000000"/>
                <w:sz w:val="20"/>
                <w:szCs w:val="20"/>
              </w:rPr>
              <w:t>12.32</w:t>
            </w:r>
          </w:p>
        </w:tc>
        <w:tc>
          <w:tcPr>
            <w:tcW w:w="13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213</w:t>
            </w:r>
          </w:p>
        </w:tc>
        <w:tc>
          <w:tcPr>
            <w:tcW w:w="49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农林水支出</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r>
              <w:rPr>
                <w:rFonts w:hint="eastAsia" w:cs="Arial"/>
                <w:color w:val="000000"/>
                <w:sz w:val="20"/>
                <w:szCs w:val="20"/>
              </w:rPr>
              <w:t>4.52</w:t>
            </w:r>
          </w:p>
        </w:tc>
        <w:tc>
          <w:tcPr>
            <w:tcW w:w="1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p>
        </w:tc>
        <w:tc>
          <w:tcPr>
            <w:tcW w:w="13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r>
              <w:rPr>
                <w:rFonts w:hint="eastAsia" w:cs="Arial"/>
                <w:color w:val="000000"/>
                <w:sz w:val="20"/>
                <w:szCs w:val="20"/>
              </w:rPr>
              <w:t>4.52</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21301</w:t>
            </w:r>
          </w:p>
        </w:tc>
        <w:tc>
          <w:tcPr>
            <w:tcW w:w="49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农业</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r>
              <w:rPr>
                <w:rFonts w:hint="eastAsia" w:cs="Arial"/>
                <w:color w:val="000000"/>
                <w:sz w:val="20"/>
                <w:szCs w:val="20"/>
              </w:rPr>
              <w:t>4.52</w:t>
            </w:r>
          </w:p>
        </w:tc>
        <w:tc>
          <w:tcPr>
            <w:tcW w:w="1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p>
        </w:tc>
        <w:tc>
          <w:tcPr>
            <w:tcW w:w="13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r>
              <w:rPr>
                <w:rFonts w:hint="eastAsia" w:cs="Arial"/>
                <w:color w:val="000000"/>
                <w:sz w:val="20"/>
                <w:szCs w:val="20"/>
              </w:rPr>
              <w:t>4.52</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2130152</w:t>
            </w:r>
          </w:p>
        </w:tc>
        <w:tc>
          <w:tcPr>
            <w:tcW w:w="49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对高校毕业生到基层任职补助</w:t>
            </w:r>
          </w:p>
        </w:tc>
        <w:tc>
          <w:tcPr>
            <w:tcW w:w="1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r>
              <w:rPr>
                <w:rFonts w:hint="eastAsia" w:cs="Arial"/>
                <w:color w:val="000000"/>
                <w:sz w:val="20"/>
                <w:szCs w:val="20"/>
              </w:rPr>
              <w:t>4.52</w:t>
            </w:r>
          </w:p>
        </w:tc>
        <w:tc>
          <w:tcPr>
            <w:tcW w:w="1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p>
        </w:tc>
        <w:tc>
          <w:tcPr>
            <w:tcW w:w="13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r>
              <w:rPr>
                <w:rFonts w:hint="eastAsia" w:cs="Arial"/>
                <w:color w:val="000000"/>
                <w:sz w:val="20"/>
                <w:szCs w:val="20"/>
              </w:rPr>
              <w:t>4.52</w:t>
            </w:r>
          </w:p>
        </w:tc>
      </w:tr>
    </w:tbl>
    <w:p>
      <w:r>
        <w:br w:type="page"/>
      </w:r>
    </w:p>
    <w:tbl>
      <w:tblPr>
        <w:tblStyle w:val="7"/>
        <w:tblW w:w="10000" w:type="dxa"/>
        <w:jc w:val="center"/>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一般公共预算财政拨款基本支出决算表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公开06表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tblPrEx>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公用经费</w:t>
            </w:r>
          </w:p>
        </w:tc>
      </w:tr>
      <w:tr>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319.11</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30.44</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债务利息及费用支出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基本工资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154.75</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11.48</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国内债务付息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津贴补贴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83.85</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印刷费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国外债务付息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17.96</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咨询费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47.43</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伙食补助费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手续费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0.02</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房屋建筑物购建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绩效工资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17.78</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水费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1.44</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29.53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21.26</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职业年金缴费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邮电费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2.54</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基础设施建设</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职工基本医疗保险缴费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9.58</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取暖费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3.26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大型修缮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公务员医疗补助缴费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2.74</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物业管理费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信息网络及软件购置更新</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24.73</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其他社会保障缴费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2.93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差旅费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0.17</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物资储备</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住房公积金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因公出国（境）费用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土地补偿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维修（护）费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0.83</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安置补助</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租赁费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地上附着物和青苗补偿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11.10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会议费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拆迁补偿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离休费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3.67</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培训费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0.2</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7.43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公务接待费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其他交通工具购置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退职（役）费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专用材料费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文物和陈列品购置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抚恤金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被装购置费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无形资产购置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生活补助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专用燃料费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救济费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劳务费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0.04</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委托业务费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3.00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赠与</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助学金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工会经费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2.00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国家赔偿费用支出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奖励金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福利费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8"/>
                <w:szCs w:val="18"/>
                <w:lang w:bidi="ar"/>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个人农业生产补贴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公务用车运行维护费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1.89</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Arial"/>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5.03</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税金及附加费用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人员经费合计</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330.21</w:t>
            </w:r>
          </w:p>
        </w:tc>
        <w:tc>
          <w:tcPr>
            <w:tcW w:w="565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公用经费合计</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rPr>
              <w:t>77.87</w:t>
            </w:r>
          </w:p>
        </w:tc>
      </w:tr>
    </w:tbl>
    <w:p/>
    <w:tbl>
      <w:tblPr>
        <w:tblStyle w:val="7"/>
        <w:tblW w:w="9220" w:type="dxa"/>
        <w:jc w:val="center"/>
        <w:tblLayout w:type="autofit"/>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tblPrEx>
          <w:tblCellMar>
            <w:top w:w="0" w:type="dxa"/>
            <w:left w:w="0" w:type="dxa"/>
            <w:bottom w:w="0" w:type="dxa"/>
            <w:right w:w="0" w:type="dxa"/>
          </w:tblCellMar>
        </w:tblPrEx>
        <w:trPr>
          <w:trHeight w:val="360"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417" w:hRule="atLeast"/>
          <w:jc w:val="center"/>
        </w:trPr>
        <w:tc>
          <w:tcPr>
            <w:tcW w:w="0" w:type="auto"/>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w:t>
            </w:r>
          </w:p>
        </w:tc>
        <w:tc>
          <w:tcPr>
            <w:tcW w:w="0" w:type="auto"/>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tblPrEx>
          <w:tblCellMar>
            <w:top w:w="0" w:type="dxa"/>
            <w:left w:w="0" w:type="dxa"/>
            <w:bottom w:w="0" w:type="dxa"/>
            <w:right w:w="0" w:type="dxa"/>
          </w:tblCellMar>
        </w:tblPrEx>
        <w:trPr>
          <w:trHeight w:val="447" w:hRule="atLeast"/>
          <w:jc w:val="center"/>
        </w:trPr>
        <w:tc>
          <w:tcPr>
            <w:tcW w:w="0" w:type="auto"/>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w:t>
            </w: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1.89</w:t>
            </w: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1.89</w:t>
            </w:r>
          </w:p>
        </w:tc>
        <w:tc>
          <w:tcPr>
            <w:tcW w:w="0" w:type="auto"/>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7"/>
        <w:tblW w:w="9510" w:type="dxa"/>
        <w:jc w:val="center"/>
        <w:tblLayout w:type="autofit"/>
        <w:tblCellMar>
          <w:top w:w="0" w:type="dxa"/>
          <w:left w:w="0" w:type="dxa"/>
          <w:bottom w:w="0" w:type="dxa"/>
          <w:right w:w="0" w:type="dxa"/>
        </w:tblCellMar>
      </w:tblPr>
      <w:tblGrid>
        <w:gridCol w:w="1020"/>
        <w:gridCol w:w="58"/>
        <w:gridCol w:w="58"/>
        <w:gridCol w:w="1474"/>
        <w:gridCol w:w="1150"/>
        <w:gridCol w:w="1150"/>
        <w:gridCol w:w="1150"/>
        <w:gridCol w:w="1150"/>
        <w:gridCol w:w="1150"/>
        <w:gridCol w:w="1150"/>
      </w:tblGrid>
      <w:tr>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w:t>
            </w:r>
          </w:p>
        </w:tc>
        <w:tc>
          <w:tcPr>
            <w:tcW w:w="351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r>
      <w:tr>
        <w:tblPrEx>
          <w:tblCellMar>
            <w:top w:w="0" w:type="dxa"/>
            <w:left w:w="0" w:type="dxa"/>
            <w:bottom w:w="0" w:type="dxa"/>
            <w:right w:w="0" w:type="dxa"/>
          </w:tblCellMar>
        </w:tblPrEx>
        <w:trPr>
          <w:trHeight w:val="312" w:hRule="atLeast"/>
          <w:jc w:val="center"/>
        </w:trPr>
        <w:tc>
          <w:tcPr>
            <w:tcW w:w="990"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0" w:type="auto"/>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99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99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rPr>
        <w:t>本单位本年度无政府性基金预算财政拨款收入支出，按要求以空表列示</w:t>
      </w:r>
      <w:r>
        <w:br w:type="page"/>
      </w:r>
    </w:p>
    <w:tbl>
      <w:tblPr>
        <w:tblStyle w:val="7"/>
        <w:tblW w:w="9915" w:type="dxa"/>
        <w:jc w:val="center"/>
        <w:tblLayout w:type="autofit"/>
        <w:tblCellMar>
          <w:top w:w="0" w:type="dxa"/>
          <w:left w:w="0" w:type="dxa"/>
          <w:bottom w:w="0" w:type="dxa"/>
          <w:right w:w="0" w:type="dxa"/>
        </w:tblCellMar>
      </w:tblPr>
      <w:tblGrid>
        <w:gridCol w:w="1288"/>
        <w:gridCol w:w="74"/>
        <w:gridCol w:w="74"/>
        <w:gridCol w:w="3798"/>
        <w:gridCol w:w="961"/>
        <w:gridCol w:w="1860"/>
        <w:gridCol w:w="1860"/>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0" w:type="auto"/>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CellMar>
            <w:top w:w="0" w:type="dxa"/>
            <w:left w:w="0" w:type="dxa"/>
            <w:bottom w:w="0" w:type="dxa"/>
            <w:right w:w="0" w:type="dxa"/>
          </w:tblCellMar>
        </w:tblPrEx>
        <w:trPr>
          <w:trHeight w:val="615" w:hRule="atLeast"/>
          <w:jc w:val="center"/>
        </w:trPr>
        <w:tc>
          <w:tcPr>
            <w:tcW w:w="171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rPr>
        <w:t>本单位本年度无国有资本经营预算财政拨款支出，按要求以空表列示。</w:t>
      </w:r>
      <w:r>
        <w:br w:type="page"/>
      </w:r>
    </w:p>
    <w:p>
      <w:r>
        <mc:AlternateContent>
          <mc:Choice Requires="wps">
            <w:drawing>
              <wp:anchor distT="0" distB="0" distL="114300" distR="114300" simplePos="0" relativeHeight="251691008"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91008;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Agm8tf3QAAAA8BAAAPAAAAAAAAAAEAIAAA&#10;ACIAAABkcnMvZG93bnJldi54bWxQSwECFAAUAAAACACHTuJACmAlp3kCAADaBAAADgAAAAAAAAAB&#10;ACAAAAAsAQAAZHJzL2Uyb0RvYy54bWxQSwUGAAAAAAYABgBZAQAAFwYAAAAA&#10;">
                <v:fill on="t" focussize="0,0"/>
                <v:stroke on="f" weight="1pt" miterlimit="8" joinstyle="miter"/>
                <v:imagedata o:title=""/>
                <o:lock v:ext="edit" aspectratio="f"/>
              </v:rect>
            </w:pict>
          </mc:Fallback>
        </mc:AlternateContent>
      </w:r>
    </w:p>
    <w:sectPr>
      <w:headerReference r:id="rId25" w:type="first"/>
      <w:headerReference r:id="rId24" w:type="default"/>
      <w:footerReference r:id="rId26"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PMingLiU">
    <w:altName w:val="PMingLiU-ExtB"/>
    <w:panose1 w:val="02020500000000000000"/>
    <w:charset w:val="88"/>
    <w:family w:val="roma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ACF3C50" w:usb2="00000016" w:usb3="00000000" w:csb0="0004001F"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方正书宋_GBK">
    <w:panose1 w:val="02000000000000000000"/>
    <w:charset w:val="86"/>
    <w:family w:val="script"/>
    <w:pitch w:val="default"/>
    <w:sig w:usb0="A00002BF" w:usb1="38CF7CFA" w:usb2="00082016" w:usb3="00000000" w:csb0="00040001" w:csb1="00000000"/>
  </w:font>
  <w:font w:name="MS-UIGothic,Bold">
    <w:altName w:val="Malgun Gothic"/>
    <w:panose1 w:val="00000000000000000000"/>
    <w:charset w:val="81"/>
    <w:family w:val="auto"/>
    <w:pitch w:val="default"/>
    <w:sig w:usb0="00000000" w:usb1="00000000" w:usb2="00000010" w:usb3="00000000" w:csb0="00080000" w:csb1="00000000"/>
  </w:font>
  <w:font w:name="Arial">
    <w:panose1 w:val="020B0604020202020204"/>
    <w:charset w:val="00"/>
    <w:family w:val="swiss"/>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76672"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- 37 -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76672;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fill on="f" focussize="0,0"/>
              <v:stroke on="f" weight="0.5pt"/>
              <v:imagedata o:title=""/>
              <o:lock v:ext="edit" aspectratio="f"/>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- 37 -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77696"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77696;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fill on="f" focussize="0,0"/>
              <v:stroke on="f" weight="0.5pt"/>
              <v:imagedata o:title=""/>
              <o:lock v:ext="edit" aspectratio="f"/>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7872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- 42 -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7872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- 42 -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79744"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- 38 -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79744;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- 38 -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82816"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- 54 -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2816;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- 54 -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73600"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73600;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2576"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72576;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5888"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1685888;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1686912"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86912;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v:fill on="f" focussize="0,0"/>
              <v:stroke on="f" weight="0.5pt"/>
              <v:imagedata o:title=""/>
              <o:lock v:ext="edit" aspectratio="f"/>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3840"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1683840;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4864"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1684864;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0768"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80768;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1792"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81792;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74624"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674624;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5648"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5648;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6950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69504;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8480"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68480;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70528"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70528;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155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155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9950409"/>
    <w:multiLevelType w:val="singleLevel"/>
    <w:tmpl w:val="59950409"/>
    <w:lvl w:ilvl="0" w:tentative="0">
      <w:start w:val="1"/>
      <w:numFmt w:val="decimal"/>
      <w:suff w:val="space"/>
      <w:lvlText w:val="%1."/>
      <w:lvlJc w:val="left"/>
    </w:lvl>
  </w:abstractNum>
  <w:abstractNum w:abstractNumId="2">
    <w:nsid w:val="5F222FFA"/>
    <w:multiLevelType w:val="singleLevel"/>
    <w:tmpl w:val="5F222FFA"/>
    <w:lvl w:ilvl="0" w:tentative="0">
      <w:start w:val="1"/>
      <w:numFmt w:val="decimal"/>
      <w:suff w:val="nothing"/>
      <w:lvlText w:val="（%1）"/>
      <w:lvlJc w:val="left"/>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attachedTemplate r:id="rId1"/>
  <w:documentProtection w:enforcement="0"/>
  <w:defaultTabStop w:val="420"/>
  <w:drawingGridVerticalSpacing w:val="156"/>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533D1"/>
    <w:rsid w:val="00053A3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210CC"/>
    <w:rsid w:val="00552226"/>
    <w:rsid w:val="00564D83"/>
    <w:rsid w:val="00566120"/>
    <w:rsid w:val="00582E6D"/>
    <w:rsid w:val="005954D5"/>
    <w:rsid w:val="005A53FA"/>
    <w:rsid w:val="005A6C48"/>
    <w:rsid w:val="005D1293"/>
    <w:rsid w:val="00601C7A"/>
    <w:rsid w:val="00644D5F"/>
    <w:rsid w:val="00657F86"/>
    <w:rsid w:val="006727AD"/>
    <w:rsid w:val="00685860"/>
    <w:rsid w:val="00691425"/>
    <w:rsid w:val="006A516E"/>
    <w:rsid w:val="006B0830"/>
    <w:rsid w:val="00716E2B"/>
    <w:rsid w:val="00736E9D"/>
    <w:rsid w:val="00770F18"/>
    <w:rsid w:val="00773B74"/>
    <w:rsid w:val="0078290C"/>
    <w:rsid w:val="007C06CA"/>
    <w:rsid w:val="007D33B2"/>
    <w:rsid w:val="008163FB"/>
    <w:rsid w:val="0082605B"/>
    <w:rsid w:val="00855C36"/>
    <w:rsid w:val="00857DBE"/>
    <w:rsid w:val="00864A9E"/>
    <w:rsid w:val="008701BC"/>
    <w:rsid w:val="00883D92"/>
    <w:rsid w:val="00892D7E"/>
    <w:rsid w:val="008A5362"/>
    <w:rsid w:val="008F21F1"/>
    <w:rsid w:val="008F221B"/>
    <w:rsid w:val="008F5A2D"/>
    <w:rsid w:val="0091116D"/>
    <w:rsid w:val="00914879"/>
    <w:rsid w:val="00921602"/>
    <w:rsid w:val="00941222"/>
    <w:rsid w:val="00957EA1"/>
    <w:rsid w:val="00966E5B"/>
    <w:rsid w:val="009B4EF0"/>
    <w:rsid w:val="009D271F"/>
    <w:rsid w:val="00A929C2"/>
    <w:rsid w:val="00AD097F"/>
    <w:rsid w:val="00B240F6"/>
    <w:rsid w:val="00B844F4"/>
    <w:rsid w:val="00BA06A1"/>
    <w:rsid w:val="00BA770A"/>
    <w:rsid w:val="00BE499D"/>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67304"/>
    <w:rsid w:val="00E82A1E"/>
    <w:rsid w:val="00EA05EC"/>
    <w:rsid w:val="00EC06F4"/>
    <w:rsid w:val="00EC0E1D"/>
    <w:rsid w:val="00EE4E36"/>
    <w:rsid w:val="00F665F4"/>
    <w:rsid w:val="00F8132B"/>
    <w:rsid w:val="00FB6435"/>
    <w:rsid w:val="00FC2168"/>
    <w:rsid w:val="00FD225F"/>
    <w:rsid w:val="01A54FD5"/>
    <w:rsid w:val="04735C66"/>
    <w:rsid w:val="05B00A30"/>
    <w:rsid w:val="0648209B"/>
    <w:rsid w:val="07C12633"/>
    <w:rsid w:val="0A7969AF"/>
    <w:rsid w:val="0AF95EA3"/>
    <w:rsid w:val="0B011416"/>
    <w:rsid w:val="0BA07DB5"/>
    <w:rsid w:val="0DBC41C5"/>
    <w:rsid w:val="0E930ADD"/>
    <w:rsid w:val="1244038C"/>
    <w:rsid w:val="12C47BB1"/>
    <w:rsid w:val="136D6F02"/>
    <w:rsid w:val="14501068"/>
    <w:rsid w:val="14AA31A6"/>
    <w:rsid w:val="1A190F3E"/>
    <w:rsid w:val="1FDF7F16"/>
    <w:rsid w:val="1FE55D8A"/>
    <w:rsid w:val="23EB502E"/>
    <w:rsid w:val="24985B48"/>
    <w:rsid w:val="24994474"/>
    <w:rsid w:val="2DF11A94"/>
    <w:rsid w:val="2FC70133"/>
    <w:rsid w:val="302562DE"/>
    <w:rsid w:val="31C2036A"/>
    <w:rsid w:val="320D02A5"/>
    <w:rsid w:val="348E566F"/>
    <w:rsid w:val="376B348B"/>
    <w:rsid w:val="3A051A53"/>
    <w:rsid w:val="3A226944"/>
    <w:rsid w:val="3AEE6A48"/>
    <w:rsid w:val="3C1620AA"/>
    <w:rsid w:val="3D185811"/>
    <w:rsid w:val="3D8F080F"/>
    <w:rsid w:val="40A108E0"/>
    <w:rsid w:val="41E15E6D"/>
    <w:rsid w:val="44CE1FA4"/>
    <w:rsid w:val="487F73ED"/>
    <w:rsid w:val="494F1BC9"/>
    <w:rsid w:val="4A347EAE"/>
    <w:rsid w:val="4BA33FCB"/>
    <w:rsid w:val="4CFD3E48"/>
    <w:rsid w:val="4D465C7C"/>
    <w:rsid w:val="512551EF"/>
    <w:rsid w:val="52600405"/>
    <w:rsid w:val="529B4319"/>
    <w:rsid w:val="530A19D2"/>
    <w:rsid w:val="541025A8"/>
    <w:rsid w:val="57773DD6"/>
    <w:rsid w:val="578B79AB"/>
    <w:rsid w:val="5CCD3FD5"/>
    <w:rsid w:val="61FA5F9D"/>
    <w:rsid w:val="62DF7EC3"/>
    <w:rsid w:val="62ED54FA"/>
    <w:rsid w:val="64CD6910"/>
    <w:rsid w:val="6789158D"/>
    <w:rsid w:val="679D5597"/>
    <w:rsid w:val="67D81BA4"/>
    <w:rsid w:val="68A9412E"/>
    <w:rsid w:val="6AAF1C96"/>
    <w:rsid w:val="6F2E6486"/>
    <w:rsid w:val="70F41629"/>
    <w:rsid w:val="7155746E"/>
    <w:rsid w:val="7329370A"/>
    <w:rsid w:val="75681757"/>
    <w:rsid w:val="75A346A8"/>
    <w:rsid w:val="79052060"/>
    <w:rsid w:val="79B9382C"/>
    <w:rsid w:val="7A865B60"/>
    <w:rsid w:val="7B043B76"/>
    <w:rsid w:val="7C041A6A"/>
    <w:rsid w:val="7CC33267"/>
    <w:rsid w:val="7DEB5F0E"/>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9">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Balloon Text"/>
    <w:basedOn w:val="1"/>
    <w:link w:val="16"/>
    <w:semiHidden/>
    <w:unhideWhenUsed/>
    <w:qFormat/>
    <w:uiPriority w:val="99"/>
    <w:rPr>
      <w:sz w:val="18"/>
      <w:szCs w:val="18"/>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0">
    <w:name w:val="page number"/>
    <w:basedOn w:val="9"/>
    <w:qFormat/>
    <w:uiPriority w:val="0"/>
  </w:style>
  <w:style w:type="paragraph" w:customStyle="1" w:styleId="11">
    <w:name w:val="默认段落字体 Para Char Char Char Char Char Char Char"/>
    <w:basedOn w:val="1"/>
    <w:qFormat/>
    <w:uiPriority w:val="0"/>
  </w:style>
  <w:style w:type="character" w:customStyle="1" w:styleId="12">
    <w:name w:val="页眉 Char"/>
    <w:basedOn w:val="9"/>
    <w:link w:val="6"/>
    <w:qFormat/>
    <w:uiPriority w:val="99"/>
    <w:rPr>
      <w:rFonts w:asciiTheme="minorHAnsi" w:hAnsiTheme="minorHAnsi" w:eastAsiaTheme="minorEastAsia"/>
      <w:sz w:val="18"/>
      <w:szCs w:val="18"/>
    </w:rPr>
  </w:style>
  <w:style w:type="character" w:customStyle="1" w:styleId="13">
    <w:name w:val="页脚 Char"/>
    <w:basedOn w:val="9"/>
    <w:link w:val="5"/>
    <w:qFormat/>
    <w:uiPriority w:val="99"/>
    <w:rPr>
      <w:sz w:val="18"/>
      <w:szCs w:val="18"/>
    </w:rPr>
  </w:style>
  <w:style w:type="paragraph" w:customStyle="1" w:styleId="14">
    <w:name w:val="列出段落1"/>
    <w:basedOn w:val="1"/>
    <w:qFormat/>
    <w:uiPriority w:val="1"/>
    <w:pPr>
      <w:spacing w:before="2"/>
      <w:ind w:left="119" w:right="434" w:firstLine="643"/>
    </w:pPr>
    <w:rPr>
      <w:rFonts w:ascii="仿宋_GB2312" w:hAnsi="仿宋_GB2312" w:eastAsia="仿宋_GB2312" w:cs="仿宋_GB2312"/>
      <w:lang w:val="zh-CN" w:bidi="zh-CN"/>
    </w:rPr>
  </w:style>
  <w:style w:type="paragraph" w:customStyle="1" w:styleId="15">
    <w:name w:val="Body text|2"/>
    <w:basedOn w:val="1"/>
    <w:qFormat/>
    <w:uiPriority w:val="0"/>
    <w:pPr>
      <w:shd w:val="clear" w:color="auto" w:fill="FFFFFF"/>
      <w:spacing w:line="547" w:lineRule="exact"/>
      <w:jc w:val="distribute"/>
    </w:pPr>
    <w:rPr>
      <w:rFonts w:ascii="PMingLiU" w:hAnsi="PMingLiU" w:eastAsia="PMingLiU" w:cs="PMingLiU"/>
      <w:spacing w:val="50"/>
      <w:sz w:val="28"/>
      <w:szCs w:val="28"/>
    </w:rPr>
  </w:style>
  <w:style w:type="character" w:customStyle="1" w:styleId="16">
    <w:name w:val="批注框文本 Char"/>
    <w:basedOn w:val="9"/>
    <w:link w:val="4"/>
    <w:semiHidden/>
    <w:qFormat/>
    <w:uiPriority w:val="99"/>
    <w:rPr>
      <w:rFonts w:asciiTheme="minorHAnsi" w:hAnsiTheme="minorHAnsi" w:eastAsiaTheme="minorEastAsia" w:cstheme="minorBidi"/>
      <w:kern w:val="2"/>
      <w:sz w:val="18"/>
      <w:szCs w:val="18"/>
    </w:rPr>
  </w:style>
  <w:style w:type="paragraph" w:styleId="17">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6" Type="http://schemas.openxmlformats.org/officeDocument/2006/relationships/fontTable" Target="fontTable.xml"/><Relationship Id="rId35" Type="http://schemas.openxmlformats.org/officeDocument/2006/relationships/customXml" Target="../customXml/item2.xml"/><Relationship Id="rId34" Type="http://schemas.openxmlformats.org/officeDocument/2006/relationships/numbering" Target="numbering.xml"/><Relationship Id="rId33" Type="http://schemas.openxmlformats.org/officeDocument/2006/relationships/customXml" Target="../customXml/item1.xml"/><Relationship Id="rId32" Type="http://schemas.openxmlformats.org/officeDocument/2006/relationships/chart" Target="charts/chart4.xml"/><Relationship Id="rId31" Type="http://schemas.openxmlformats.org/officeDocument/2006/relationships/chart" Target="charts/chart3.xml"/><Relationship Id="rId30" Type="http://schemas.openxmlformats.org/officeDocument/2006/relationships/chart" Target="charts/chart2.xml"/><Relationship Id="rId3" Type="http://schemas.openxmlformats.org/officeDocument/2006/relationships/header" Target="header1.xml"/><Relationship Id="rId29" Type="http://schemas.openxmlformats.org/officeDocument/2006/relationships/chart" Target="charts/chart1.xml"/><Relationship Id="rId28" Type="http://schemas.openxmlformats.org/officeDocument/2006/relationships/image" Target="media/image2.bmp"/><Relationship Id="rId27" Type="http://schemas.openxmlformats.org/officeDocument/2006/relationships/theme" Target="theme/theme1.xml"/><Relationship Id="rId26" Type="http://schemas.openxmlformats.org/officeDocument/2006/relationships/footer" Target="footer9.xml"/><Relationship Id="rId25" Type="http://schemas.openxmlformats.org/officeDocument/2006/relationships/header" Target="header15.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01\Desktop\&#37096;&#38376;&#20915;&#31639;&#20844;&#24320;&#21046;&#22270;&#27169;&#26495;&#65288;&#20462;&#25913;&#29256;&#65289;(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01\Desktop\&#37096;&#38376;&#20915;&#31639;&#20844;&#24320;&#21046;&#22270;&#27169;&#26495;&#65288;&#20462;&#25913;&#29256;&#65289;(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01\Desktop\&#37096;&#38376;&#20915;&#31639;&#20844;&#24320;&#21046;&#22270;&#27169;&#26495;&#65288;&#20462;&#25913;&#29256;&#65289;(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01\Desktop\&#37096;&#38376;&#20915;&#31639;&#20844;&#24320;&#21046;&#22270;&#27169;&#26495;&#65288;&#20462;&#25913;&#29256;&#65289;(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：支出构成情况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4138331467032"/>
          <c:y val="0.823232323232322"/>
        </c:manualLayout>
      </c:layout>
      <c:overlay val="0"/>
    </c:title>
    <c:autoTitleDeleted val="0"/>
    <c:plotArea>
      <c:layout>
        <c:manualLayout>
          <c:layoutTarget val="inner"/>
          <c:xMode val="edge"/>
          <c:yMode val="edge"/>
          <c:x val="0.101627059597234"/>
          <c:y val="0.103243458204088"/>
          <c:w val="0.808785007968813"/>
          <c:h val="0.655154696572021"/>
        </c:manualLayout>
      </c:layout>
      <c:pieChart>
        <c:varyColors val="1"/>
        <c:ser>
          <c:idx val="0"/>
          <c:order val="0"/>
          <c:explosion val="0"/>
          <c:dPt>
            <c:idx val="0"/>
            <c:bubble3D val="0"/>
          </c:dPt>
          <c:dPt>
            <c:idx val="1"/>
            <c:bubble3D val="0"/>
          </c:dPt>
          <c:dPt>
            <c:idx val="2"/>
            <c:bubble3D val="0"/>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支出情况说明!$A$5:$A$7</c:f>
              <c:strCache>
                <c:ptCount val="2"/>
                <c:pt idx="0">
                  <c:v>基本支出</c:v>
                </c:pt>
                <c:pt idx="1">
                  <c:v>项目支出</c:v>
                </c:pt>
              </c:strCache>
            </c:strRef>
          </c:cat>
          <c:val>
            <c:numRef>
              <c:f>支出情况说明!$B$5:$B$7</c:f>
              <c:numCache>
                <c:formatCode>General</c:formatCode>
                <c:ptCount val="3"/>
                <c:pt idx="0">
                  <c:v>408.08</c:v>
                </c:pt>
                <c:pt idx="1">
                  <c:v>584.86</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gap"/>
    <c:showDLblsOverMax val="0"/>
  </c:chart>
  <c:spPr>
    <a:ln w="635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2</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2018-2019</a:t>
            </a:r>
            <a:r>
              <a:rPr lang="zh-CN" altLang="zh-CN" sz="1200" b="0">
                <a:latin typeface="仿宋_GB2312" panose="02010609030101010101" pitchFamily="3" charset="-122"/>
                <a:ea typeface="仿宋_GB2312" panose="02010609030101010101" pitchFamily="3" charset="-122"/>
              </a:rPr>
              <a:t>年财政拨款收支对比情况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22222222222222"/>
          <c:y val="0.864749733759319"/>
        </c:manualLayout>
      </c:layout>
      <c:overlay val="0"/>
    </c:title>
    <c:autoTitleDeleted val="0"/>
    <c:plotArea>
      <c:layout>
        <c:manualLayout>
          <c:layoutTarget val="inner"/>
          <c:xMode val="edge"/>
          <c:yMode val="edge"/>
          <c:x val="0.100155074365704"/>
          <c:y val="0.0702982734186981"/>
          <c:w val="0.869289370078741"/>
          <c:h val="0.601993408970844"/>
        </c:manualLayout>
      </c:layout>
      <c:barChart>
        <c:barDir val="col"/>
        <c:grouping val="clustered"/>
        <c:varyColors val="0"/>
        <c:ser>
          <c:idx val="0"/>
          <c:order val="0"/>
          <c:tx>
            <c:strRef>
              <c:f>收支与决算对比!$A$5</c:f>
              <c:strCache>
                <c:ptCount val="1"/>
                <c:pt idx="0">
                  <c:v>2018</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收支与决算对比!$B$4:$C$4</c:f>
              <c:strCache>
                <c:ptCount val="2"/>
                <c:pt idx="0">
                  <c:v>财政拨款收入</c:v>
                </c:pt>
                <c:pt idx="1">
                  <c:v>财政拨款支出</c:v>
                </c:pt>
              </c:strCache>
            </c:strRef>
          </c:cat>
          <c:val>
            <c:numRef>
              <c:f>收支与决算对比!$B$5:$C$5</c:f>
              <c:numCache>
                <c:formatCode>General</c:formatCode>
                <c:ptCount val="2"/>
                <c:pt idx="0">
                  <c:v>527.09</c:v>
                </c:pt>
                <c:pt idx="1">
                  <c:v>551.72</c:v>
                </c:pt>
              </c:numCache>
            </c:numRef>
          </c:val>
        </c:ser>
        <c:ser>
          <c:idx val="1"/>
          <c:order val="1"/>
          <c:tx>
            <c:strRef>
              <c:f>收支与决算对比!$A$6</c:f>
              <c:strCache>
                <c:ptCount val="1"/>
                <c:pt idx="0">
                  <c:v>2019</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收支与决算对比!$B$4:$C$4</c:f>
              <c:strCache>
                <c:ptCount val="2"/>
                <c:pt idx="0">
                  <c:v>财政拨款收入</c:v>
                </c:pt>
                <c:pt idx="1">
                  <c:v>财政拨款支出</c:v>
                </c:pt>
              </c:strCache>
            </c:strRef>
          </c:cat>
          <c:val>
            <c:numRef>
              <c:f>收支与决算对比!$B$6:$C$6</c:f>
              <c:numCache>
                <c:formatCode>General</c:formatCode>
                <c:ptCount val="2"/>
                <c:pt idx="0">
                  <c:v>947.44</c:v>
                </c:pt>
                <c:pt idx="1">
                  <c:v>992.94</c:v>
                </c:pt>
              </c:numCache>
            </c:numRef>
          </c:val>
        </c:ser>
        <c:dLbls>
          <c:showLegendKey val="0"/>
          <c:showVal val="1"/>
          <c:showCatName val="0"/>
          <c:showSerName val="0"/>
          <c:showPercent val="0"/>
          <c:showBubbleSize val="0"/>
        </c:dLbls>
        <c:gapWidth val="75"/>
        <c:axId val="275823232"/>
        <c:axId val="278335872"/>
      </c:barChart>
      <c:catAx>
        <c:axId val="275823232"/>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78335872"/>
        <c:crosses val="autoZero"/>
        <c:auto val="1"/>
        <c:lblAlgn val="ctr"/>
        <c:lblOffset val="100"/>
        <c:noMultiLvlLbl val="0"/>
      </c:catAx>
      <c:valAx>
        <c:axId val="278335872"/>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75823232"/>
        <c:crosses val="autoZero"/>
        <c:crossBetween val="between"/>
      </c:valAx>
    </c:plotArea>
    <c:legend>
      <c:legendPos val="b"/>
      <c:layout>
        <c:manualLayout>
          <c:xMode val="edge"/>
          <c:yMode val="edge"/>
          <c:x val="0.426340551181102"/>
          <c:y val="0.756835299740888"/>
          <c:w val="0.208429790026247"/>
          <c:h val="0.0770305149555987"/>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635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3</a:t>
            </a:r>
            <a:r>
              <a:rPr lang="zh-CN" altLang="zh-CN" sz="12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19444444444445"/>
          <c:y val="0.921675774134792"/>
        </c:manualLayout>
      </c:layout>
      <c:overlay val="0"/>
    </c:title>
    <c:autoTitleDeleted val="0"/>
    <c:plotArea>
      <c:layout>
        <c:manualLayout>
          <c:layoutTarget val="inner"/>
          <c:xMode val="edge"/>
          <c:yMode val="edge"/>
          <c:x val="0.100155074365704"/>
          <c:y val="0.0231156048675734"/>
          <c:w val="0.869289370078741"/>
          <c:h val="0.76881800286328"/>
        </c:manualLayout>
      </c:layout>
      <c:barChart>
        <c:barDir val="col"/>
        <c:grouping val="clustered"/>
        <c:varyColors val="0"/>
        <c:ser>
          <c:idx val="0"/>
          <c:order val="0"/>
          <c:tx>
            <c:strRef>
              <c:f>收支与预算对比!$A$5</c:f>
              <c:strCache>
                <c:ptCount val="1"/>
                <c:pt idx="0">
                  <c:v>年初预算数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收支与预算对比!$B$4:$C$4</c:f>
              <c:strCache>
                <c:ptCount val="2"/>
                <c:pt idx="0">
                  <c:v>财政拨款收入</c:v>
                </c:pt>
                <c:pt idx="1">
                  <c:v>财政拨款支出</c:v>
                </c:pt>
              </c:strCache>
            </c:strRef>
          </c:cat>
          <c:val>
            <c:numRef>
              <c:f>收支与预算对比!$B$5:$C$5</c:f>
              <c:numCache>
                <c:formatCode>General</c:formatCode>
                <c:ptCount val="2"/>
                <c:pt idx="0">
                  <c:v>576.67</c:v>
                </c:pt>
                <c:pt idx="1">
                  <c:v>576.67</c:v>
                </c:pt>
              </c:numCache>
            </c:numRef>
          </c:val>
        </c:ser>
        <c:ser>
          <c:idx val="1"/>
          <c:order val="1"/>
          <c:tx>
            <c:strRef>
              <c:f>收支与预算对比!$A$6</c:f>
              <c:strCache>
                <c:ptCount val="1"/>
                <c:pt idx="0">
                  <c:v>决算数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收支与预算对比!$B$4:$C$4</c:f>
              <c:strCache>
                <c:ptCount val="2"/>
                <c:pt idx="0">
                  <c:v>财政拨款收入</c:v>
                </c:pt>
                <c:pt idx="1">
                  <c:v>财政拨款支出</c:v>
                </c:pt>
              </c:strCache>
            </c:strRef>
          </c:cat>
          <c:val>
            <c:numRef>
              <c:f>收支与预算对比!$B$6:$C$6</c:f>
              <c:numCache>
                <c:formatCode>General</c:formatCode>
                <c:ptCount val="2"/>
                <c:pt idx="0">
                  <c:v>947.44</c:v>
                </c:pt>
                <c:pt idx="1">
                  <c:v>992.94</c:v>
                </c:pt>
              </c:numCache>
            </c:numRef>
          </c:val>
        </c:ser>
        <c:dLbls>
          <c:showLegendKey val="0"/>
          <c:showVal val="1"/>
          <c:showCatName val="0"/>
          <c:showSerName val="0"/>
          <c:showPercent val="0"/>
          <c:showBubbleSize val="0"/>
        </c:dLbls>
        <c:gapWidth val="75"/>
        <c:axId val="278345600"/>
        <c:axId val="278347136"/>
      </c:barChart>
      <c:catAx>
        <c:axId val="278345600"/>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78347136"/>
        <c:crosses val="autoZero"/>
        <c:auto val="1"/>
        <c:lblAlgn val="ctr"/>
        <c:lblOffset val="100"/>
        <c:noMultiLvlLbl val="0"/>
      </c:catAx>
      <c:valAx>
        <c:axId val="278347136"/>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78345600"/>
        <c:crosses val="autoZero"/>
        <c:crossBetween val="between"/>
      </c:valAx>
    </c:plotArea>
    <c:legend>
      <c:legendPos val="b"/>
      <c:layout>
        <c:manualLayout>
          <c:xMode val="edge"/>
          <c:yMode val="edge"/>
          <c:x val="0.346718285214349"/>
          <c:y val="0.848750340633651"/>
          <c:w val="0.339896544181978"/>
          <c:h val="0.065875822899186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635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b="0" i="0" u="none" strike="noStrike" baseline="0">
                <a:latin typeface="仿宋_GB2312" panose="02010609030101010101" pitchFamily="3" charset="-122"/>
                <a:ea typeface="仿宋_GB2312" panose="02010609030101010101" pitchFamily="3" charset="-122"/>
              </a:rPr>
              <a:t>图</a:t>
            </a:r>
            <a:r>
              <a:rPr lang="en-US" altLang="zh-CN" sz="1400" b="0" i="0" u="none" strike="noStrike" baseline="0">
                <a:latin typeface="仿宋_GB2312" panose="02010609030101010101" pitchFamily="3" charset="-122"/>
                <a:ea typeface="仿宋_GB2312" panose="02010609030101010101" pitchFamily="3" charset="-122"/>
              </a:rPr>
              <a:t>4</a:t>
            </a:r>
            <a:r>
              <a:rPr lang="zh-CN" altLang="zh-CN" sz="14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400" b="0">
              <a:latin typeface="仿宋_GB2312" panose="02010609030101010101" pitchFamily="3" charset="-122"/>
              <a:ea typeface="仿宋_GB2312" panose="02010609030101010101" pitchFamily="3" charset="-122"/>
            </a:endParaRPr>
          </a:p>
        </c:rich>
      </c:tx>
      <c:layout>
        <c:manualLayout>
          <c:xMode val="edge"/>
          <c:yMode val="edge"/>
          <c:x val="0.126388888888889"/>
          <c:y val="0.837120962443044"/>
        </c:manualLayout>
      </c:layout>
      <c:overlay val="0"/>
    </c:title>
    <c:autoTitleDeleted val="0"/>
    <c:plotArea>
      <c:layout>
        <c:manualLayout>
          <c:layoutTarget val="inner"/>
          <c:xMode val="edge"/>
          <c:yMode val="edge"/>
          <c:x val="0.242777777777778"/>
          <c:y val="0.0719696755041531"/>
          <c:w val="0.514444663167104"/>
          <c:h val="0.701515240540671"/>
        </c:manualLayout>
      </c:layout>
      <c:pieChart>
        <c:varyColors val="1"/>
        <c:ser>
          <c:idx val="0"/>
          <c:order val="0"/>
          <c:explosion val="0"/>
          <c:dPt>
            <c:idx val="0"/>
            <c:bubble3D val="0"/>
          </c:dPt>
          <c:dPt>
            <c:idx val="1"/>
            <c:bubble3D val="0"/>
          </c:dPt>
          <c:dPt>
            <c:idx val="2"/>
            <c:bubble3D val="0"/>
          </c:dPt>
          <c:dPt>
            <c:idx val="3"/>
            <c:bubble3D val="0"/>
          </c:dPt>
          <c:dPt>
            <c:idx val="4"/>
            <c:bubble3D val="0"/>
          </c:dPt>
          <c:dPt>
            <c:idx val="5"/>
            <c:bubble3D val="0"/>
          </c:dPt>
          <c:dPt>
            <c:idx val="6"/>
            <c:bubble3D val="0"/>
          </c:dPt>
          <c:dPt>
            <c:idx val="7"/>
            <c:bubble3D val="0"/>
          </c:dPt>
          <c:dPt>
            <c:idx val="8"/>
            <c:bubble3D val="0"/>
          </c:dPt>
          <c:dPt>
            <c:idx val="9"/>
            <c:bubble3D val="0"/>
          </c:dPt>
          <c:dPt>
            <c:idx val="10"/>
            <c:bubble3D val="0"/>
          </c:dPt>
          <c:dPt>
            <c:idx val="11"/>
            <c:bubble3D val="0"/>
          </c:dPt>
          <c:dPt>
            <c:idx val="12"/>
            <c:bubble3D val="0"/>
          </c:dPt>
          <c:dPt>
            <c:idx val="13"/>
            <c:bubble3D val="0"/>
          </c:dPt>
          <c:dPt>
            <c:idx val="14"/>
            <c:bubble3D val="0"/>
          </c:dPt>
          <c:dPt>
            <c:idx val="15"/>
            <c:bubble3D val="0"/>
          </c:dPt>
          <c:dPt>
            <c:idx val="16"/>
            <c:bubble3D val="0"/>
          </c:dPt>
          <c:dPt>
            <c:idx val="17"/>
            <c:bubble3D val="0"/>
          </c:dPt>
          <c:dPt>
            <c:idx val="18"/>
            <c:bubble3D val="0"/>
          </c:dPt>
          <c:dLbls>
            <c:dLbl>
              <c:idx val="5"/>
              <c:layout>
                <c:manualLayout>
                  <c:x val="0.116008298363902"/>
                  <c:y val="0.220194647201946"/>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医疗卫生与计划生育支出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支出决算结构!$B$5:$B$23</c:f>
              <c:numCache>
                <c:formatCode>General</c:formatCode>
                <c:ptCount val="19"/>
                <c:pt idx="0">
                  <c:v>809.44</c:v>
                </c:pt>
                <c:pt idx="5">
                  <c:v>166.66</c:v>
                </c:pt>
                <c:pt idx="6">
                  <c:v>12.32</c:v>
                </c:pt>
                <c:pt idx="9">
                  <c:v>4.52</c:v>
                </c:pt>
              </c:numCache>
            </c:numRef>
          </c:val>
        </c:ser>
        <c:dLbls>
          <c:showLegendKey val="0"/>
          <c:showVal val="0"/>
          <c:showCatName val="1"/>
          <c:showSerName val="0"/>
          <c:showPercent val="1"/>
          <c:showBubbleSize val="0"/>
          <c:showLeaderLines val="1"/>
        </c:dLbls>
        <c:firstSliceAng val="0"/>
      </c:pieChart>
    </c:plotArea>
    <c:plotVisOnly val="1"/>
    <c:dispBlanksAs val="gap"/>
    <c:showDLblsOverMax val="0"/>
  </c:chart>
  <c:spPr>
    <a:ln w="635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C64B69C-3A81-4052-81A6-C312DB2DEC40}">
  <ds:schemaRefs/>
</ds:datastoreItem>
</file>

<file path=docProps/app.xml><?xml version="1.0" encoding="utf-8"?>
<Properties xmlns="http://schemas.openxmlformats.org/officeDocument/2006/extended-properties" xmlns:vt="http://schemas.openxmlformats.org/officeDocument/2006/docPropsVTypes">
  <Template>简约文档封面模板.docx</Template>
  <Company>Microsoft</Company>
  <Pages>58</Pages>
  <Words>4718</Words>
  <Characters>26895</Characters>
  <Lines>224</Lines>
  <Paragraphs>63</Paragraphs>
  <TotalTime>37</TotalTime>
  <ScaleCrop>false</ScaleCrop>
  <LinksUpToDate>false</LinksUpToDate>
  <CharactersWithSpaces>31550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2020-09-09T03:48:00Z</dcterms:created>
  <dc:creator>王明新TIAD</dc:creator>
  <cp:lastModifiedBy>浮生</cp:lastModifiedBy>
  <cp:lastPrinted>2020-07-30T02:37:00Z</cp:lastPrinted>
  <dcterms:modified xsi:type="dcterms:W3CDTF">2025-01-02T03:48:34Z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7AF02620DD824E9882303ED1B1282F90</vt:lpwstr>
  </property>
</Properties>
</file>