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bookmarkStart w:id="0" w:name="_GoBack"/>
      <w:bookmarkEnd w:id="0"/>
    </w:p>
    <w:p>
      <w:pPr>
        <w:ind w:firstLine="4996" w:firstLineChars="1131"/>
        <w:rPr>
          <w:rFonts w:ascii="宋体" w:cs="宋体"/>
          <w:b/>
          <w:bCs/>
          <w:sz w:val="44"/>
          <w:szCs w:val="44"/>
        </w:rPr>
      </w:pPr>
      <w:r>
        <w:rPr>
          <w:rFonts w:hint="eastAsia" w:ascii="宋体" w:hAnsi="宋体" w:cs="宋体"/>
          <w:b/>
          <w:bCs/>
          <w:sz w:val="44"/>
          <w:szCs w:val="44"/>
        </w:rPr>
        <w:t>无极县财政局</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按照《预算法》、《地方预决算公开操作规程》和《河北省省级预算公开办法》规定，现将无极县财政局</w:t>
      </w:r>
      <w:r>
        <w:rPr>
          <w:rFonts w:ascii="仿宋_GB2312" w:hAnsi="仿宋" w:eastAsia="仿宋_GB2312" w:cs="仿宋"/>
          <w:sz w:val="32"/>
          <w:szCs w:val="32"/>
        </w:rPr>
        <w:t>201</w:t>
      </w:r>
      <w:r>
        <w:rPr>
          <w:rFonts w:hint="eastAsia" w:ascii="仿宋_GB2312" w:hAnsi="仿宋" w:eastAsia="仿宋_GB2312" w:cs="仿宋"/>
          <w:sz w:val="32"/>
          <w:szCs w:val="32"/>
        </w:rPr>
        <w:t>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rPr>
          <w:rFonts w:ascii="楷体" w:hAnsi="楷体" w:eastAsia="楷体" w:cs="仿宋_GB2312"/>
          <w:sz w:val="32"/>
          <w:szCs w:val="32"/>
        </w:rPr>
      </w:pPr>
      <w:r>
        <w:rPr>
          <w:rFonts w:hint="eastAsia" w:ascii="楷体" w:hAnsi="楷体" w:eastAsia="楷体" w:cs="仿宋_GB2312"/>
          <w:sz w:val="32"/>
          <w:szCs w:val="32"/>
        </w:rPr>
        <w:t xml:space="preserve">    （一）部门职责</w:t>
      </w:r>
    </w:p>
    <w:p>
      <w:pPr>
        <w:rPr>
          <w:rFonts w:ascii="仿宋_GB2312" w:hAnsi="仿宋_GB2312" w:eastAsia="仿宋_GB2312" w:cs="仿宋_GB2312"/>
          <w:sz w:val="32"/>
          <w:szCs w:val="32"/>
        </w:rPr>
      </w:pPr>
      <w:r>
        <w:rPr>
          <w:rFonts w:hint="eastAsia" w:ascii="仿宋" w:hAnsi="仿宋" w:eastAsia="仿宋" w:cs="仿宋_GB2312"/>
          <w:sz w:val="32"/>
          <w:szCs w:val="32"/>
        </w:rPr>
        <w:t xml:space="preserve">    </w:t>
      </w:r>
      <w:r>
        <w:rPr>
          <w:rFonts w:hint="eastAsia" w:ascii="仿宋_GB2312" w:hAnsi="仿宋_GB2312" w:eastAsia="仿宋_GB2312" w:cs="仿宋_GB2312"/>
          <w:sz w:val="32"/>
          <w:szCs w:val="32"/>
        </w:rPr>
        <w:t>1、拟订财税发展战略、规划和改革方案并组织实施；会同有关部门分析预测全县经济形势，参与制定本地经济政策，提出运用财税政策实施调控的建议,拟订有关分配政策，完善鼓励公益事业发展的财税政策。</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2、贯彻执行国家、省市财政财政、税收、财务、会计管理的各项法律法规，制定县级有关制度并监督实施。</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承担财政预算管理的责任。负责编制年度县本级预决算草案并组织执行，汇编全县年度预决算草案；受县政府委托，向县人民代表大会报告全县财政预算及其执行情况，向县人大常委会报告决算；组织制定经费开支标准、定额，负责审核批复部门（单位）的年度预决算。组织实施预算绩效管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4、研究提出县乡财政管理体制指导性意见，完善地方转移支付制度。</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5、承担财政国库管理的责任。组织制定国库管理制度、国库集中收付制度并组织实施，按规定开展国库现金管理。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6、负责政府非税收入和政府性基金管理，按规定管理行政事业性收费；管理财政票据；贯彻实施彩票管理政策，参与制定彩票管理有关办法，参与管理彩票市场，按规定管理彩票资金。</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7、参与起草地方性税收法规草案、实施细则和税收政策调整方案；提出上级授权税目税率调整、减免和地方税收政策等重大事项的建议，监督检查税收政策的执行情况。负责承担与处理综合治税日常工作。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8、负责制定行政事业单位国有资产管理规章制度，对县本级行政事业单位国有资产进行监督管理。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9、制定并组织实施企业财务制度；按规定管理地方金融类企业国有资产。</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负责办理和监督县级财政经济发展支出、县政府投资项目的财政拨款，参与拟订县建设投资的有关方案，制定基本建设财务制度；负责有关政策性补贴和专项储备资金财政管理；承担财政投资评审管理工作。会同有关部门参与推进PPP模式推广及股权投资引导基金管理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11、会同有关部门管理和监督县级财政社会保障、就业及医疗卫生支出。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12、负责全县政府性债务管理。执行国家外债管理的政策，受县政府委托会同有关部门处理涉及财政、债务等方面的涉外事项。</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13、负责全县的政府采购管理拟订政府采购相关制度和办法，负责政府采购工作的监督管理。按规定负责县直机关、事业单位公务车辆管理工作。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14、负责管理全县会计工作，监督和规范会计行为，组织实施国家统一的会计制度。</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15、依法查处财政违法违规行为；反映财政收支管理中的重大问题，提出加强财政管理的建议。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16、承办县政府交办的其他事项。</w:t>
      </w:r>
    </w:p>
    <w:p>
      <w:pPr>
        <w:ind w:firstLine="480" w:firstLineChars="150"/>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cs="仿宋"/>
          <w:b/>
          <w:bCs/>
          <w:sz w:val="32"/>
          <w:szCs w:val="32"/>
        </w:rPr>
      </w:pPr>
    </w:p>
    <w:p>
      <w:pPr>
        <w:jc w:val="center"/>
        <w:rPr>
          <w:rFonts w:ascii="仿宋" w:hAnsi="仿宋" w:eastAsia="仿宋" w:cs="仿宋"/>
          <w:b/>
          <w:bCs/>
          <w:sz w:val="32"/>
          <w:szCs w:val="32"/>
        </w:rPr>
      </w:pPr>
    </w:p>
    <w:p>
      <w:pPr>
        <w:jc w:val="center"/>
        <w:rPr>
          <w:rFonts w:ascii="仿宋" w:hAnsi="仿宋" w:eastAsia="仿宋" w:cs="仿宋"/>
          <w:b/>
          <w:bCs/>
          <w:sz w:val="32"/>
          <w:szCs w:val="32"/>
        </w:rPr>
      </w:pPr>
      <w:r>
        <w:rPr>
          <w:rFonts w:hint="eastAsia" w:ascii="仿宋" w:hAnsi="仿宋" w:eastAsia="仿宋" w:cs="仿宋"/>
          <w:b/>
          <w:bCs/>
          <w:sz w:val="32"/>
          <w:szCs w:val="32"/>
        </w:rPr>
        <w:t>部门机构设置情况</w:t>
      </w:r>
    </w:p>
    <w:tbl>
      <w:tblPr>
        <w:tblStyle w:val="4"/>
        <w:tblW w:w="112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76"/>
        <w:gridCol w:w="2220"/>
        <w:gridCol w:w="1965"/>
        <w:gridCol w:w="35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882" w:hRule="atLeast"/>
          <w:tblHeader/>
          <w:jc w:val="center"/>
        </w:trPr>
        <w:tc>
          <w:tcPr>
            <w:tcW w:w="3476" w:type="dxa"/>
            <w:vAlign w:val="center"/>
          </w:tcPr>
          <w:p>
            <w:pPr>
              <w:tabs>
                <w:tab w:val="left" w:pos="1035"/>
                <w:tab w:val="center" w:pos="2173"/>
              </w:tabs>
              <w:spacing w:line="300" w:lineRule="exact"/>
              <w:jc w:val="left"/>
            </w:pPr>
            <w:r>
              <w:rPr>
                <w:rFonts w:hint="eastAsia" w:ascii="仿宋" w:hAnsi="仿宋" w:eastAsia="仿宋" w:cs="仿宋"/>
                <w:b/>
                <w:sz w:val="28"/>
                <w:szCs w:val="28"/>
              </w:rPr>
              <w:tab/>
            </w:r>
            <w:r>
              <w:rPr>
                <w:rFonts w:hint="eastAsia" w:ascii="仿宋" w:hAnsi="仿宋" w:eastAsia="仿宋" w:cs="仿宋"/>
                <w:b/>
                <w:sz w:val="28"/>
                <w:szCs w:val="28"/>
              </w:rPr>
              <w:tab/>
            </w:r>
            <w:r>
              <w:rPr>
                <w:rFonts w:hint="eastAsia" w:ascii="仿宋" w:hAnsi="仿宋" w:eastAsia="仿宋" w:cs="仿宋"/>
                <w:b/>
                <w:sz w:val="28"/>
                <w:szCs w:val="28"/>
              </w:rPr>
              <w:t>单位名称</w:t>
            </w:r>
          </w:p>
        </w:tc>
        <w:tc>
          <w:tcPr>
            <w:tcW w:w="2220"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单位性质</w:t>
            </w:r>
          </w:p>
        </w:tc>
        <w:tc>
          <w:tcPr>
            <w:tcW w:w="1965"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单位规格</w:t>
            </w:r>
          </w:p>
        </w:tc>
        <w:tc>
          <w:tcPr>
            <w:tcW w:w="3547"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3476" w:type="dxa"/>
            <w:vAlign w:val="center"/>
          </w:tcPr>
          <w:p>
            <w:pPr>
              <w:spacing w:line="300" w:lineRule="exact"/>
              <w:jc w:val="left"/>
              <w:rPr>
                <w:rFonts w:ascii="方正仿宋_GBK" w:eastAsia="方正仿宋_GBK"/>
                <w:sz w:val="28"/>
                <w:szCs w:val="28"/>
              </w:rPr>
            </w:pPr>
            <w:r>
              <w:rPr>
                <w:rFonts w:hint="eastAsia" w:ascii="方正仿宋_GBK" w:hAnsi="仿宋" w:eastAsia="方正仿宋_GBK" w:cs="仿宋"/>
                <w:sz w:val="28"/>
                <w:szCs w:val="28"/>
              </w:rPr>
              <w:t>无极县财政局</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行政</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正科级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4" w:hRule="atLeast"/>
          <w:jc w:val="center"/>
        </w:trPr>
        <w:tc>
          <w:tcPr>
            <w:tcW w:w="3476" w:type="dxa"/>
            <w:vAlign w:val="center"/>
          </w:tcPr>
          <w:p>
            <w:pPr>
              <w:spacing w:line="300" w:lineRule="exact"/>
              <w:jc w:val="left"/>
              <w:rPr>
                <w:rFonts w:ascii="方正仿宋_GBK" w:eastAsia="方正仿宋_GBK"/>
                <w:sz w:val="28"/>
                <w:szCs w:val="28"/>
              </w:rPr>
            </w:pPr>
            <w:r>
              <w:rPr>
                <w:rFonts w:hint="eastAsia" w:ascii="方正仿宋_GBK" w:hAnsi="仿宋" w:eastAsia="方正仿宋_GBK" w:cs="仿宋"/>
                <w:sz w:val="28"/>
                <w:szCs w:val="28"/>
              </w:rPr>
              <w:t>无极县农财局</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事业</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正科级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3476"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无极县财政集中支付中心</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事业</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副科级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jc w:val="center"/>
        </w:trPr>
        <w:tc>
          <w:tcPr>
            <w:tcW w:w="3476"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无极县财政稽查局</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事业</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副科级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jc w:val="center"/>
        </w:trPr>
        <w:tc>
          <w:tcPr>
            <w:tcW w:w="3476"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无极县综合治税领导小组办公室</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事业</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副科级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财政性资金基本保证</w:t>
            </w: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numPr>
          <w:ilvl w:val="0"/>
          <w:numId w:val="1"/>
        </w:numPr>
        <w:rPr>
          <w:rFonts w:ascii="楷体" w:hAnsi="楷体" w:eastAsia="楷体" w:cs="仿宋_GB2312"/>
          <w:sz w:val="30"/>
          <w:szCs w:val="30"/>
        </w:rPr>
      </w:pPr>
      <w:r>
        <w:rPr>
          <w:rFonts w:hint="eastAsia" w:ascii="楷体" w:hAnsi="楷体" w:eastAsia="楷体" w:cs="仿宋_GB2312"/>
          <w:sz w:val="30"/>
          <w:szCs w:val="30"/>
        </w:rPr>
        <w:t>收入说明</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2018年预算收入</w:t>
      </w:r>
      <w:r>
        <w:rPr>
          <w:rFonts w:hint="eastAsia" w:ascii="仿宋_GB2312" w:eastAsia="仿宋_GB2312" w:cs="仿宋_GB2312"/>
          <w:bCs/>
          <w:sz w:val="32"/>
          <w:szCs w:val="32"/>
        </w:rPr>
        <w:t>1049.36</w:t>
      </w:r>
      <w:r>
        <w:rPr>
          <w:rFonts w:hint="eastAsia" w:ascii="仿宋_GB2312" w:hAnsi="仿宋_GB2312" w:eastAsia="仿宋_GB2312" w:cs="仿宋_GB2312"/>
          <w:sz w:val="32"/>
          <w:szCs w:val="32"/>
        </w:rPr>
        <w:t>万元，均为一般公共预算收入。</w:t>
      </w:r>
      <w:r>
        <w:rPr>
          <w:rFonts w:hint="eastAsia" w:ascii="仿宋_GB2312" w:eastAsia="仿宋_GB2312" w:cs="仿宋_GB2312"/>
          <w:bCs/>
          <w:sz w:val="32"/>
          <w:szCs w:val="32"/>
        </w:rPr>
        <w:t>与2017年相比增加75.13万元，原因为正常调资及新招录了15名劳务派遣人员。其中，一般公共预算收入1049.36万元、政府性基金收入0万元、财政专户核拨收入0万元，其他来源收入0万元。</w:t>
      </w:r>
    </w:p>
    <w:p>
      <w:pPr>
        <w:rPr>
          <w:rFonts w:ascii="楷体" w:hAnsi="楷体" w:eastAsia="楷体"/>
          <w:sz w:val="32"/>
          <w:szCs w:val="32"/>
        </w:rPr>
      </w:pPr>
      <w:r>
        <w:rPr>
          <w:rFonts w:hint="eastAsia" w:ascii="楷体" w:hAnsi="楷体" w:eastAsia="楷体"/>
          <w:sz w:val="32"/>
          <w:szCs w:val="32"/>
        </w:rPr>
        <w:t xml:space="preserve">    （二）支出说明</w:t>
      </w:r>
    </w:p>
    <w:p>
      <w:pPr>
        <w:adjustRightInd w:val="0"/>
        <w:snapToGrid w:val="0"/>
        <w:spacing w:line="600" w:lineRule="exact"/>
        <w:jc w:val="left"/>
        <w:rPr>
          <w:rFonts w:ascii="仿宋_GB2312" w:eastAsia="仿宋_GB2312" w:cs="仿宋_GB2312"/>
          <w:b/>
          <w:bCs/>
          <w:sz w:val="32"/>
          <w:szCs w:val="32"/>
        </w:rPr>
      </w:pPr>
      <w:r>
        <w:rPr>
          <w:rFonts w:hint="eastAsia" w:ascii="仿宋_GB2312" w:hAnsi="仿宋_GB2312" w:eastAsia="仿宋_GB2312" w:cs="仿宋_GB2312"/>
          <w:sz w:val="32"/>
          <w:szCs w:val="32"/>
        </w:rPr>
        <w:t xml:space="preserve">    反映我部门本年度支出预算的总体情况。</w:t>
      </w:r>
      <w:r>
        <w:rPr>
          <w:rFonts w:hint="eastAsia" w:ascii="仿宋_GB2312" w:eastAsia="仿宋_GB2312" w:cs="仿宋_GB2312"/>
          <w:bCs/>
          <w:sz w:val="32"/>
          <w:szCs w:val="32"/>
        </w:rPr>
        <w:t>2018年预算支出1049.36万元。其中，人员经费支出676.26万元，正常公用经费127.1万元，项目支出246万元。</w:t>
      </w:r>
    </w:p>
    <w:p>
      <w:pPr>
        <w:numPr>
          <w:ilvl w:val="0"/>
          <w:numId w:val="1"/>
        </w:numPr>
        <w:adjustRightInd w:val="0"/>
        <w:snapToGrid w:val="0"/>
        <w:spacing w:line="600" w:lineRule="exact"/>
        <w:jc w:val="left"/>
        <w:rPr>
          <w:rFonts w:ascii="楷体" w:hAnsi="楷体" w:eastAsia="楷体"/>
          <w:sz w:val="32"/>
          <w:szCs w:val="32"/>
        </w:rPr>
      </w:pPr>
      <w:r>
        <w:rPr>
          <w:rFonts w:hint="eastAsia" w:ascii="楷体" w:hAnsi="楷体" w:eastAsia="楷体"/>
          <w:sz w:val="32"/>
          <w:szCs w:val="32"/>
        </w:rPr>
        <w:t>比上年增减情况</w:t>
      </w:r>
    </w:p>
    <w:p>
      <w:pPr>
        <w:adjustRightInd w:val="0"/>
        <w:snapToGrid w:val="0"/>
        <w:spacing w:line="600" w:lineRule="exact"/>
        <w:jc w:val="left"/>
        <w:rPr>
          <w:rFonts w:ascii="仿宋_GB2312" w:eastAsia="仿宋_GB2312" w:cs="仿宋_GB2312"/>
          <w:bCs/>
          <w:sz w:val="32"/>
          <w:szCs w:val="32"/>
        </w:rPr>
      </w:pPr>
      <w:r>
        <w:rPr>
          <w:rFonts w:hint="eastAsia" w:ascii="仿宋_GB2312" w:eastAsia="仿宋_GB2312" w:cs="仿宋_GB2312"/>
          <w:bCs/>
          <w:sz w:val="32"/>
          <w:szCs w:val="32"/>
        </w:rPr>
        <w:t xml:space="preserve">    无极县财政局2018年预算收入总计1049.36万元，与2017年相比增加75.13万元，增加原因为正常调资及新招录劳务派遣人员15名。</w:t>
      </w:r>
    </w:p>
    <w:p>
      <w:pPr>
        <w:ind w:firstLine="627" w:firstLineChars="196"/>
        <w:rPr>
          <w:rFonts w:ascii="黑体" w:hAnsi="黑体" w:eastAsia="黑体" w:cs="仿宋_GB2312"/>
          <w:sz w:val="32"/>
          <w:szCs w:val="32"/>
        </w:rPr>
      </w:pPr>
      <w:r>
        <w:rPr>
          <w:rFonts w:hint="eastAsia" w:ascii="黑体" w:hAnsi="黑体" w:eastAsia="黑体" w:cs="仿宋_GB2312"/>
          <w:sz w:val="32"/>
          <w:szCs w:val="32"/>
        </w:rPr>
        <w:t>三、机关运行经费安排情况</w:t>
      </w:r>
    </w:p>
    <w:p>
      <w:pPr>
        <w:adjustRightInd w:val="0"/>
        <w:snapToGrid w:val="0"/>
        <w:spacing w:line="6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8年机关运行经费共计安排</w:t>
      </w:r>
      <w:r>
        <w:rPr>
          <w:rFonts w:hint="eastAsia" w:ascii="仿宋_GB2312" w:eastAsia="仿宋_GB2312" w:cs="仿宋_GB2312"/>
          <w:bCs/>
          <w:sz w:val="32"/>
          <w:szCs w:val="32"/>
        </w:rPr>
        <w:t>127.1</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ind w:firstLine="640" w:firstLineChars="200"/>
        <w:rPr>
          <w:rFonts w:ascii="仿宋" w:hAnsi="仿宋" w:eastAsia="仿宋" w:cs="仿宋"/>
          <w:color w:val="FF0000"/>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2018年本部门安排“三公”经费3.2万元，比上年减少0.3万元。其中：</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1、因公出国（境）费0万元，与上年持平,无增减变化。</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2、公务用车购置及运行维护费3万元，与上年持平,无增减变化。</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3、公务接待费0.2万元，比上年减少0.3万元,原因是压缩办公经费。</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560"/>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按照县委、县政府工作决策部署和平山县转型发展战略，围绕建成小康社会，财政部门以“四大主题”为导向谋划</w:t>
      </w:r>
      <w:r>
        <w:rPr>
          <w:rFonts w:hint="eastAsia" w:ascii="仿宋_GB2312" w:hAnsi="仿宋_GB2312" w:eastAsia="仿宋_GB2312" w:cs="仿宋_GB2312"/>
          <w:sz w:val="32"/>
          <w:szCs w:val="32"/>
          <w:lang w:eastAsia="zh-CN"/>
        </w:rPr>
        <w:t>“十三五”规划</w:t>
      </w:r>
      <w:r>
        <w:rPr>
          <w:rFonts w:hint="eastAsia" w:ascii="仿宋_GB2312" w:hAnsi="仿宋_GB2312" w:eastAsia="仿宋_GB2312" w:cs="仿宋_GB2312"/>
          <w:sz w:val="32"/>
          <w:szCs w:val="32"/>
        </w:rPr>
        <w:t>，坚持以重大项目做支撑，群众需求为导向，紧密服务于全县经济社会发展大局。</w:t>
      </w:r>
    </w:p>
    <w:p>
      <w:pPr>
        <w:ind w:firstLine="560"/>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按照县委、县政府工作决策部署和无极县转型发展战略，围绕建成小康社会，财政部门以“四大主题”为导向谋划</w:t>
      </w:r>
      <w:r>
        <w:rPr>
          <w:rFonts w:hint="eastAsia" w:ascii="仿宋_GB2312" w:hAnsi="仿宋_GB2312" w:eastAsia="仿宋_GB2312" w:cs="仿宋_GB2312"/>
          <w:sz w:val="32"/>
          <w:szCs w:val="32"/>
          <w:lang w:eastAsia="zh-CN"/>
        </w:rPr>
        <w:t>“十三五”规划</w:t>
      </w:r>
      <w:r>
        <w:rPr>
          <w:rFonts w:hint="eastAsia" w:ascii="仿宋_GB2312" w:hAnsi="仿宋_GB2312" w:eastAsia="仿宋_GB2312" w:cs="仿宋_GB2312"/>
          <w:sz w:val="32"/>
          <w:szCs w:val="32"/>
        </w:rPr>
        <w:t>，坚持以重大项目做支撑，群众需求为导向，紧密服务于全县经济社会发展大局。</w:t>
      </w:r>
    </w:p>
    <w:p>
      <w:pPr>
        <w:ind w:firstLine="640" w:firstLineChars="200"/>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ascii="仿宋" w:hAnsi="仿宋" w:eastAsia="仿宋"/>
          <w:sz w:val="32"/>
          <w:szCs w:val="32"/>
        </w:rPr>
      </w:pPr>
      <w:r>
        <w:rPr>
          <w:rFonts w:hint="eastAsia" w:ascii="仿宋" w:hAnsi="仿宋" w:eastAsia="仿宋"/>
          <w:sz w:val="32"/>
          <w:szCs w:val="32"/>
        </w:rPr>
        <w:t>部门职责</w:t>
      </w:r>
      <w:r>
        <w:rPr>
          <w:rFonts w:ascii="仿宋" w:hAnsi="仿宋" w:eastAsia="仿宋"/>
          <w:sz w:val="32"/>
          <w:szCs w:val="32"/>
        </w:rPr>
        <w:t>-</w:t>
      </w:r>
      <w:r>
        <w:rPr>
          <w:rFonts w:hint="eastAsia" w:ascii="仿宋" w:hAnsi="仿宋" w:eastAsia="仿宋"/>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318</w:t>
            </w:r>
            <w:r>
              <w:rPr>
                <w:rFonts w:hint="eastAsia" w:ascii="方正小标宋_GBK" w:eastAsia="方正小标宋_GBK"/>
                <w:sz w:val="24"/>
              </w:rPr>
              <w:t>财政局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方正书宋_GBK" w:eastAsia="方正书宋_GBK"/>
                <w:b/>
              </w:rPr>
            </w:pPr>
            <w:r>
              <w:rPr>
                <w:rFonts w:hint="eastAsia" w:ascii="方正书宋_GBK" w:eastAsia="方正书宋_GBK"/>
                <w:b/>
              </w:rPr>
              <w:t>财政收入管理</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深化税收制度改革，研究完善和规范地方性税收法规，规范税收优惠政策，监督检查税政政策执行情况。制定非税收入管理政策，加强非税收入征管。加强彩票公益金管理，确保及时，足额入库。制定彩票管理政策和有关办法，管理彩票市场及彩票资金。</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规范税收优惠政策，监督检查税政政策执行情况。确保彩票公益金及时，足额入库</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非税收入政策管理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负责政府非税收入和政府性基金管理，按规定管理行政事业性收费；管理财政票据。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完成非税收入调整任务。（收入任务按经济、政策变化进行调整）</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市分调整非税收入计划完成率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财政收入征收管理</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贯彻国家税收政策，负责制定全市财政和预算收入计划，管理和监督各项财政收入；负责政府非税收入管理，按规定管理行政事业性收费、政府性基金及其他非税收入；管理财政票据。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完成全市财政和预算收入任务，管理和监督各项财政收入。完成非税收收入调整任务。（收入任务按经济、政策变化进行调整）</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财政收入任务完成率，市分调整非税收计划完成率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财政资源配置管理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通过对市级财政收支以及相应的财政税收政策，调整和引导现有社会经济资源的流向和流量，以达到资源的优化配置和充分利用，实现最大的经济效益和社会效益的功能。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达到资源的优化配置和充分利用，实现最大的经济效益和社会效益的功能。</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财政资金安排与使用</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按照法定程序审查和批准的财政预算，通过规范的预算执行程序，落实各项财政收入，依法分配各项预算支出。随时监控财政收支预算的执行过程，根据实际情况需要，按照相关法规政策对预算进行适时调整，确保全年预算平衡和社会事业发展需要。在做好财政资金执行分配的同时，加强财政资金绩效管理，提高其使用效率和效益。</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确保各项财政收入合理分配和使用</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财政资金收支平衡</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&lt;1</w:t>
            </w: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财政体制管理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负责市与市管县财政收入和支出责任划分管理、对下转移支付管理和市县财政运行监控工作。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及时发现实现财政运行中存在的问题，提出针对性的意见建议。</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财政体制管理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负责拟定市县财政收入划分和支出责任划分方案，并组织实施。负责监控市县财政运行，及时发现实现财政运行中存在的问题，提出针对性的意见建议。</w:t>
            </w:r>
          </w:p>
        </w:tc>
        <w:tc>
          <w:tcPr>
            <w:tcW w:w="2976"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财政业务管理</w:t>
            </w:r>
          </w:p>
        </w:tc>
        <w:tc>
          <w:tcPr>
            <w:tcW w:w="1276" w:type="dxa"/>
            <w:vAlign w:val="center"/>
          </w:tcPr>
          <w:p>
            <w:pPr>
              <w:spacing w:line="300" w:lineRule="exact"/>
              <w:jc w:val="left"/>
              <w:rPr>
                <w:rFonts w:ascii="方正书宋_GBK" w:eastAsia="方正书宋_GBK"/>
              </w:rPr>
            </w:pPr>
            <w:r>
              <w:rPr>
                <w:rFonts w:ascii="方正书宋_GBK" w:eastAsia="方正书宋_GBK"/>
              </w:rPr>
              <w:t>160.00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负责财政系统综合业务管理和机关综合事务管理。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负责财政系统综合业务管理和机关综合事务管理。</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r>
              <w:rPr>
                <w:rFonts w:ascii="方正书宋_GBK" w:eastAsia="方正书宋_GBK"/>
              </w:rPr>
              <w:t>160.00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财政系统业务活动和事业发展；加强绩效预算和国库一体化建设管理；开展财税政策研究；深化财政改革；行政复议及行政应诉工作；信访接待、业务宣传、工程项目评审、政府采购及政务信息公开、网上行政服务、依法行政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各项工作全部落实。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财政事务管理</w:t>
            </w:r>
          </w:p>
        </w:tc>
        <w:tc>
          <w:tcPr>
            <w:tcW w:w="1276" w:type="dxa"/>
            <w:vAlign w:val="center"/>
          </w:tcPr>
          <w:p>
            <w:pPr>
              <w:spacing w:line="300" w:lineRule="exact"/>
              <w:jc w:val="left"/>
              <w:rPr>
                <w:rFonts w:ascii="方正书宋_GBK" w:eastAsia="方正书宋_GBK"/>
              </w:rPr>
            </w:pPr>
            <w:r>
              <w:rPr>
                <w:rFonts w:ascii="方正书宋_GBK" w:eastAsia="方正书宋_GBK"/>
              </w:rPr>
              <w:t>14.00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负责财政系统综合业务管理和机关综合事务管理。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负责财政系统综合业务管理和机关综合事务管理。</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r>
              <w:rPr>
                <w:rFonts w:ascii="方正书宋_GBK" w:eastAsia="方正书宋_GBK"/>
              </w:rPr>
              <w:t>14.00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会议组织管理、信息化建设与维护、机关财务和资产管理、标准化建设、基建及维修、大型设备购置、人事管理及干部教育培训、机关党委工作、老干部工作等。负责直属事业单位管理工作。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各项工作全部落实。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ascii="仿宋_GB2312" w:eastAsia="仿宋_GB2312"/>
          <w:sz w:val="30"/>
          <w:szCs w:val="30"/>
        </w:rPr>
        <w:t>201</w:t>
      </w:r>
      <w:r>
        <w:rPr>
          <w:rFonts w:hint="eastAsia" w:ascii="仿宋_GB2312" w:eastAsia="仿宋_GB2312"/>
          <w:sz w:val="30"/>
          <w:szCs w:val="30"/>
        </w:rPr>
        <w:t>8年我部门安排政府采购预算</w:t>
      </w:r>
      <w:r>
        <w:rPr>
          <w:rFonts w:ascii="仿宋_GB2312" w:eastAsia="仿宋_GB2312"/>
          <w:sz w:val="30"/>
          <w:szCs w:val="30"/>
        </w:rPr>
        <w:t>0</w:t>
      </w:r>
      <w:r>
        <w:rPr>
          <w:rFonts w:hint="eastAsia" w:ascii="仿宋_GB2312" w:eastAsia="仿宋_GB2312"/>
          <w:sz w:val="30"/>
          <w:szCs w:val="30"/>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无极县财政局上年末固定资产金额为 748.4万元（详见下表）。本年度拟购置固定资产金额为8万元。</w:t>
      </w:r>
    </w:p>
    <w:tbl>
      <w:tblPr>
        <w:tblStyle w:val="4"/>
        <w:tblW w:w="11321" w:type="dxa"/>
        <w:tblInd w:w="1046" w:type="dxa"/>
        <w:tblLayout w:type="fixed"/>
        <w:tblCellMar>
          <w:top w:w="0" w:type="dxa"/>
          <w:left w:w="108" w:type="dxa"/>
          <w:bottom w:w="0" w:type="dxa"/>
          <w:right w:w="108" w:type="dxa"/>
        </w:tblCellMar>
      </w:tblPr>
      <w:tblGrid>
        <w:gridCol w:w="4256"/>
        <w:gridCol w:w="2640"/>
        <w:gridCol w:w="4425"/>
      </w:tblGrid>
      <w:tr>
        <w:tblPrEx>
          <w:tblCellMar>
            <w:top w:w="0" w:type="dxa"/>
            <w:left w:w="108" w:type="dxa"/>
            <w:bottom w:w="0" w:type="dxa"/>
            <w:right w:w="108" w:type="dxa"/>
          </w:tblCellMar>
        </w:tblPrEx>
        <w:trPr>
          <w:trHeight w:val="705" w:hRule="atLeast"/>
        </w:trPr>
        <w:tc>
          <w:tcPr>
            <w:tcW w:w="11321"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无极县财政局固定资产占用情况表</w:t>
            </w:r>
          </w:p>
        </w:tc>
      </w:tr>
      <w:tr>
        <w:tblPrEx>
          <w:tblCellMar>
            <w:top w:w="0" w:type="dxa"/>
            <w:left w:w="108" w:type="dxa"/>
            <w:bottom w:w="0" w:type="dxa"/>
            <w:right w:w="108" w:type="dxa"/>
          </w:tblCellMar>
        </w:tblPrEx>
        <w:trPr>
          <w:trHeight w:val="510" w:hRule="atLeast"/>
        </w:trPr>
        <w:tc>
          <w:tcPr>
            <w:tcW w:w="6896"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w:t>
            </w:r>
            <w:r>
              <w:rPr>
                <w:rFonts w:hint="eastAsia"/>
              </w:rPr>
              <w:t>无极县财政局</w:t>
            </w:r>
          </w:p>
        </w:tc>
        <w:tc>
          <w:tcPr>
            <w:tcW w:w="4425"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w:t>
            </w:r>
            <w:r>
              <w:rPr>
                <w:rFonts w:hint="eastAsia" w:ascii="宋体" w:hAnsi="宋体" w:cs="宋体"/>
                <w:kern w:val="0"/>
                <w:sz w:val="22"/>
              </w:rPr>
              <w:t>7年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560" w:hRule="atLeast"/>
        </w:trPr>
        <w:tc>
          <w:tcPr>
            <w:tcW w:w="425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640"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442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480" w:hRule="atLeast"/>
        </w:trPr>
        <w:tc>
          <w:tcPr>
            <w:tcW w:w="4256"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748.4</w:t>
            </w:r>
          </w:p>
        </w:tc>
      </w:tr>
      <w:tr>
        <w:tblPrEx>
          <w:tblCellMar>
            <w:top w:w="0" w:type="dxa"/>
            <w:left w:w="108" w:type="dxa"/>
            <w:bottom w:w="0" w:type="dxa"/>
            <w:right w:w="108" w:type="dxa"/>
          </w:tblCellMar>
        </w:tblPrEx>
        <w:trPr>
          <w:trHeight w:val="525"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1500</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123</w:t>
            </w:r>
          </w:p>
        </w:tc>
      </w:tr>
      <w:tr>
        <w:tblPrEx>
          <w:tblCellMar>
            <w:top w:w="0" w:type="dxa"/>
            <w:left w:w="108" w:type="dxa"/>
            <w:bottom w:w="0" w:type="dxa"/>
            <w:right w:w="108" w:type="dxa"/>
          </w:tblCellMar>
        </w:tblPrEx>
        <w:trPr>
          <w:trHeight w:val="435"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1500</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123</w:t>
            </w:r>
          </w:p>
        </w:tc>
      </w:tr>
      <w:tr>
        <w:tblPrEx>
          <w:tblCellMar>
            <w:top w:w="0" w:type="dxa"/>
            <w:left w:w="108" w:type="dxa"/>
            <w:bottom w:w="0" w:type="dxa"/>
            <w:right w:w="108" w:type="dxa"/>
          </w:tblCellMar>
        </w:tblPrEx>
        <w:trPr>
          <w:trHeight w:val="480"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18</w:t>
            </w:r>
          </w:p>
        </w:tc>
      </w:tr>
      <w:tr>
        <w:tblPrEx>
          <w:tblCellMar>
            <w:top w:w="0" w:type="dxa"/>
            <w:left w:w="108" w:type="dxa"/>
            <w:bottom w:w="0" w:type="dxa"/>
            <w:right w:w="108" w:type="dxa"/>
          </w:tblCellMar>
        </w:tblPrEx>
        <w:trPr>
          <w:trHeight w:val="465"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645"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607.4</w:t>
            </w:r>
          </w:p>
        </w:tc>
      </w:tr>
    </w:tbl>
    <w:p>
      <w:pPr>
        <w:autoSpaceDE w:val="0"/>
        <w:autoSpaceDN w:val="0"/>
        <w:adjustRightInd w:val="0"/>
        <w:spacing w:line="560" w:lineRule="exact"/>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spacing w:line="560" w:lineRule="exact"/>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spacing w:line="560" w:lineRule="exact"/>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spacing w:line="560" w:lineRule="exact"/>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spacing w:line="560" w:lineRule="exact"/>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spacing w:line="560" w:lineRule="exact"/>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spacing w:line="560" w:lineRule="exact"/>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spacing w:line="560" w:lineRule="exact"/>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spacing w:line="560" w:lineRule="exact"/>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spacing w:line="560" w:lineRule="exact"/>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spacing w:line="560" w:lineRule="exact"/>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spacing w:line="560" w:lineRule="exact"/>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spacing w:line="560" w:lineRule="exact"/>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spacing w:line="560" w:lineRule="exact"/>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spacing w:line="560" w:lineRule="exact"/>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spacing w:line="560" w:lineRule="exact"/>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spacing w:line="560" w:lineRule="exact"/>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spacing w:line="560" w:lineRule="exact"/>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spacing w:line="560" w:lineRule="exact"/>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sectPr>
      <w:head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japaneseCounting"/>
      <w:lvlText w:val="（%1）"/>
      <w:lvlJc w:val="left"/>
      <w:pPr>
        <w:ind w:left="1789"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172A27"/>
    <w:rsid w:val="0077132A"/>
    <w:rsid w:val="009A05DD"/>
    <w:rsid w:val="00F75DF7"/>
    <w:rsid w:val="3B84303B"/>
    <w:rsid w:val="76255F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unhideWhenUsed="0" w:uiPriority="99" w:semiHidden="0" w:name="heading 1"/>
    <w:lsdException w:uiPriority="99" w:name="heading 2"/>
    <w:lsdException w:uiPriority="99"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nhideWhenUsed="0" w:uiPriority="99"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99"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nhideWhenUsed="0" w:uiPriority="99" w:semiHidden="0" w:name="Strong"/>
    <w:lsdException w:unhideWhenUsed="0" w:uiPriority="99"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9"/>
    <w:uiPriority w:val="0"/>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uiPriority w:val="0"/>
    <w:pPr>
      <w:ind w:firstLine="420" w:firstLineChars="200"/>
    </w:pPr>
  </w:style>
  <w:style w:type="paragraph" w:customStyle="1" w:styleId="7">
    <w:name w:val="[Normal]"/>
    <w:uiPriority w:val="0"/>
    <w:rPr>
      <w:rFonts w:ascii="宋体" w:hAnsi="Times New Roman" w:eastAsia="宋体" w:cs="Calibri"/>
      <w:sz w:val="24"/>
      <w:lang w:val="en-US" w:eastAsia="en-US" w:bidi="ar-SA"/>
    </w:rPr>
  </w:style>
  <w:style w:type="character" w:customStyle="1" w:styleId="8">
    <w:name w:val="页脚 字符"/>
    <w:link w:val="2"/>
    <w:semiHidden/>
    <w:uiPriority w:val="0"/>
    <w:rPr>
      <w:rFonts w:ascii="Times New Roman" w:hAnsi="Times New Roman" w:eastAsia="宋体" w:cs="Times New Roman"/>
      <w:sz w:val="18"/>
      <w:szCs w:val="18"/>
    </w:rPr>
  </w:style>
  <w:style w:type="character" w:customStyle="1" w:styleId="9">
    <w:name w:val="页眉 字符"/>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13</Pages>
  <Words>695</Words>
  <Characters>3964</Characters>
  <Lines>33</Lines>
  <Paragraphs>9</Paragraphs>
  <TotalTime>0</TotalTime>
  <ScaleCrop>false</ScaleCrop>
  <LinksUpToDate>false</LinksUpToDate>
  <CharactersWithSpaces>4650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2017-08-22T17:42:00Z</dcterms:created>
  <dc:creator>微软用户</dc:creator>
  <cp:lastModifiedBy>浮生</cp:lastModifiedBy>
  <dcterms:modified xsi:type="dcterms:W3CDTF">2025-01-03T03:49:11Z</dcterms:modified>
  <dc:title>微软用户</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33FE77228F6541818DF18EAA3B050408</vt:lpwstr>
  </property>
</Properties>
</file>