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0" w:name="_GoBack"/>
      <w:bookmarkEnd w:id="0"/>
    </w:p>
    <w:p>
      <w:pPr>
        <w:ind w:firstLine="4996" w:firstLineChars="1131"/>
        <w:rPr>
          <w:rFonts w:ascii="宋体" w:cs="宋体"/>
          <w:b/>
          <w:bCs/>
          <w:sz w:val="44"/>
          <w:szCs w:val="44"/>
        </w:rPr>
      </w:pPr>
      <w:r>
        <w:rPr>
          <w:rFonts w:hint="eastAsia" w:ascii="宋体" w:hAnsi="宋体" w:cs="宋体"/>
          <w:b/>
          <w:bCs/>
          <w:sz w:val="44"/>
          <w:szCs w:val="44"/>
        </w:rPr>
        <w:t>无极县财政局</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按照《预算法》、《地方预决算公开操作规程》和《河北省省级预算公开办法》规定，现将无极县财政局</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rPr>
          <w:rFonts w:ascii="楷体" w:hAnsi="楷体" w:eastAsia="楷体" w:cs="仿宋_GB2312"/>
          <w:sz w:val="32"/>
          <w:szCs w:val="32"/>
        </w:rPr>
      </w:pPr>
      <w:r>
        <w:rPr>
          <w:rFonts w:hint="eastAsia" w:ascii="楷体" w:hAnsi="楷体" w:eastAsia="楷体" w:cs="仿宋_GB2312"/>
          <w:sz w:val="32"/>
          <w:szCs w:val="32"/>
        </w:rPr>
        <w:t xml:space="preserve">    （一）部门职责</w:t>
      </w:r>
    </w:p>
    <w:p>
      <w:pPr>
        <w:rPr>
          <w:rFonts w:ascii="仿宋_GB2312" w:hAnsi="仿宋_GB2312" w:eastAsia="仿宋_GB2312" w:cs="仿宋_GB2312"/>
          <w:sz w:val="32"/>
          <w:szCs w:val="32"/>
        </w:rPr>
      </w:pPr>
      <w:r>
        <w:rPr>
          <w:rFonts w:hint="eastAsia" w:ascii="仿宋" w:hAnsi="仿宋" w:eastAsia="仿宋" w:cs="仿宋_GB2312"/>
          <w:sz w:val="32"/>
          <w:szCs w:val="32"/>
        </w:rPr>
        <w:t xml:space="preserve">    </w:t>
      </w:r>
      <w:r>
        <w:rPr>
          <w:rFonts w:hint="eastAsia" w:ascii="仿宋_GB2312" w:hAnsi="仿宋_GB2312" w:eastAsia="仿宋_GB2312" w:cs="仿宋_GB2312"/>
          <w:sz w:val="32"/>
          <w:szCs w:val="32"/>
        </w:rPr>
        <w:t>1、负责全县财政预算的编制和财政决算的汇总编报，负责对预算执行情况进行监督检查，确保公教人员工资按时发放和机关正常运转，确保全年财政收支平衡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2、负责全县行政事业单位的财务管理和监督检查工作，负责审核单位财务收支和各项财政拨款的使用情况。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3、负责各项社保基金、就业及医疗卫生支出的监督管理工作。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4、负责协调督促各项财政收入及时足额入库，确保按时完成财政收入任务。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5、负责做好各类支农资金的引进、发放、管理和回收工作。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6、负责规范企业财务行为，指导企业搞好财务工作。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7、负责世界银行贷款项目的立项考察和投放管理工作。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8、负责全县预算外资金的收支管理。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9、负责做好全县行政事业单位会计人员的管理。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10、负责做好控购物品的审核上报工作。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11、负责对乡镇财政的监督管理，提高乡财政管理水平。</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12、负责对全县行政事业单位国有资产进行管理，防止国有资产流失。</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13、负责全县行政事业单位的收费和罚没管理。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14、负责全县的行政事业单位的资金往来结算。</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15、负责全县财政专项资金的监督检查工作。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16、承办县政府交办的其他工作</w:t>
      </w:r>
    </w:p>
    <w:p>
      <w:pPr>
        <w:ind w:firstLine="480" w:firstLineChars="150"/>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cs="仿宋"/>
          <w:b/>
          <w:bCs/>
          <w:sz w:val="32"/>
          <w:szCs w:val="32"/>
        </w:rPr>
      </w:pPr>
    </w:p>
    <w:p>
      <w:pPr>
        <w:jc w:val="center"/>
        <w:rPr>
          <w:rFonts w:ascii="仿宋" w:hAnsi="仿宋" w:eastAsia="仿宋" w:cs="仿宋"/>
          <w:b/>
          <w:bCs/>
          <w:sz w:val="32"/>
          <w:szCs w:val="32"/>
        </w:rPr>
      </w:pPr>
    </w:p>
    <w:p>
      <w:pPr>
        <w:jc w:val="center"/>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12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76"/>
        <w:gridCol w:w="2220"/>
        <w:gridCol w:w="1965"/>
        <w:gridCol w:w="3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3476"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220"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96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3547"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3476" w:type="dxa"/>
            <w:vAlign w:val="center"/>
          </w:tcPr>
          <w:p>
            <w:pPr>
              <w:spacing w:line="300" w:lineRule="exact"/>
              <w:jc w:val="left"/>
              <w:rPr>
                <w:rFonts w:ascii="方正仿宋_GBK" w:eastAsia="方正仿宋_GBK"/>
                <w:sz w:val="28"/>
                <w:szCs w:val="28"/>
              </w:rPr>
            </w:pPr>
            <w:r>
              <w:rPr>
                <w:rFonts w:hint="eastAsia" w:ascii="方正仿宋_GBK" w:hAnsi="仿宋" w:eastAsia="方正仿宋_GBK" w:cs="仿宋"/>
                <w:sz w:val="28"/>
                <w:szCs w:val="28"/>
              </w:rPr>
              <w:t>无极县财政局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行政</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正科级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4" w:hRule="atLeast"/>
          <w:jc w:val="center"/>
        </w:trPr>
        <w:tc>
          <w:tcPr>
            <w:tcW w:w="3476" w:type="dxa"/>
            <w:vAlign w:val="center"/>
          </w:tcPr>
          <w:p>
            <w:pPr>
              <w:spacing w:line="300" w:lineRule="exact"/>
              <w:jc w:val="left"/>
              <w:rPr>
                <w:rFonts w:ascii="方正仿宋_GBK" w:eastAsia="方正仿宋_GBK"/>
                <w:sz w:val="28"/>
                <w:szCs w:val="28"/>
              </w:rPr>
            </w:pPr>
            <w:r>
              <w:rPr>
                <w:rFonts w:hint="eastAsia" w:ascii="方正仿宋_GBK" w:hAnsi="仿宋" w:eastAsia="方正仿宋_GBK" w:cs="仿宋"/>
                <w:sz w:val="28"/>
                <w:szCs w:val="28"/>
              </w:rPr>
              <w:t>无极县农财局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正科级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无极县财政集中支付中心</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无极县财政稽查局</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3476"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无极县综合治税领导小组办公室</w:t>
            </w:r>
          </w:p>
        </w:tc>
        <w:tc>
          <w:tcPr>
            <w:tcW w:w="2220"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事业</w:t>
            </w:r>
          </w:p>
        </w:tc>
        <w:tc>
          <w:tcPr>
            <w:tcW w:w="1965" w:type="dxa"/>
            <w:vAlign w:val="center"/>
          </w:tcPr>
          <w:p>
            <w:pPr>
              <w:spacing w:line="300" w:lineRule="exact"/>
              <w:jc w:val="center"/>
              <w:rPr>
                <w:rFonts w:ascii="方正仿宋_GBK" w:hAnsi="仿宋" w:eastAsia="方正仿宋_GBK" w:cs="仿宋"/>
                <w:sz w:val="28"/>
                <w:szCs w:val="28"/>
              </w:rPr>
            </w:pPr>
            <w:r>
              <w:rPr>
                <w:rFonts w:hint="eastAsia" w:ascii="方正仿宋_GBK" w:hAnsi="仿宋" w:eastAsia="方正仿宋_GBK" w:cs="仿宋"/>
                <w:sz w:val="28"/>
                <w:szCs w:val="28"/>
              </w:rPr>
              <w:t>副科级</w:t>
            </w:r>
          </w:p>
        </w:tc>
        <w:tc>
          <w:tcPr>
            <w:tcW w:w="3547" w:type="dxa"/>
            <w:vAlign w:val="center"/>
          </w:tcPr>
          <w:p>
            <w:pPr>
              <w:spacing w:line="300" w:lineRule="exact"/>
              <w:jc w:val="left"/>
              <w:rPr>
                <w:rFonts w:ascii="方正仿宋_GBK" w:hAnsi="仿宋" w:eastAsia="方正仿宋_GBK" w:cs="仿宋"/>
                <w:sz w:val="28"/>
                <w:szCs w:val="28"/>
              </w:rPr>
            </w:pPr>
            <w:r>
              <w:rPr>
                <w:rFonts w:hint="eastAsia" w:ascii="方正仿宋_GBK" w:hAnsi="仿宋" w:eastAsia="方正仿宋_GBK" w:cs="仿宋"/>
                <w:sz w:val="28"/>
                <w:szCs w:val="28"/>
              </w:rPr>
              <w:t>财政性资金基本保证</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1"/>
        </w:numPr>
        <w:rPr>
          <w:rFonts w:ascii="楷体" w:hAnsi="楷体" w:eastAsia="楷体" w:cs="仿宋_GB2312"/>
          <w:sz w:val="30"/>
          <w:szCs w:val="30"/>
        </w:rPr>
      </w:pPr>
      <w:r>
        <w:rPr>
          <w:rFonts w:hint="eastAsia" w:ascii="楷体" w:hAnsi="楷体" w:eastAsia="楷体" w:cs="仿宋_GB2312"/>
          <w:sz w:val="30"/>
          <w:szCs w:val="30"/>
        </w:rPr>
        <w:t>收入说明</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2017年预算收入</w:t>
      </w:r>
      <w:r>
        <w:rPr>
          <w:rFonts w:hint="eastAsia" w:ascii="仿宋_GB2312" w:eastAsia="仿宋_GB2312" w:cs="仿宋_GB2312"/>
          <w:bCs/>
          <w:sz w:val="32"/>
          <w:szCs w:val="32"/>
        </w:rPr>
        <w:t>974.23</w:t>
      </w:r>
      <w:r>
        <w:rPr>
          <w:rFonts w:hint="eastAsia" w:ascii="仿宋_GB2312" w:hAnsi="仿宋_GB2312" w:eastAsia="仿宋_GB2312" w:cs="仿宋_GB2312"/>
          <w:sz w:val="32"/>
          <w:szCs w:val="32"/>
        </w:rPr>
        <w:t>万元，均为一般公共预算收入。</w:t>
      </w:r>
      <w:r>
        <w:rPr>
          <w:rFonts w:hint="eastAsia" w:ascii="仿宋_GB2312" w:eastAsia="仿宋_GB2312" w:cs="仿宋_GB2312"/>
          <w:bCs/>
          <w:sz w:val="32"/>
          <w:szCs w:val="32"/>
        </w:rPr>
        <w:t>与2016年相比减少87.47万元，减少原因为正常公用经费减少。其中，一般公共预算收入970.23万元、政府性基金收入0万元、财政专户核拨收入0万元，其他来源收入0万元。</w:t>
      </w:r>
    </w:p>
    <w:p>
      <w:pPr>
        <w:rPr>
          <w:rFonts w:ascii="楷体" w:hAnsi="楷体" w:eastAsia="楷体"/>
          <w:sz w:val="32"/>
          <w:szCs w:val="32"/>
        </w:rPr>
      </w:pPr>
      <w:r>
        <w:rPr>
          <w:rFonts w:hint="eastAsia" w:ascii="楷体" w:hAnsi="楷体" w:eastAsia="楷体"/>
          <w:sz w:val="32"/>
          <w:szCs w:val="32"/>
        </w:rPr>
        <w:t xml:space="preserve">    （二）支出说明</w:t>
      </w:r>
    </w:p>
    <w:p>
      <w:pPr>
        <w:adjustRightInd w:val="0"/>
        <w:snapToGrid w:val="0"/>
        <w:spacing w:line="600" w:lineRule="exact"/>
        <w:jc w:val="left"/>
        <w:rPr>
          <w:rFonts w:ascii="仿宋_GB2312" w:eastAsia="仿宋_GB2312" w:cs="仿宋_GB2312"/>
          <w:b/>
          <w:bCs/>
          <w:sz w:val="32"/>
          <w:szCs w:val="32"/>
        </w:rPr>
      </w:pPr>
      <w:r>
        <w:rPr>
          <w:rFonts w:hint="eastAsia" w:ascii="仿宋_GB2312" w:hAnsi="仿宋_GB2312" w:eastAsia="仿宋_GB2312" w:cs="仿宋_GB2312"/>
          <w:sz w:val="32"/>
          <w:szCs w:val="32"/>
        </w:rPr>
        <w:t xml:space="preserve">    反映我部门本年度支出预算的总体情况。</w:t>
      </w:r>
      <w:r>
        <w:rPr>
          <w:rFonts w:hint="eastAsia" w:ascii="仿宋_GB2312" w:eastAsia="仿宋_GB2312" w:cs="仿宋_GB2312"/>
          <w:bCs/>
          <w:sz w:val="32"/>
          <w:szCs w:val="32"/>
        </w:rPr>
        <w:t>2017年预算支出974.23万元。其中，人员经费支出680.23万元，正常公用经费100万元，项目支出194万元。</w:t>
      </w:r>
    </w:p>
    <w:p>
      <w:pPr>
        <w:numPr>
          <w:ilvl w:val="0"/>
          <w:numId w:val="1"/>
        </w:numPr>
        <w:adjustRightInd w:val="0"/>
        <w:snapToGrid w:val="0"/>
        <w:spacing w:line="600" w:lineRule="exact"/>
        <w:jc w:val="left"/>
        <w:rPr>
          <w:rFonts w:ascii="楷体" w:hAnsi="楷体" w:eastAsia="楷体"/>
          <w:sz w:val="32"/>
          <w:szCs w:val="32"/>
        </w:rPr>
      </w:pPr>
      <w:r>
        <w:rPr>
          <w:rFonts w:hint="eastAsia" w:ascii="楷体" w:hAnsi="楷体" w:eastAsia="楷体"/>
          <w:sz w:val="32"/>
          <w:szCs w:val="32"/>
        </w:rPr>
        <w:t>比上年增减情况</w:t>
      </w:r>
    </w:p>
    <w:p>
      <w:pPr>
        <w:adjustRightInd w:val="0"/>
        <w:snapToGrid w:val="0"/>
        <w:spacing w:line="600" w:lineRule="exact"/>
        <w:jc w:val="left"/>
        <w:rPr>
          <w:rFonts w:ascii="仿宋_GB2312" w:eastAsia="仿宋_GB2312" w:cs="仿宋_GB2312"/>
          <w:bCs/>
          <w:sz w:val="32"/>
          <w:szCs w:val="32"/>
        </w:rPr>
      </w:pPr>
      <w:r>
        <w:rPr>
          <w:rFonts w:hint="eastAsia" w:ascii="仿宋_GB2312" w:eastAsia="仿宋_GB2312" w:cs="仿宋_GB2312"/>
          <w:bCs/>
          <w:sz w:val="32"/>
          <w:szCs w:val="32"/>
        </w:rPr>
        <w:t xml:space="preserve">    无极县财政局2017年预算收入总计974.23万元，与2016年相比减少87.47万元，减少原因为正常公用经费减少。</w:t>
      </w:r>
    </w:p>
    <w:p>
      <w:pPr>
        <w:ind w:firstLine="627" w:firstLineChars="196"/>
        <w:rPr>
          <w:rFonts w:ascii="黑体" w:hAnsi="黑体" w:eastAsia="黑体" w:cs="仿宋_GB2312"/>
          <w:sz w:val="32"/>
          <w:szCs w:val="32"/>
        </w:rPr>
      </w:pPr>
      <w:r>
        <w:rPr>
          <w:rFonts w:hint="eastAsia" w:ascii="黑体" w:hAnsi="黑体" w:eastAsia="黑体" w:cs="仿宋_GB2312"/>
          <w:sz w:val="32"/>
          <w:szCs w:val="32"/>
        </w:rPr>
        <w:t>三、机关运行经费安排情况</w:t>
      </w:r>
    </w:p>
    <w:p>
      <w:pPr>
        <w:adjustRightInd w:val="0"/>
        <w:snapToGrid w:val="0"/>
        <w:spacing w:line="60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hint="eastAsia" w:ascii="仿宋_GB2312" w:eastAsia="仿宋_GB2312" w:cs="仿宋_GB2312"/>
          <w:bCs/>
          <w:sz w:val="32"/>
          <w:szCs w:val="32"/>
        </w:rPr>
        <w:t>974.23</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ind w:firstLine="640" w:firstLineChars="200"/>
        <w:rPr>
          <w:rFonts w:ascii="仿宋" w:hAnsi="仿宋" w:eastAsia="仿宋" w:cs="仿宋"/>
          <w:color w:val="FF0000"/>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2017年本部门安排“三公”经费3.5万元，与上年持平,无增减变化。其中：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2、公务用车购置及运行维护费3万元，与上年持平,无增减变化。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3、公务接待费0.5万元，与上年持平,无增减变化。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按照县委、县政府工作决策部署和平山县转型发展战略，围绕建成小康社会，财政部门以“四大主题”为导向谋划</w:t>
      </w:r>
      <w:r>
        <w:rPr>
          <w:rFonts w:hint="eastAsia" w:ascii="仿宋_GB2312" w:hAnsi="仿宋_GB2312" w:eastAsia="仿宋_GB2312" w:cs="仿宋_GB2312"/>
          <w:sz w:val="32"/>
          <w:szCs w:val="32"/>
          <w:lang w:eastAsia="zh-CN"/>
        </w:rPr>
        <w:t>“十三五”规划</w:t>
      </w:r>
      <w:r>
        <w:rPr>
          <w:rFonts w:hint="eastAsia" w:ascii="仿宋_GB2312" w:hAnsi="仿宋_GB2312" w:eastAsia="仿宋_GB2312" w:cs="仿宋_GB2312"/>
          <w:sz w:val="32"/>
          <w:szCs w:val="32"/>
        </w:rPr>
        <w:t>，坚持以重大项目做支撑，群众需求为导向，紧密服务于全县经济社会发展大局。</w:t>
      </w:r>
    </w:p>
    <w:p>
      <w:pPr>
        <w:ind w:firstLine="560"/>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按照县委、县政府工作决策部署和无极县转型发展战略，围绕建成小康社会，财政部门以“四大主题”为导向谋划</w:t>
      </w:r>
      <w:r>
        <w:rPr>
          <w:rFonts w:hint="eastAsia" w:ascii="仿宋_GB2312" w:hAnsi="仿宋_GB2312" w:eastAsia="仿宋_GB2312" w:cs="仿宋_GB2312"/>
          <w:sz w:val="32"/>
          <w:szCs w:val="32"/>
          <w:lang w:eastAsia="zh-CN"/>
        </w:rPr>
        <w:t>“十三五”规划</w:t>
      </w:r>
      <w:r>
        <w:rPr>
          <w:rFonts w:hint="eastAsia" w:ascii="仿宋_GB2312" w:hAnsi="仿宋_GB2312" w:eastAsia="仿宋_GB2312" w:cs="仿宋_GB2312"/>
          <w:sz w:val="32"/>
          <w:szCs w:val="32"/>
        </w:rPr>
        <w:t>，坚持以重大项目做支撑，群众需求为导向，紧密服务于全县经济社会发展大局。</w:t>
      </w:r>
    </w:p>
    <w:p>
      <w:pPr>
        <w:ind w:firstLine="640" w:firstLineChars="200"/>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318</w:t>
            </w:r>
            <w:r>
              <w:rPr>
                <w:rFonts w:hint="eastAsia" w:ascii="方正小标宋_GBK" w:eastAsia="方正小标宋_GBK"/>
                <w:sz w:val="24"/>
              </w:rPr>
              <w:t>财政局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财政收入管理</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深化税收制度改革，研究完善和规范地方性税收法规，规范税收优惠政策，监督检查税政政策执行情况。制定非税收入管理政策，加强非税收入征管。加强彩票公益金管理，确保及时，足额入库。制定彩票管理政策和有关办法，管理彩票市场及彩票资金。</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规范税收优惠政策，监督检查税政政策执行情况。确保彩票公益金及时，足额入库</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非税收入政策管理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负责政府非税收入和政府性基金管理，按规定管理行政事业性收费；管理财政票据。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完成非税收入调整任务。（收入任务按经济、政策变化进行调整）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市分调整非税收入计划完成率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财政收入征收管理</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贯彻国家税收政策，负责制定全市财政和预算收入计划，管理和监督各项财政收入；负责政府非税收入管理，按规定管理行政事业性收费、政府性基金及其他非税收入；管理财政票据。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完成全市财政和预算收入任务，管理和监督各项财政收入。完成非税收收入调整任务。（收入任务按经济、政策变化进行调整）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财政收入任务完成率，市分调整非税收计划完成率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财政资源配置管理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通过对市级财政收支以及相应的财政税收政策，调整和引导现有社会经济资源的流向和流量，以达到资源的优化配置和充分利用，实现最大的经济效益和社会效益的功能。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达到资源的优化配置和充分利用，实现最大的经济效益和社会效益的功能。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财政资金安排与使用</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法定程序审查和批准的财政预算，通过规范的预算执行程序，落实各项财政收入，依法分配各项预算支出。随时监控财政收支预算的执行过程，根据实际情况需要，按照相关法规政策对预算进行适时调整，确保全年预算平衡和社会事业发展需要。在做好财政资金执行分配的同时，加强财政资金绩效管理，提高其使用效率和效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确保各项财政收入合理分配和使用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财政资金收支平衡</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&lt;1</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财政体制管理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负责市与市管县财政收入和支出责任划分管理、对下转移支付管理和市县财政运行监控工作。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及时发现实现财政运行中存在的问题，提出针对性的意见建议。</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财政体制管理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负责拟定市县财政收入划分和支出责任划分方案，并组织实施。负责监控市县财政运行，及时发现实现财政运行中存在的问题，提出针对性的意见建议。</w:t>
            </w:r>
          </w:p>
        </w:tc>
        <w:tc>
          <w:tcPr>
            <w:tcW w:w="2976"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财政业务管理</w:t>
            </w:r>
          </w:p>
        </w:tc>
        <w:tc>
          <w:tcPr>
            <w:tcW w:w="1276" w:type="dxa"/>
            <w:vAlign w:val="center"/>
          </w:tcPr>
          <w:p>
            <w:pPr>
              <w:spacing w:line="300" w:lineRule="exact"/>
              <w:jc w:val="left"/>
              <w:rPr>
                <w:rFonts w:ascii="方正书宋_GBK" w:eastAsia="方正书宋_GBK"/>
              </w:rPr>
            </w:pPr>
            <w:r>
              <w:rPr>
                <w:rFonts w:ascii="方正书宋_GBK" w:eastAsia="方正书宋_GBK"/>
              </w:rPr>
              <w:t>160.00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160.00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财政系统业务活动和事业发展；加强绩效预算和国库一体化建设管理；开展财税政策研究；深化财政改革；行政复议及行政应诉工作；信访接待、业务宣传、工程项目评审、政府采购及政务信息公开、网上行政服务、依法行政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财政事务管理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负责财政系统综合业务管理和机关综合事务管理。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会议组织管理、信息化建设与维护、机关财务和资产管理、标准化建设、基建及维修、大型设备购置、人事管理及干部教育培训、机关党委工作、老干部工作等。负责直属事业单位管理工作。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2017</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无极县财政局上年末固定资产金额为 688.7万元（详见下表）。本年度拟购置固定资产金额为0万元。</w:t>
      </w:r>
    </w:p>
    <w:tbl>
      <w:tblPr>
        <w:tblStyle w:val="4"/>
        <w:tblW w:w="11321" w:type="dxa"/>
        <w:tblInd w:w="1046" w:type="dxa"/>
        <w:tblLayout w:type="fixed"/>
        <w:tblCellMar>
          <w:top w:w="0" w:type="dxa"/>
          <w:left w:w="108" w:type="dxa"/>
          <w:bottom w:w="0" w:type="dxa"/>
          <w:right w:w="108" w:type="dxa"/>
        </w:tblCellMar>
      </w:tblPr>
      <w:tblGrid>
        <w:gridCol w:w="4256"/>
        <w:gridCol w:w="2640"/>
        <w:gridCol w:w="4425"/>
      </w:tblGrid>
      <w:tr>
        <w:tblPrEx>
          <w:tblCellMar>
            <w:top w:w="0" w:type="dxa"/>
            <w:left w:w="108" w:type="dxa"/>
            <w:bottom w:w="0" w:type="dxa"/>
            <w:right w:w="108" w:type="dxa"/>
          </w:tblCellMar>
        </w:tblPrEx>
        <w:trPr>
          <w:trHeight w:val="705" w:hRule="atLeast"/>
        </w:trPr>
        <w:tc>
          <w:tcPr>
            <w:tcW w:w="11321"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无极县财政局固定资产占用情况表</w:t>
            </w:r>
          </w:p>
        </w:tc>
      </w:tr>
      <w:tr>
        <w:tblPrEx>
          <w:tblCellMar>
            <w:top w:w="0" w:type="dxa"/>
            <w:left w:w="108" w:type="dxa"/>
            <w:bottom w:w="0" w:type="dxa"/>
            <w:right w:w="108" w:type="dxa"/>
          </w:tblCellMar>
        </w:tblPrEx>
        <w:trPr>
          <w:trHeight w:val="510" w:hRule="atLeast"/>
        </w:trPr>
        <w:tc>
          <w:tcPr>
            <w:tcW w:w="6896"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无极县财政局</w:t>
            </w:r>
          </w:p>
        </w:tc>
        <w:tc>
          <w:tcPr>
            <w:tcW w:w="4425"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560" w:hRule="atLeast"/>
        </w:trPr>
        <w:tc>
          <w:tcPr>
            <w:tcW w:w="42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640"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442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80" w:hRule="atLeast"/>
        </w:trPr>
        <w:tc>
          <w:tcPr>
            <w:tcW w:w="4256"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688.7</w:t>
            </w:r>
          </w:p>
        </w:tc>
      </w:tr>
      <w:tr>
        <w:tblPrEx>
          <w:tblCellMar>
            <w:top w:w="0" w:type="dxa"/>
            <w:left w:w="108" w:type="dxa"/>
            <w:bottom w:w="0" w:type="dxa"/>
            <w:right w:w="108" w:type="dxa"/>
          </w:tblCellMar>
        </w:tblPrEx>
        <w:trPr>
          <w:trHeight w:val="52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1500</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123</w:t>
            </w:r>
          </w:p>
        </w:tc>
      </w:tr>
      <w:tr>
        <w:tblPrEx>
          <w:tblCellMar>
            <w:top w:w="0" w:type="dxa"/>
            <w:left w:w="108" w:type="dxa"/>
            <w:bottom w:w="0" w:type="dxa"/>
            <w:right w:w="108" w:type="dxa"/>
          </w:tblCellMar>
        </w:tblPrEx>
        <w:trPr>
          <w:trHeight w:val="43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1500</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123</w:t>
            </w:r>
          </w:p>
        </w:tc>
      </w:tr>
      <w:tr>
        <w:tblPrEx>
          <w:tblCellMar>
            <w:top w:w="0" w:type="dxa"/>
            <w:left w:w="108" w:type="dxa"/>
            <w:bottom w:w="0" w:type="dxa"/>
            <w:right w:w="108" w:type="dxa"/>
          </w:tblCellMar>
        </w:tblPrEx>
        <w:trPr>
          <w:trHeight w:val="480"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18</w:t>
            </w:r>
          </w:p>
        </w:tc>
      </w:tr>
      <w:tr>
        <w:tblPrEx>
          <w:tblCellMar>
            <w:top w:w="0" w:type="dxa"/>
            <w:left w:w="108" w:type="dxa"/>
            <w:bottom w:w="0" w:type="dxa"/>
            <w:right w:w="108" w:type="dxa"/>
          </w:tblCellMar>
        </w:tblPrEx>
        <w:trPr>
          <w:trHeight w:val="46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4256"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64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547.7</w:t>
            </w:r>
          </w:p>
        </w:tc>
      </w:tr>
    </w:tbl>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japaneseCounting"/>
      <w:lvlText w:val="（%1）"/>
      <w:lvlJc w:val="left"/>
      <w:pPr>
        <w:ind w:left="1789"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D292E"/>
    <w:rsid w:val="005D5327"/>
    <w:rsid w:val="006D292E"/>
    <w:rsid w:val="00E71F69"/>
    <w:rsid w:val="53957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link w:val="2"/>
    <w:semiHidden/>
    <w:uiPriority w:val="0"/>
    <w:rPr>
      <w:rFonts w:ascii="Times New Roman" w:hAnsi="Times New Roman" w:eastAsia="宋体" w:cs="Times New Roman"/>
      <w:sz w:val="18"/>
      <w:szCs w:val="18"/>
    </w:rPr>
  </w:style>
  <w:style w:type="character" w:customStyle="1" w:styleId="7">
    <w:name w:val="页眉 Char"/>
    <w:link w:val="3"/>
    <w:semiHidden/>
    <w:uiPriority w:val="0"/>
    <w:rPr>
      <w:rFonts w:ascii="Times New Roman" w:hAnsi="Times New Roman" w:eastAsia="宋体" w:cs="Times New Roman"/>
      <w:sz w:val="18"/>
      <w:szCs w:val="18"/>
    </w:rPr>
  </w:style>
  <w:style w:type="paragraph" w:customStyle="1" w:styleId="8">
    <w:name w:val="列出段落1"/>
    <w:basedOn w:val="1"/>
    <w:uiPriority w:val="0"/>
    <w:pPr>
      <w:ind w:firstLine="420" w:firstLineChars="200"/>
    </w:pPr>
  </w:style>
  <w:style w:type="paragraph" w:customStyle="1" w:styleId="9">
    <w:name w:val="[Normal]"/>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12</Pages>
  <Words>610</Words>
  <Characters>3477</Characters>
  <Lines>28</Lines>
  <Paragraphs>8</Paragraphs>
  <TotalTime>17</TotalTime>
  <ScaleCrop>false</ScaleCrop>
  <LinksUpToDate>false</LinksUpToDate>
  <CharactersWithSpaces>4079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浮生</cp:lastModifiedBy>
  <dcterms:modified xsi:type="dcterms:W3CDTF">2025-01-02T06:35:44Z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44F8B8EBA1554A599680378CDAC21F63</vt:lpwstr>
  </property>
</Properties>
</file>