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bookmarkStart w:id="5" w:name="_GoBack"/>
      <w:bookmarkEnd w:id="5"/>
      <w:r>
        <w:rPr>
          <w:rFonts w:hint="eastAsia" w:ascii="方正小标宋_GBK" w:hAnsi="Times New Roman" w:eastAsia="方正小标宋_GBK" w:cs="Times New Roman"/>
          <w:bCs/>
          <w:sz w:val="44"/>
          <w:szCs w:val="44"/>
          <w:lang w:eastAsia="zh-CN"/>
        </w:rPr>
        <w:t>河北省无极县郭庄镇</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按照《预算法》、《地方预决算公开操作规程》和《河北省省级预算公开办法》规定，现将河北省</w:t>
      </w:r>
      <w:r>
        <w:rPr>
          <w:rFonts w:hint="eastAsia" w:ascii="Times New Roman" w:hAnsi="Times New Roman" w:eastAsia="仿宋" w:cs="Times New Roman"/>
          <w:sz w:val="32"/>
          <w:szCs w:val="32"/>
          <w:lang w:eastAsia="zh-CN"/>
        </w:rPr>
        <w:t>无极县郭庄镇</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djustRightInd w:val="0"/>
        <w:snapToGrid w:val="0"/>
        <w:spacing w:line="560" w:lineRule="exact"/>
        <w:ind w:firstLine="630" w:firstLineChars="196"/>
        <w:jc w:val="left"/>
        <w:rPr>
          <w:rFonts w:hint="eastAsia" w:ascii="仿宋_GB2312" w:hAnsi="仿宋" w:eastAsia="仿宋_GB2312"/>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_GB2312" w:hAnsi="仿宋" w:eastAsia="仿宋_GB2312"/>
          <w:sz w:val="32"/>
          <w:szCs w:val="32"/>
        </w:rPr>
        <w:t>宣传、贯彻、执行党的路线方针政策和国家的法律、法规,执行本级人民代表大会的决议和上级国家行政机关的决定和命令,其主要职能为:</w:t>
      </w:r>
    </w:p>
    <w:p>
      <w:pPr>
        <w:numPr>
          <w:ilvl w:val="0"/>
          <w:numId w:val="1"/>
        </w:numPr>
        <w:adjustRightInd w:val="0"/>
        <w:snapToGrid w:val="0"/>
        <w:spacing w:line="560" w:lineRule="exact"/>
        <w:jc w:val="left"/>
        <w:rPr>
          <w:rFonts w:hint="eastAsia" w:ascii="仿宋_GB2312" w:hAnsi="仿宋" w:eastAsia="仿宋_GB2312"/>
          <w:sz w:val="32"/>
          <w:szCs w:val="32"/>
        </w:rPr>
      </w:pPr>
      <w:r>
        <w:rPr>
          <w:rFonts w:hint="eastAsia" w:ascii="仿宋_GB2312" w:hAnsi="仿宋" w:eastAsia="仿宋_GB2312"/>
          <w:sz w:val="32"/>
          <w:szCs w:val="32"/>
        </w:rPr>
        <w:t>促进经济发展</w:t>
      </w:r>
    </w:p>
    <w:p>
      <w:pPr>
        <w:adjustRightInd w:val="0"/>
        <w:snapToGrid w:val="0"/>
        <w:spacing w:line="560" w:lineRule="exact"/>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adjustRightInd w:val="0"/>
        <w:snapToGrid w:val="0"/>
        <w:spacing w:line="560" w:lineRule="exact"/>
        <w:ind w:firstLine="627" w:firstLineChars="196"/>
        <w:jc w:val="left"/>
        <w:rPr>
          <w:rFonts w:hint="eastAsia" w:ascii="仿宋_GB2312" w:hAnsi="仿宋" w:eastAsia="仿宋_GB2312"/>
          <w:sz w:val="32"/>
          <w:szCs w:val="32"/>
        </w:rPr>
      </w:pPr>
      <w:r>
        <w:rPr>
          <w:rFonts w:hint="eastAsia" w:ascii="仿宋_GB2312" w:hAnsi="仿宋" w:eastAsia="仿宋_GB2312"/>
          <w:sz w:val="32"/>
          <w:szCs w:val="32"/>
        </w:rPr>
        <w:t>2.加强社会管理</w:t>
      </w:r>
    </w:p>
    <w:p>
      <w:pPr>
        <w:adjustRightInd w:val="0"/>
        <w:snapToGrid w:val="0"/>
        <w:spacing w:line="560" w:lineRule="exact"/>
        <w:ind w:firstLine="627" w:firstLineChars="196"/>
        <w:jc w:val="left"/>
        <w:rPr>
          <w:rFonts w:hint="eastAsia" w:ascii="仿宋_GB2312" w:hAnsi="仿宋" w:eastAsia="仿宋_GB2312"/>
          <w:sz w:val="32"/>
          <w:szCs w:val="32"/>
        </w:rPr>
      </w:pPr>
      <w:r>
        <w:rPr>
          <w:rFonts w:hint="eastAsia" w:ascii="仿宋_GB2312" w:hAnsi="仿宋" w:eastAsia="仿宋_GB2312"/>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adjustRightInd w:val="0"/>
        <w:snapToGrid w:val="0"/>
        <w:spacing w:line="560" w:lineRule="exact"/>
        <w:ind w:firstLine="627" w:firstLineChars="196"/>
        <w:jc w:val="left"/>
        <w:rPr>
          <w:rFonts w:hint="eastAsia" w:ascii="仿宋_GB2312" w:hAnsi="仿宋" w:eastAsia="仿宋_GB2312"/>
          <w:sz w:val="32"/>
          <w:szCs w:val="32"/>
        </w:rPr>
      </w:pPr>
      <w:r>
        <w:rPr>
          <w:rFonts w:hint="eastAsia" w:ascii="仿宋_GB2312" w:hAnsi="仿宋" w:eastAsia="仿宋_GB2312"/>
          <w:sz w:val="32"/>
          <w:szCs w:val="32"/>
        </w:rPr>
        <w:t>3.提供公共服务</w:t>
      </w:r>
    </w:p>
    <w:p>
      <w:pPr>
        <w:adjustRightInd w:val="0"/>
        <w:snapToGrid w:val="0"/>
        <w:spacing w:line="560" w:lineRule="exact"/>
        <w:ind w:firstLine="627" w:firstLineChars="196"/>
        <w:jc w:val="left"/>
        <w:rPr>
          <w:rFonts w:hint="eastAsia" w:ascii="仿宋_GB2312" w:hAnsi="仿宋" w:eastAsia="仿宋_GB2312"/>
          <w:sz w:val="32"/>
          <w:szCs w:val="32"/>
        </w:rPr>
      </w:pPr>
      <w:r>
        <w:rPr>
          <w:rFonts w:hint="eastAsia" w:ascii="仿宋_GB2312" w:hAnsi="仿宋" w:eastAsia="仿宋_GB2312"/>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adjustRightInd w:val="0"/>
        <w:snapToGrid w:val="0"/>
        <w:spacing w:line="560" w:lineRule="exact"/>
        <w:ind w:firstLine="627" w:firstLineChars="196"/>
        <w:jc w:val="left"/>
        <w:rPr>
          <w:rFonts w:hint="eastAsia" w:ascii="仿宋_GB2312" w:hAnsi="仿宋" w:eastAsia="仿宋_GB2312"/>
          <w:sz w:val="32"/>
          <w:szCs w:val="32"/>
        </w:rPr>
      </w:pPr>
      <w:r>
        <w:rPr>
          <w:rFonts w:hint="eastAsia" w:ascii="仿宋_GB2312" w:hAnsi="仿宋" w:eastAsia="仿宋_GB2312"/>
          <w:sz w:val="32"/>
          <w:szCs w:val="32"/>
        </w:rPr>
        <w:t>4.维护农村稳定</w:t>
      </w:r>
    </w:p>
    <w:p>
      <w:pPr>
        <w:adjustRightInd w:val="0"/>
        <w:snapToGrid w:val="0"/>
        <w:spacing w:line="560" w:lineRule="exact"/>
        <w:ind w:firstLine="627" w:firstLineChars="196"/>
        <w:jc w:val="left"/>
        <w:rPr>
          <w:rFonts w:hint="eastAsia" w:ascii="仿宋_GB2312" w:hAnsi="仿宋" w:eastAsia="仿宋_GB2312"/>
          <w:sz w:val="32"/>
          <w:szCs w:val="32"/>
        </w:rPr>
      </w:pPr>
      <w:r>
        <w:rPr>
          <w:rFonts w:hint="eastAsia" w:ascii="仿宋_GB2312" w:hAnsi="仿宋" w:eastAsia="仿宋_GB2312"/>
          <w:sz w:val="32"/>
          <w:szCs w:val="32"/>
        </w:rPr>
        <w:t>主要包括:（1）做好社会治安</w:t>
      </w:r>
      <w:r>
        <w:rPr>
          <w:rFonts w:hint="eastAsia" w:ascii="仿宋_GB2312" w:hAnsi="仿宋" w:eastAsia="仿宋_GB2312"/>
          <w:sz w:val="32"/>
          <w:szCs w:val="32"/>
          <w:lang w:eastAsia="zh-CN"/>
        </w:rPr>
        <w:t>综合治理</w:t>
      </w:r>
      <w:r>
        <w:rPr>
          <w:rFonts w:hint="eastAsia" w:ascii="仿宋_GB2312" w:hAnsi="仿宋" w:eastAsia="仿宋_GB2312"/>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adjustRightInd w:val="0"/>
        <w:snapToGrid w:val="0"/>
        <w:spacing w:line="560" w:lineRule="exact"/>
        <w:ind w:firstLine="630" w:firstLineChars="196"/>
        <w:jc w:val="left"/>
        <w:rPr>
          <w:rFonts w:hint="eastAsia" w:ascii="仿宋_GB2312" w:hAnsi="仿宋" w:eastAsia="仿宋_GB2312"/>
          <w:sz w:val="32"/>
          <w:szCs w:val="32"/>
        </w:rPr>
      </w:pPr>
      <w:r>
        <w:rPr>
          <w:rFonts w:hint="eastAsia" w:ascii="仿宋" w:hAnsi="仿宋" w:eastAsia="仿宋" w:cs="Times New Roman"/>
          <w:b/>
          <w:sz w:val="32"/>
          <w:szCs w:val="32"/>
        </w:rPr>
        <w:t>机构设置：</w:t>
      </w:r>
      <w:r>
        <w:rPr>
          <w:rFonts w:hint="eastAsia" w:ascii="仿宋_GB2312" w:hAnsi="仿宋" w:eastAsia="仿宋_GB2312"/>
          <w:sz w:val="32"/>
          <w:szCs w:val="32"/>
        </w:rPr>
        <w:t>按照“三定”方案要求，本部门分别设置：无极县</w:t>
      </w:r>
      <w:r>
        <w:rPr>
          <w:rFonts w:hint="eastAsia" w:ascii="仿宋_GB2312" w:hAnsi="宋体" w:eastAsia="仿宋_GB2312"/>
          <w:sz w:val="32"/>
          <w:szCs w:val="32"/>
        </w:rPr>
        <w:t>郭庄镇</w:t>
      </w:r>
      <w:r>
        <w:rPr>
          <w:rFonts w:hint="eastAsia" w:ascii="仿宋_GB2312" w:hAnsi="仿宋" w:eastAsia="仿宋_GB2312"/>
          <w:sz w:val="32"/>
          <w:szCs w:val="32"/>
        </w:rPr>
        <w:t>政府机关（行政）、无极县</w:t>
      </w:r>
      <w:r>
        <w:rPr>
          <w:rFonts w:hint="eastAsia" w:ascii="仿宋_GB2312" w:hAnsi="宋体" w:eastAsia="仿宋_GB2312"/>
          <w:sz w:val="32"/>
          <w:szCs w:val="32"/>
        </w:rPr>
        <w:t>郭庄镇</w:t>
      </w:r>
      <w:r>
        <w:rPr>
          <w:rFonts w:hint="eastAsia" w:ascii="仿宋_GB2312" w:hAnsi="仿宋" w:eastAsia="仿宋_GB2312"/>
          <w:sz w:val="32"/>
          <w:szCs w:val="32"/>
        </w:rPr>
        <w:t>共产党机关（行政）、无极县</w:t>
      </w:r>
      <w:r>
        <w:rPr>
          <w:rFonts w:hint="eastAsia" w:ascii="仿宋_GB2312" w:hAnsi="宋体" w:eastAsia="仿宋_GB2312"/>
          <w:sz w:val="32"/>
          <w:szCs w:val="32"/>
        </w:rPr>
        <w:t>郭庄镇</w:t>
      </w:r>
      <w:r>
        <w:rPr>
          <w:rFonts w:hint="eastAsia" w:ascii="仿宋_GB2312" w:hAnsi="仿宋" w:eastAsia="仿宋_GB2312"/>
          <w:sz w:val="32"/>
          <w:szCs w:val="32"/>
        </w:rPr>
        <w:t>财政部门（事业）、无极县</w:t>
      </w:r>
      <w:r>
        <w:rPr>
          <w:rFonts w:hint="eastAsia" w:ascii="仿宋_GB2312" w:hAnsi="宋体" w:eastAsia="仿宋_GB2312"/>
          <w:sz w:val="32"/>
          <w:szCs w:val="32"/>
        </w:rPr>
        <w:t>郭庄镇</w:t>
      </w:r>
      <w:r>
        <w:rPr>
          <w:rFonts w:hint="eastAsia" w:ascii="仿宋_GB2312" w:hAnsi="仿宋" w:eastAsia="仿宋_GB2312"/>
          <w:sz w:val="32"/>
          <w:szCs w:val="32"/>
        </w:rPr>
        <w:t>计生部门（事业），以上均为全额拨款单位。</w:t>
      </w:r>
    </w:p>
    <w:p>
      <w:pPr>
        <w:adjustRightInd w:val="0"/>
        <w:snapToGrid w:val="0"/>
        <w:spacing w:line="560" w:lineRule="exact"/>
        <w:jc w:val="left"/>
        <w:rPr>
          <w:rFonts w:hint="eastAsia" w:ascii="仿宋_GB2312" w:hAnsi="仿宋" w:eastAsia="仿宋_GB2312"/>
          <w:b/>
          <w:sz w:val="32"/>
          <w:szCs w:val="32"/>
        </w:rPr>
      </w:pPr>
    </w:p>
    <w:p>
      <w:pPr>
        <w:ind w:firstLine="640" w:firstLineChars="200"/>
        <w:rPr>
          <w:rFonts w:ascii="仿宋" w:hAnsi="仿宋" w:eastAsia="仿宋" w:cs="Times New Roman"/>
          <w:b/>
          <w:sz w:val="32"/>
          <w:szCs w:val="32"/>
        </w:rPr>
      </w:pPr>
      <w:r>
        <w:rPr>
          <w:rFonts w:hint="eastAsia" w:ascii="仿宋_GB2312" w:hAnsi="宋体" w:eastAsia="仿宋_GB2312"/>
          <w:sz w:val="32"/>
          <w:szCs w:val="32"/>
        </w:rPr>
        <w:t>郭庄镇机构设置见下表：</w:t>
      </w:r>
    </w:p>
    <w:tbl>
      <w:tblPr>
        <w:tblStyle w:val="7"/>
        <w:tblW w:w="87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481"/>
        <w:gridCol w:w="1099"/>
        <w:gridCol w:w="1320"/>
        <w:gridCol w:w="2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8760" w:type="dxa"/>
            <w:gridSpan w:val="4"/>
            <w:tcBorders>
              <w:top w:val="nil"/>
              <w:left w:val="nil"/>
              <w:bottom w:val="nil"/>
              <w:right w:val="nil"/>
            </w:tcBorders>
            <w:vAlign w:val="center"/>
          </w:tcPr>
          <w:p>
            <w:pPr>
              <w:widowControl/>
              <w:spacing w:line="560" w:lineRule="exact"/>
              <w:jc w:val="center"/>
              <w:rPr>
                <w:rFonts w:ascii="宋体" w:hAnsi="宋体" w:cs="宋体"/>
                <w:b/>
                <w:bCs/>
                <w:kern w:val="0"/>
                <w:sz w:val="36"/>
                <w:szCs w:val="36"/>
              </w:rPr>
            </w:pPr>
            <w:r>
              <w:rPr>
                <w:rFonts w:hint="eastAsia" w:ascii="宋体" w:hAnsi="宋体" w:cs="宋体"/>
                <w:b/>
                <w:bCs/>
                <w:kern w:val="0"/>
                <w:sz w:val="36"/>
                <w:szCs w:val="36"/>
              </w:rPr>
              <w:t>部门机构设置情况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481" w:type="dxa"/>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单位名称</w:t>
            </w:r>
          </w:p>
        </w:tc>
        <w:tc>
          <w:tcPr>
            <w:tcW w:w="1099"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单位性质</w:t>
            </w:r>
          </w:p>
        </w:tc>
        <w:tc>
          <w:tcPr>
            <w:tcW w:w="132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单位规格</w:t>
            </w:r>
          </w:p>
        </w:tc>
        <w:tc>
          <w:tcPr>
            <w:tcW w:w="286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经费保障形式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无极县郭庄镇政府机关</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无极县郭庄镇共产党机关</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无极县郭庄镇财政部门</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无极县郭庄镇计生部门</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8760" w:type="dxa"/>
            <w:gridSpan w:val="4"/>
            <w:tcBorders>
              <w:top w:val="nil"/>
              <w:left w:val="nil"/>
              <w:bottom w:val="nil"/>
              <w:right w:val="nil"/>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备注：乡镇没有下属单位，按职能划分为政府、党委、财政、计生等部门，预决算统一在政府编制。</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，即全部收入和支出都反映的预算中。河北省</w:t>
      </w:r>
      <w:r>
        <w:rPr>
          <w:rFonts w:hint="eastAsia" w:ascii="Times New Roman" w:hAnsi="Times New Roman" w:eastAsia="仿宋" w:cs="Times New Roman"/>
          <w:sz w:val="32"/>
          <w:szCs w:val="32"/>
          <w:lang w:eastAsia="zh-CN"/>
        </w:rPr>
        <w:t>无极县郭庄镇</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519.44</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519.44</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河北省无极县郭庄镇</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519.44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519.44</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476.38</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43.06</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工资福利</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454.42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对个人和家庭的补助</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21.96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商品和服务支出</w:t>
      </w:r>
      <w:r>
        <w:rPr>
          <w:rFonts w:hint="eastAsia" w:ascii="Times New Roman" w:hAnsi="Times New Roman" w:eastAsia="仿宋" w:cs="Times New Roman"/>
          <w:sz w:val="32"/>
          <w:szCs w:val="32"/>
          <w:lang w:val="en-US" w:eastAsia="zh-CN"/>
        </w:rPr>
        <w:t>43.06</w:t>
      </w:r>
      <w:r>
        <w:rPr>
          <w:rFonts w:hint="eastAsia" w:ascii="Times New Roman" w:hAnsi="Times New Roman" w:eastAsia="仿宋" w:cs="Times New Roman"/>
          <w:sz w:val="32"/>
          <w:szCs w:val="32"/>
        </w:rPr>
        <w:t>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519.44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color w:val="auto"/>
          <w:sz w:val="32"/>
          <w:szCs w:val="32"/>
          <w:lang w:val="en-US" w:eastAsia="zh-CN"/>
        </w:rPr>
        <w:t>604.23</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29.73</w:t>
      </w:r>
      <w:r>
        <w:rPr>
          <w:rFonts w:hint="eastAsia" w:ascii="Times New Roman" w:hAnsi="Times New Roman" w:eastAsia="仿宋" w:cs="Times New Roman"/>
          <w:sz w:val="32"/>
          <w:szCs w:val="32"/>
        </w:rPr>
        <w:t>万元，主要是人员减少，相应减少人员经费和日常公用经费；项目支出</w:t>
      </w:r>
      <w:r>
        <w:rPr>
          <w:rFonts w:hint="eastAsia" w:ascii="Times New Roman" w:hAnsi="Times New Roman" w:eastAsia="仿宋" w:cs="Times New Roman"/>
          <w:sz w:val="32"/>
          <w:szCs w:val="32"/>
          <w:lang w:eastAsia="zh-CN"/>
        </w:rPr>
        <w:t>减少</w:t>
      </w:r>
      <w:r>
        <w:rPr>
          <w:rFonts w:hint="eastAsia" w:ascii="仿宋_GB2312" w:hAnsi="仿宋" w:eastAsia="仿宋_GB2312"/>
          <w:sz w:val="32"/>
          <w:szCs w:val="32"/>
        </w:rPr>
        <w:t>574.5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2020年无项目预算</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43.06</w:t>
      </w:r>
      <w:r>
        <w:rPr>
          <w:rFonts w:hint="eastAsia" w:ascii="Times New Roman" w:hAnsi="Times New Roman" w:eastAsia="仿宋" w:cs="Times New Roman"/>
          <w:sz w:val="32"/>
          <w:szCs w:val="32"/>
        </w:rPr>
        <w:t>万元，主要用于保证机关正常运转的办公及</w:t>
      </w:r>
      <w:r>
        <w:rPr>
          <w:rFonts w:hint="eastAsia" w:ascii="Times New Roman" w:hAnsi="Times New Roman" w:eastAsia="仿宋" w:cs="Times New Roman"/>
          <w:sz w:val="32"/>
          <w:szCs w:val="32"/>
          <w:lang w:eastAsia="zh-CN"/>
        </w:rPr>
        <w:t>水费、电费、</w:t>
      </w:r>
      <w:r>
        <w:rPr>
          <w:rFonts w:hint="eastAsia" w:ascii="Times New Roman" w:hAnsi="Times New Roman" w:eastAsia="仿宋" w:cs="Times New Roman"/>
          <w:sz w:val="32"/>
          <w:szCs w:val="32"/>
        </w:rPr>
        <w:t>邮电费、差旅费、专用材料</w:t>
      </w:r>
      <w:r>
        <w:rPr>
          <w:rFonts w:hint="eastAsia" w:ascii="Times New Roman" w:hAnsi="Times New Roman" w:eastAsia="仿宋" w:cs="Times New Roman"/>
          <w:sz w:val="32"/>
          <w:szCs w:val="32"/>
          <w:lang w:eastAsia="zh-CN"/>
        </w:rPr>
        <w:t>、劳务费、工会经费</w:t>
      </w:r>
      <w:r>
        <w:rPr>
          <w:rFonts w:hint="eastAsia" w:ascii="Times New Roman" w:hAnsi="Times New Roman" w:eastAsia="仿宋" w:cs="Times New Roman"/>
          <w:sz w:val="32"/>
          <w:szCs w:val="32"/>
        </w:rPr>
        <w:t>、公务车运行维护费等支出。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60" w:lineRule="exact"/>
        <w:ind w:firstLine="560"/>
        <w:rPr>
          <w:rFonts w:hint="eastAsia" w:ascii="仿宋_GB2312" w:hAnsi="仿宋" w:eastAsia="仿宋_GB2312"/>
          <w:sz w:val="32"/>
          <w:szCs w:val="32"/>
        </w:rPr>
      </w:pPr>
      <w:r>
        <w:rPr>
          <w:rFonts w:hint="eastAsia" w:ascii="仿宋_GB2312" w:hAnsi="仿宋" w:eastAsia="仿宋_GB2312"/>
          <w:sz w:val="32"/>
          <w:szCs w:val="32"/>
        </w:rPr>
        <w:t xml:space="preserve">1．进一步转变政府职能    </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 xml:space="preserve">依法全面履行政府职能。注重强化社会管理职能和公共服务职能。充分发挥市场配置资源的基础性作用，主要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做基础。  </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完善乡镇政府管理体制。 进一步完善政府管理体制，合理划分和依法规范行政机关的职能、权限。加强乡镇政府在社会管理和公共服务方面的属地化管理职责，积极推进乡镇改革。</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 xml:space="preserve">2、努力提高行政效率 </w:t>
      </w:r>
    </w:p>
    <w:p>
      <w:pPr>
        <w:spacing w:line="560" w:lineRule="exact"/>
        <w:ind w:firstLine="560"/>
        <w:rPr>
          <w:rFonts w:hint="eastAsia" w:ascii="仿宋_GB2312" w:hAnsi="仿宋" w:eastAsia="仿宋_GB2312"/>
          <w:sz w:val="32"/>
          <w:szCs w:val="32"/>
        </w:rPr>
      </w:pPr>
      <w:r>
        <w:rPr>
          <w:rFonts w:hint="eastAsia" w:ascii="仿宋_GB2312" w:hAnsi="仿宋" w:eastAsia="仿宋_GB2312"/>
          <w:sz w:val="32"/>
          <w:szCs w:val="32"/>
        </w:rPr>
        <w:t xml:space="preserve">健全科学的决策和执行机制。 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  </w:t>
      </w:r>
    </w:p>
    <w:p>
      <w:pPr>
        <w:spacing w:line="560" w:lineRule="exact"/>
        <w:ind w:firstLine="560"/>
        <w:rPr>
          <w:rFonts w:hint="eastAsia" w:ascii="仿宋_GB2312" w:hAnsi="仿宋" w:eastAsia="仿宋_GB2312"/>
          <w:sz w:val="32"/>
          <w:szCs w:val="32"/>
        </w:rPr>
      </w:pPr>
      <w:r>
        <w:rPr>
          <w:rFonts w:hint="eastAsia" w:ascii="仿宋_GB2312" w:hAnsi="仿宋" w:eastAsia="仿宋_GB2312"/>
          <w:sz w:val="32"/>
          <w:szCs w:val="32"/>
        </w:rPr>
        <w:t xml:space="preserve">3、全面推进依法行政 </w:t>
      </w:r>
    </w:p>
    <w:p>
      <w:pPr>
        <w:spacing w:line="560" w:lineRule="exact"/>
        <w:ind w:firstLine="561"/>
        <w:rPr>
          <w:rFonts w:hint="eastAsia" w:ascii="仿宋_GB2312" w:hAnsi="仿宋" w:eastAsia="仿宋_GB2312"/>
          <w:sz w:val="32"/>
          <w:szCs w:val="32"/>
        </w:rPr>
      </w:pPr>
      <w:r>
        <w:rPr>
          <w:rFonts w:hint="eastAsia" w:ascii="仿宋_GB2312" w:hAnsi="仿宋" w:eastAsia="仿宋_GB2312"/>
          <w:sz w:val="32"/>
          <w:szCs w:val="32"/>
        </w:rPr>
        <w:t xml:space="preserve">加强依法行政制度建设。 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 </w:t>
      </w:r>
    </w:p>
    <w:p>
      <w:pPr>
        <w:spacing w:line="560" w:lineRule="exact"/>
        <w:ind w:firstLine="660"/>
        <w:rPr>
          <w:rFonts w:hint="eastAsia" w:ascii="仿宋" w:hAnsi="仿宋" w:eastAsia="仿宋"/>
          <w:sz w:val="32"/>
          <w:szCs w:val="32"/>
        </w:rPr>
      </w:pPr>
      <w:r>
        <w:rPr>
          <w:rFonts w:hint="eastAsia" w:ascii="仿宋_GB2312" w:hAnsi="仿宋" w:eastAsia="仿宋_GB2312"/>
          <w:sz w:val="32"/>
          <w:szCs w:val="32"/>
        </w:rPr>
        <w:t>深入推进政府信息公开。 按照“以公开为原则、不公开为例外 ” 的总体要求，深化政府信息公开制度建设，拓宽公开范围和渠道，建立和落实政府信息公开争议解决机制和监督机制，为社会提供公开、透明、高效的公共服务</w:t>
      </w:r>
      <w:r>
        <w:rPr>
          <w:rFonts w:ascii="仿宋" w:hAnsi="仿宋" w:eastAsia="仿宋"/>
          <w:sz w:val="32"/>
          <w:szCs w:val="32"/>
        </w:rPr>
        <w:t>。</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hint="eastAsia" w:ascii="Times New Roman" w:hAnsi="Times New Roman" w:eastAsia="仿宋" w:cs="Times New Roman"/>
          <w:sz w:val="32"/>
          <w:szCs w:val="32"/>
          <w:lang w:eastAsia="zh-CN"/>
        </w:rPr>
        <w:t>经济管理</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绩效目标：搞好产业规划，组织做好招商引资工作，做好引进项目的跟踪服务后续工作，引导农村经济发展，配合民政、商务和供销社、农口等部门做好技术推广和服务工作</w:t>
      </w:r>
      <w:r>
        <w:rPr>
          <w:rFonts w:hint="eastAsia" w:ascii="Times New Roman" w:hAnsi="Times New Roman" w:eastAsia="仿宋" w:cs="Times New Roman"/>
          <w:sz w:val="32"/>
          <w:szCs w:val="32"/>
          <w:lang w:eastAsia="zh-CN"/>
        </w:rPr>
        <w:t>。</w:t>
      </w:r>
    </w:p>
    <w:p>
      <w:pPr>
        <w:autoSpaceDE w:val="0"/>
        <w:autoSpaceDN w:val="0"/>
        <w:adjustRightInd w:val="0"/>
        <w:ind w:left="198" w:firstLine="640" w:firstLineChars="200"/>
        <w:jc w:val="left"/>
        <w:rPr>
          <w:rFonts w:hint="eastAsia" w:ascii="方正书宋_GBK" w:eastAsia="方正书宋_GBK"/>
        </w:rPr>
      </w:pPr>
      <w:r>
        <w:rPr>
          <w:rFonts w:hint="eastAsia" w:ascii="Times New Roman" w:hAnsi="Times New Roman" w:eastAsia="仿宋" w:cs="Times New Roman"/>
          <w:sz w:val="32"/>
          <w:szCs w:val="32"/>
        </w:rPr>
        <w:t>绩效指标：同比增长率</w:t>
      </w:r>
      <w:r>
        <w:rPr>
          <w:rFonts w:hint="eastAsia" w:ascii="Times New Roman" w:hAnsi="Times New Roman" w:eastAsia="仿宋" w:cs="Times New Roman"/>
          <w:sz w:val="32"/>
          <w:szCs w:val="32"/>
          <w:lang w:eastAsia="zh-CN"/>
        </w:rPr>
        <w:t>。</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2、社会管理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绩效目标：基础工作做实，完成相关部门各项工作，促进经济社会又好又快发展，维护社会和谐稳定</w:t>
      </w:r>
      <w:r>
        <w:rPr>
          <w:rFonts w:hint="eastAsia" w:ascii="Times New Roman" w:hAnsi="Times New Roman" w:eastAsia="仿宋" w:cs="Times New Roman"/>
          <w:sz w:val="32"/>
          <w:szCs w:val="32"/>
          <w:lang w:eastAsia="zh-CN"/>
        </w:rPr>
        <w:t>。</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w:t>
      </w:r>
      <w:r>
        <w:rPr>
          <w:rFonts w:hint="eastAsia" w:ascii="Times New Roman" w:hAnsi="Times New Roman" w:eastAsia="仿宋" w:cs="Times New Roman"/>
          <w:sz w:val="32"/>
          <w:szCs w:val="32"/>
          <w:lang w:eastAsia="zh-CN"/>
        </w:rPr>
        <w:t>各项事务完成率，村民满意度。</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3、公共服务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绩效目标：满足农民对公共服务的实际需求。</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w:t>
      </w:r>
      <w:r>
        <w:rPr>
          <w:rFonts w:hint="eastAsia" w:ascii="Times New Roman" w:hAnsi="Times New Roman" w:eastAsia="仿宋" w:cs="Times New Roman"/>
          <w:sz w:val="32"/>
          <w:szCs w:val="32"/>
          <w:lang w:eastAsia="zh-CN"/>
        </w:rPr>
        <w:t>村民满意度。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4、维护稳定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绩效目标：提高治安防范整体水平；预防和减少重大矛盾纠纷和群体性事件的发生，提高农民法律意识和法律素养。</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w:t>
      </w:r>
      <w:r>
        <w:rPr>
          <w:rFonts w:hint="eastAsia" w:ascii="Times New Roman" w:hAnsi="Times New Roman" w:eastAsia="仿宋" w:cs="Times New Roman"/>
          <w:sz w:val="32"/>
          <w:szCs w:val="32"/>
          <w:lang w:eastAsia="zh-CN"/>
        </w:rPr>
        <w:t>安全隐患排查率</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普法率等。</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5、扶贫开发项目管理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绩效目标：按照精准扶贫、精准脱贫要求，大力实施扶贫工程和产业化扶贫项目，提高资金使用效益，保证扶贫帮困效果，确保贫困群众稳定增收，确保农村贫困人口按计划稳定脱贫。</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绩效指标： </w:t>
      </w:r>
      <w:r>
        <w:rPr>
          <w:rFonts w:hint="eastAsia" w:ascii="Times New Roman" w:hAnsi="Times New Roman" w:eastAsia="仿宋" w:cs="Times New Roman"/>
          <w:sz w:val="32"/>
          <w:szCs w:val="32"/>
          <w:lang w:val="en-US" w:eastAsia="zh-CN"/>
        </w:rPr>
        <w:t>工作完成率。</w:t>
      </w:r>
    </w:p>
    <w:p>
      <w:pPr>
        <w:autoSpaceDE w:val="0"/>
        <w:autoSpaceDN w:val="0"/>
        <w:adjustRightInd w:val="0"/>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autoSpaceDE w:val="0"/>
        <w:autoSpaceDN w:val="0"/>
        <w:adjustRightInd w:val="0"/>
        <w:jc w:val="left"/>
        <w:rPr>
          <w:rFonts w:hint="eastAsia" w:ascii="方正仿宋_GBK" w:eastAsia="方正仿宋_GBK"/>
          <w:b/>
          <w:sz w:val="28"/>
          <w:lang w:val="en-US" w:eastAsia="zh-CN"/>
        </w:rPr>
      </w:pPr>
      <w:r>
        <w:rPr>
          <w:rFonts w:hint="eastAsia" w:ascii="方正仿宋_GBK" w:eastAsia="方正仿宋_GBK"/>
          <w:b/>
          <w:sz w:val="28"/>
          <w:lang w:val="en-US" w:eastAsia="zh-CN"/>
        </w:rPr>
        <w:t>一、经济管理</w:t>
      </w:r>
    </w:p>
    <w:tbl>
      <w:tblPr>
        <w:tblStyle w:val="7"/>
        <w:tblpPr w:leftFromText="180" w:rightFromText="180" w:vertAnchor="text" w:horzAnchor="page" w:tblpXSpec="center" w:tblpY="511"/>
        <w:tblOverlap w:val="never"/>
        <w:tblW w:w="94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0"/>
        <w:gridCol w:w="6728"/>
        <w:gridCol w:w="15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868"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567"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95"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lang w:val="en-US" w:eastAsia="zh-CN"/>
              </w:rPr>
              <w:t>1.</w:t>
            </w:r>
            <w:r>
              <w:rPr>
                <w:rFonts w:hint="eastAsia" w:ascii="方正书宋_GBK" w:eastAsia="方正书宋_GBK"/>
              </w:rPr>
              <w:t>搞好产业规划，组织做好招商引资工作，做好引进项目的跟踪服务后续工作</w:t>
            </w:r>
            <w:r>
              <w:rPr>
                <w:rFonts w:hint="eastAsia" w:ascii="方正书宋_GBK" w:eastAsia="方正书宋_GBK"/>
                <w:lang w:eastAsia="zh-CN"/>
              </w:rPr>
              <w:t>。</w:t>
            </w:r>
            <w:r>
              <w:rPr>
                <w:rFonts w:hint="eastAsia" w:ascii="方正书宋_GBK" w:eastAsia="方正书宋_GBK"/>
                <w:lang w:val="en-US" w:eastAsia="zh-CN"/>
              </w:rPr>
              <w:t>2.</w:t>
            </w:r>
            <w:r>
              <w:rPr>
                <w:rFonts w:hint="eastAsia" w:ascii="方正书宋_GBK" w:eastAsia="方正书宋_GBK"/>
              </w:rPr>
              <w:t>引导农村经济发展，配合民政、商务和供销社、农口等部门做好技术推广和服务工作</w:t>
            </w:r>
            <w:r>
              <w:rPr>
                <w:rFonts w:hint="eastAsia" w:ascii="方正书宋_GBK" w:eastAsia="方正书宋_GBK"/>
                <w:lang w:eastAsia="zh-CN"/>
              </w:rPr>
              <w:t>。</w:t>
            </w:r>
          </w:p>
        </w:tc>
      </w:tr>
    </w:tbl>
    <w:tbl>
      <w:tblPr>
        <w:tblStyle w:val="7"/>
        <w:tblpPr w:leftFromText="180" w:rightFromText="180" w:vertAnchor="text" w:horzAnchor="page" w:tblpXSpec="center" w:tblpY="983"/>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计划完成</w:t>
            </w:r>
            <w:r>
              <w:rPr>
                <w:rFonts w:hint="eastAsia" w:ascii="方正书宋_GBK" w:eastAsia="方正书宋_GBK"/>
              </w:rPr>
              <w:t>数量</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计划目标完成率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w:t>
            </w:r>
            <w:r>
              <w:rPr>
                <w:rFonts w:hint="eastAsia" w:ascii="方正书宋_GBK" w:eastAsia="方正书宋_GBK"/>
                <w:lang w:eastAsia="zh-CN"/>
              </w:rPr>
              <w:t>制定目标</w:t>
            </w:r>
            <w:r>
              <w:rPr>
                <w:rFonts w:hint="eastAsia" w:ascii="方正书宋_GBK" w:eastAsia="方正书宋_GBK"/>
              </w:rPr>
              <w:t>第三方绩效评估工作的完成情况</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年12月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资金绩效</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通过第三方绩效评估，发现被评估的财政专项资金存在的问题，提高资金使用绩效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资金使用绩效提高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群众</w:t>
            </w:r>
            <w:r>
              <w:rPr>
                <w:rFonts w:hint="eastAsia" w:ascii="方正书宋_GBK" w:eastAsia="方正书宋_GBK"/>
              </w:rPr>
              <w:t>满意度</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autoSpaceDE w:val="0"/>
        <w:autoSpaceDN w:val="0"/>
        <w:adjustRightInd w:val="0"/>
        <w:jc w:val="left"/>
        <w:rPr>
          <w:rFonts w:hint="eastAsia" w:ascii="方正仿宋_GBK" w:eastAsia="方正仿宋_GBK"/>
          <w:b/>
          <w:sz w:val="28"/>
          <w:lang w:val="en-US" w:eastAsia="zh-CN"/>
        </w:rPr>
      </w:pPr>
    </w:p>
    <w:p>
      <w:pPr>
        <w:numPr>
          <w:ilvl w:val="0"/>
          <w:numId w:val="2"/>
        </w:numPr>
        <w:autoSpaceDE w:val="0"/>
        <w:autoSpaceDN w:val="0"/>
        <w:adjustRightInd w:val="0"/>
        <w:jc w:val="left"/>
        <w:rPr>
          <w:rFonts w:hint="eastAsia" w:ascii="方正仿宋_GBK" w:eastAsia="方正仿宋_GBK"/>
          <w:b/>
          <w:sz w:val="28"/>
          <w:lang w:val="en-US" w:eastAsia="zh-CN"/>
        </w:rPr>
      </w:pPr>
      <w:r>
        <w:rPr>
          <w:rFonts w:hint="eastAsia" w:ascii="方正仿宋_GBK" w:eastAsia="方正仿宋_GBK"/>
          <w:b/>
          <w:sz w:val="28"/>
          <w:lang w:val="en-US" w:eastAsia="zh-CN"/>
        </w:rPr>
        <w:t>社会管理</w:t>
      </w:r>
    </w:p>
    <w:p>
      <w:pPr>
        <w:numPr>
          <w:ilvl w:val="0"/>
          <w:numId w:val="2"/>
        </w:numPr>
        <w:autoSpaceDE w:val="0"/>
        <w:autoSpaceDN w:val="0"/>
        <w:adjustRightInd w:val="0"/>
        <w:jc w:val="left"/>
        <w:rPr>
          <w:rFonts w:hint="eastAsia" w:ascii="方正仿宋_GBK" w:eastAsia="方正仿宋_GBK"/>
          <w:b/>
          <w:sz w:val="28"/>
          <w:lang w:val="en-US" w:eastAsia="zh-CN"/>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hint="eastAsia" w:ascii="方正书宋_GBK" w:eastAsia="方正书宋_GBK"/>
              </w:rPr>
              <w:t>督查安全生产隐患排查治理到位，非法违法行为得到有效遏制，安全生产法治秩序得到进一步完善，遏制重大安全生产事故，全镇安全生产形势持续稳定好转。及时部署全镇安全生产工作，传达部署国家、省、市关于安全生产工作的要求，研究协调解决安全生产工作中的重大问题。</w:t>
            </w:r>
          </w:p>
        </w:tc>
      </w:tr>
    </w:tbl>
    <w:tbl>
      <w:tblPr>
        <w:tblStyle w:val="7"/>
        <w:tblpPr w:leftFromText="180" w:rightFromText="180" w:vertAnchor="text" w:horzAnchor="page" w:tblpXSpec="center" w:tblpY="17"/>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符合安全规定要求</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891" w:type="dxa"/>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项目完工时间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lang w:eastAsia="zh-CN"/>
              </w:rPr>
              <w:t>数量</w:t>
            </w:r>
            <w:r>
              <w:rPr>
                <w:rFonts w:hint="eastAsia" w:ascii="方正书宋_GBK" w:eastAsia="方正书宋_GBK"/>
              </w:rPr>
              <w:t>指标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检查数量</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安全检查数量比率</w:t>
            </w:r>
          </w:p>
        </w:tc>
        <w:tc>
          <w:tcPr>
            <w:tcW w:w="127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安全</w:t>
            </w:r>
            <w:r>
              <w:rPr>
                <w:rFonts w:hint="eastAsia" w:ascii="方正书宋_GBK" w:eastAsia="方正书宋_GBK"/>
              </w:rPr>
              <w:t>认知度</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群众接受安全普法教育程度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安全</w:t>
            </w:r>
            <w:r>
              <w:rPr>
                <w:rFonts w:hint="eastAsia" w:ascii="方正书宋_GBK" w:eastAsia="方正书宋_GBK"/>
              </w:rPr>
              <w:t>认知度提高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企业</w:t>
            </w:r>
            <w:r>
              <w:rPr>
                <w:rFonts w:hint="eastAsia" w:ascii="方正书宋_GBK" w:eastAsia="方正书宋_GBK"/>
              </w:rPr>
              <w:t>人员满意度；</w:t>
            </w:r>
            <w:r>
              <w:rPr>
                <w:rFonts w:hint="eastAsia" w:ascii="方正书宋_GBK" w:eastAsia="方正书宋_GBK"/>
                <w:lang w:eastAsia="zh-CN"/>
              </w:rPr>
              <w:t>群众</w:t>
            </w:r>
            <w:r>
              <w:rPr>
                <w:rFonts w:hint="eastAsia" w:ascii="方正书宋_GBK" w:eastAsia="方正书宋_GBK"/>
              </w:rPr>
              <w:t>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lang w:eastAsia="zh-CN"/>
              </w:rPr>
              <w:t>抽查查</w:t>
            </w:r>
            <w:r>
              <w:rPr>
                <w:rFonts w:hint="eastAsia" w:ascii="方正书宋_GBK" w:eastAsia="方正书宋_GBK"/>
              </w:rPr>
              <w:t>的满意</w:t>
            </w:r>
            <w:r>
              <w:rPr>
                <w:rFonts w:hint="eastAsia" w:ascii="方正书宋_GBK" w:eastAsia="方正书宋_GBK"/>
                <w:lang w:eastAsia="zh-CN"/>
              </w:rPr>
              <w:t>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jc w:val="left"/>
        <w:outlineLvl w:val="1"/>
        <w:rPr>
          <w:rFonts w:hint="eastAsia" w:ascii="方正仿宋_GBK" w:eastAsia="方正仿宋_GBK"/>
          <w:b/>
          <w:sz w:val="28"/>
          <w:lang w:eastAsia="zh-CN"/>
        </w:rPr>
      </w:pPr>
    </w:p>
    <w:p>
      <w:pPr>
        <w:jc w:val="left"/>
        <w:outlineLvl w:val="1"/>
        <w:rPr>
          <w:rFonts w:hint="eastAsia" w:ascii="方正仿宋_GBK" w:eastAsia="方正仿宋_GBK"/>
          <w:b/>
          <w:sz w:val="28"/>
          <w:lang w:eastAsia="zh-CN"/>
        </w:rPr>
      </w:pPr>
      <w:r>
        <w:rPr>
          <w:rFonts w:hint="eastAsia" w:ascii="方正仿宋_GBK" w:eastAsia="方正仿宋_GBK"/>
          <w:b/>
          <w:sz w:val="28"/>
          <w:lang w:eastAsia="zh-CN"/>
        </w:rPr>
        <w:t>三、公共服务</w:t>
      </w:r>
    </w:p>
    <w:tbl>
      <w:tblPr>
        <w:tblStyle w:val="7"/>
        <w:tblpPr w:leftFromText="180" w:rightFromText="180" w:vertAnchor="text" w:horzAnchor="page" w:tblpXSpec="center" w:tblpY="67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auto" w:sz="4" w:space="0"/>
              <w:left w:val="single" w:color="auto" w:sz="4" w:space="0"/>
              <w:bottom w:val="single" w:color="auto" w:sz="4"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top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满足农民对公共服务的实际需求</w:t>
            </w:r>
            <w:r>
              <w:rPr>
                <w:rFonts w:hint="eastAsia" w:ascii="方正书宋_GBK" w:eastAsia="方正书宋_GBK"/>
                <w:lang w:eastAsia="zh-CN"/>
              </w:rPr>
              <w:t>。</w:t>
            </w:r>
          </w:p>
        </w:tc>
      </w:tr>
    </w:tbl>
    <w:tbl>
      <w:tblPr>
        <w:tblStyle w:val="7"/>
        <w:tblpPr w:leftFromText="180" w:rightFromText="180" w:vertAnchor="text" w:horzAnchor="page" w:tblpXSpec="center" w:tblpY="6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计划完成</w:t>
            </w:r>
            <w:r>
              <w:rPr>
                <w:rFonts w:hint="eastAsia" w:ascii="方正书宋_GBK" w:eastAsia="方正书宋_GBK"/>
              </w:rPr>
              <w:t>数量</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计划目标完成率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w:t>
            </w:r>
            <w:r>
              <w:rPr>
                <w:rFonts w:hint="eastAsia" w:ascii="方正书宋_GBK" w:eastAsia="方正书宋_GBK"/>
                <w:lang w:eastAsia="zh-CN"/>
              </w:rPr>
              <w:t>制定目标</w:t>
            </w:r>
            <w:r>
              <w:rPr>
                <w:rFonts w:hint="eastAsia" w:ascii="方正书宋_GBK" w:eastAsia="方正书宋_GBK"/>
              </w:rPr>
              <w:t>第三方绩效评估工作的完成情况</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年12月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满足人们对公共服务需求</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计划实施落实率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群众</w:t>
            </w:r>
            <w:r>
              <w:rPr>
                <w:rFonts w:hint="eastAsia" w:ascii="方正书宋_GBK" w:eastAsia="方正书宋_GBK"/>
              </w:rPr>
              <w:t>满意度</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jc w:val="left"/>
        <w:outlineLvl w:val="1"/>
        <w:rPr>
          <w:rFonts w:hint="eastAsia" w:ascii="方正仿宋_GBK" w:hAnsi="Calibri" w:eastAsia="方正仿宋_GBK" w:cs="黑体"/>
          <w:b/>
          <w:kern w:val="2"/>
          <w:sz w:val="28"/>
          <w:szCs w:val="22"/>
          <w:lang w:val="en-US" w:eastAsia="zh-CN" w:bidi="ar-SA"/>
        </w:rPr>
      </w:pPr>
      <w:r>
        <w:rPr>
          <w:rFonts w:hint="eastAsia" w:ascii="方正仿宋_GBK" w:eastAsia="方正仿宋_GBK"/>
          <w:b/>
          <w:sz w:val="28"/>
        </w:rPr>
        <w:t xml:space="preserve">  </w:t>
      </w:r>
    </w:p>
    <w:p>
      <w:pPr>
        <w:tabs>
          <w:tab w:val="left" w:pos="1047"/>
        </w:tabs>
        <w:jc w:val="left"/>
        <w:rPr>
          <w:rFonts w:hint="eastAsia" w:ascii="方正仿宋_GBK" w:eastAsia="方正仿宋_GBK"/>
          <w:b/>
          <w:sz w:val="28"/>
          <w:lang w:val="en-US" w:eastAsia="zh-CN"/>
        </w:rPr>
      </w:pPr>
      <w:r>
        <w:rPr>
          <w:rFonts w:hint="eastAsia"/>
          <w:lang w:val="en-US" w:eastAsia="zh-CN"/>
        </w:rPr>
        <w:t xml:space="preserve"> </w:t>
      </w:r>
      <w:r>
        <w:rPr>
          <w:rFonts w:hint="eastAsia" w:ascii="方正仿宋_GBK" w:eastAsia="方正仿宋_GBK"/>
          <w:b/>
          <w:sz w:val="28"/>
          <w:lang w:val="en-US" w:eastAsia="zh-CN"/>
        </w:rPr>
        <w:t xml:space="preserve"> </w:t>
      </w:r>
    </w:p>
    <w:p>
      <w:pPr>
        <w:tabs>
          <w:tab w:val="left" w:pos="1047"/>
        </w:tabs>
        <w:jc w:val="left"/>
        <w:rPr>
          <w:rFonts w:hint="eastAsia"/>
          <w:lang w:val="en-US" w:eastAsia="zh-CN"/>
        </w:rPr>
      </w:pPr>
      <w:r>
        <w:rPr>
          <w:rFonts w:hint="eastAsia" w:ascii="方正仿宋_GBK" w:eastAsia="方正仿宋_GBK"/>
          <w:b/>
          <w:sz w:val="28"/>
          <w:lang w:val="en-US" w:eastAsia="zh-CN"/>
        </w:rPr>
        <w:t xml:space="preserve"> 四、维护稳定</w:t>
      </w:r>
    </w:p>
    <w:tbl>
      <w:tblPr>
        <w:tblStyle w:val="7"/>
        <w:tblpPr w:leftFromText="180" w:rightFromText="180" w:vertAnchor="text" w:horzAnchor="page" w:tblpXSpec="center" w:tblpY="67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auto" w:sz="4" w:space="0"/>
              <w:left w:val="single" w:color="auto" w:sz="4" w:space="0"/>
              <w:bottom w:val="single" w:color="auto" w:sz="4"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top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提高治安防范整体水平；预防和减少重大矛盾纠纷和群体性事件的发生，提高农民法律意识和法律素养。</w:t>
            </w:r>
          </w:p>
        </w:tc>
      </w:tr>
    </w:tbl>
    <w:tbl>
      <w:tblPr>
        <w:tblStyle w:val="7"/>
        <w:tblpPr w:leftFromText="180" w:rightFromText="180" w:vertAnchor="text" w:horzAnchor="page" w:tblpX="1342" w:tblpY="1316"/>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计划宣传</w:t>
            </w:r>
            <w:r>
              <w:rPr>
                <w:rFonts w:hint="eastAsia" w:ascii="方正书宋_GBK" w:eastAsia="方正书宋_GBK"/>
              </w:rPr>
              <w:t>数量</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计划目标完成率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社会稳定</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无重大事故发生</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2020年全年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年12月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法律意识、素养提升</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计划实施落实率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群众</w:t>
            </w:r>
            <w:r>
              <w:rPr>
                <w:rFonts w:hint="eastAsia" w:ascii="方正书宋_GBK" w:eastAsia="方正书宋_GBK"/>
              </w:rPr>
              <w:t>满意度</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tabs>
          <w:tab w:val="left" w:pos="1047"/>
        </w:tabs>
        <w:jc w:val="left"/>
        <w:rPr>
          <w:rFonts w:hint="eastAsia"/>
          <w:lang w:val="en-US" w:eastAsia="zh-CN"/>
        </w:rPr>
      </w:pPr>
      <w:r>
        <w:rPr>
          <w:rFonts w:hint="eastAsia"/>
          <w:lang w:val="en-US" w:eastAsia="zh-CN"/>
        </w:rPr>
        <w:t xml:space="preserve"> </w:t>
      </w: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numPr>
          <w:ilvl w:val="0"/>
          <w:numId w:val="3"/>
        </w:numPr>
        <w:tabs>
          <w:tab w:val="left" w:pos="2053"/>
        </w:tabs>
        <w:spacing w:line="300" w:lineRule="exact"/>
        <w:jc w:val="left"/>
        <w:rPr>
          <w:rFonts w:hint="eastAsia" w:ascii="方正仿宋_GBK" w:eastAsia="方正仿宋_GBK"/>
          <w:b/>
          <w:sz w:val="28"/>
          <w:lang w:val="en-US" w:eastAsia="zh-CN"/>
        </w:rPr>
      </w:pPr>
      <w:r>
        <w:rPr>
          <w:rFonts w:hint="eastAsia" w:ascii="方正仿宋_GBK" w:eastAsia="方正仿宋_GBK"/>
          <w:b/>
          <w:sz w:val="28"/>
          <w:lang w:val="en-US" w:eastAsia="zh-CN"/>
        </w:rPr>
        <w:t>扶贫开发项目管理</w:t>
      </w:r>
    </w:p>
    <w:p>
      <w:pPr>
        <w:numPr>
          <w:ilvl w:val="0"/>
          <w:numId w:val="0"/>
        </w:numPr>
        <w:tabs>
          <w:tab w:val="left" w:pos="2053"/>
        </w:tabs>
        <w:spacing w:line="300" w:lineRule="exact"/>
        <w:jc w:val="left"/>
        <w:rPr>
          <w:rFonts w:hint="eastAsia" w:ascii="方正仿宋_GBK" w:eastAsia="方正仿宋_GBK"/>
          <w:b/>
          <w:sz w:val="28"/>
          <w:lang w:val="en-US" w:eastAsia="zh-CN"/>
        </w:rPr>
      </w:pPr>
    </w:p>
    <w:tbl>
      <w:tblPr>
        <w:tblStyle w:val="7"/>
        <w:tblpPr w:leftFromText="180" w:rightFromText="180" w:vertAnchor="text" w:horzAnchor="page" w:tblpX="1522" w:tblpY="286"/>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auto" w:sz="4" w:space="0"/>
              <w:left w:val="single" w:color="auto" w:sz="4" w:space="0"/>
              <w:bottom w:val="single" w:color="auto" w:sz="4"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top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按照精准扶贫、精准脱贫要求，大力实施扶贫工程和产业化扶贫项目，提高资金使用效益，保证扶贫帮困效果，确保贫困群众稳定增收，确保农村贫困人口按计划稳定脱贫、。</w:t>
            </w:r>
          </w:p>
        </w:tc>
      </w:tr>
    </w:tbl>
    <w:tbl>
      <w:tblPr>
        <w:tblStyle w:val="7"/>
        <w:tblpPr w:leftFromText="180" w:rightFromText="180" w:vertAnchor="text" w:horzAnchor="page" w:tblpX="1524" w:tblpY="91"/>
        <w:tblOverlap w:val="never"/>
        <w:tblW w:w="9412" w:type="dxa"/>
        <w:jc w:val="right"/>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right"/>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计划脱贫</w:t>
            </w:r>
            <w:r>
              <w:rPr>
                <w:rFonts w:hint="eastAsia" w:ascii="方正书宋_GBK" w:eastAsia="方正书宋_GBK"/>
              </w:rPr>
              <w:t>数量</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计划目标完成率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帮扶责任人落实</w:t>
            </w:r>
            <w:r>
              <w:rPr>
                <w:rFonts w:hint="eastAsia" w:ascii="方正书宋_GBK" w:eastAsia="方正书宋_GBK"/>
              </w:rPr>
              <w:t>率</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确保真实脱贫率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hint="eastAsia" w:ascii="方正书宋_GBK" w:eastAsia="方正书宋_GBK"/>
                <w:lang w:val="en-US" w:eastAsia="zh-CN"/>
              </w:rPr>
              <w:t>9</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全员脱贫</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计划实施落实率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right"/>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群众</w:t>
            </w:r>
            <w:r>
              <w:rPr>
                <w:rFonts w:hint="eastAsia" w:ascii="方正书宋_GBK" w:eastAsia="方正书宋_GBK"/>
              </w:rPr>
              <w:t>满意度</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w:t>
            </w:r>
          </w:p>
        </w:tc>
      </w:tr>
    </w:tbl>
    <w:p>
      <w:pPr>
        <w:tabs>
          <w:tab w:val="left" w:pos="867"/>
        </w:tabs>
        <w:jc w:val="left"/>
        <w:rPr>
          <w:rFonts w:hint="eastAsia"/>
          <w:lang w:val="en-US" w:eastAsia="zh-CN"/>
        </w:rPr>
      </w:pPr>
    </w:p>
    <w:bookmarkEnd w:id="0"/>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4"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w:t>
      </w:r>
      <w:bookmarkEnd w:id="4"/>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郭庄镇</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434.39</w:t>
      </w:r>
      <w:r>
        <w:rPr>
          <w:rFonts w:ascii="Times New Roman" w:hAnsi="Times New Roman" w:eastAsia="仿宋" w:cs="Times New Roman"/>
          <w:color w:val="000000"/>
          <w:sz w:val="32"/>
          <w:szCs w:val="32"/>
        </w:rPr>
        <w:t>万元（详见下表），本年度</w:t>
      </w:r>
      <w:r>
        <w:rPr>
          <w:rFonts w:hint="eastAsia" w:ascii="Times New Roman" w:hAnsi="Times New Roman" w:eastAsia="仿宋" w:cs="Times New Roman"/>
          <w:color w:val="000000"/>
          <w:sz w:val="32"/>
          <w:szCs w:val="32"/>
          <w:lang w:eastAsia="zh-CN"/>
        </w:rPr>
        <w:t>无</w:t>
      </w:r>
      <w:r>
        <w:rPr>
          <w:rFonts w:ascii="Times New Roman" w:hAnsi="Times New Roman" w:eastAsia="仿宋" w:cs="Times New Roman"/>
          <w:color w:val="000000"/>
          <w:sz w:val="32"/>
          <w:szCs w:val="32"/>
        </w:rPr>
        <w:t>购置固定资产预算</w:t>
      </w:r>
      <w:r>
        <w:rPr>
          <w:rFonts w:hint="eastAsia" w:ascii="Times New Roman" w:hAnsi="Times New Roman" w:eastAsia="仿宋" w:cs="Times New Roman"/>
          <w:color w:val="000000"/>
          <w:sz w:val="32"/>
          <w:szCs w:val="32"/>
        </w:rPr>
        <w:t>。</w:t>
      </w:r>
    </w:p>
    <w:tbl>
      <w:tblPr>
        <w:tblStyle w:val="7"/>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郭庄镇</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000000"/>
                <w:kern w:val="0"/>
                <w:sz w:val="22"/>
                <w:lang w:val="en-US" w:eastAsia="zh-CN"/>
              </w:rPr>
              <w:t>434.391893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49154</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313.42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20160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2</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25.647593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95.3243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2"/>
      <w:numFmt w:val="chineseCounting"/>
      <w:suff w:val="nothing"/>
      <w:lvlText w:val="%1、"/>
      <w:lvlJc w:val="left"/>
    </w:lvl>
  </w:abstractNum>
  <w:abstractNum w:abstractNumId="1">
    <w:nsid w:val="00000003"/>
    <w:multiLevelType w:val="multilevel"/>
    <w:tmpl w:val="00000003"/>
    <w:lvl w:ilvl="0" w:tentative="0">
      <w:start w:val="1"/>
      <w:numFmt w:val="decimal"/>
      <w:lvlText w:val="%1."/>
      <w:lvlJc w:val="left"/>
      <w:pPr>
        <w:tabs>
          <w:tab w:val="left" w:pos="1047"/>
        </w:tabs>
        <w:ind w:left="1047" w:hanging="420"/>
      </w:pPr>
    </w:lvl>
    <w:lvl w:ilvl="1" w:tentative="0">
      <w:start w:val="1"/>
      <w:numFmt w:val="lowerLetter"/>
      <w:lvlText w:val="%2)"/>
      <w:lvlJc w:val="left"/>
      <w:pPr>
        <w:tabs>
          <w:tab w:val="left" w:pos="1467"/>
        </w:tabs>
        <w:ind w:left="1467" w:hanging="420"/>
      </w:pPr>
    </w:lvl>
    <w:lvl w:ilvl="2" w:tentative="0">
      <w:start w:val="1"/>
      <w:numFmt w:val="lowerRoman"/>
      <w:lvlText w:val="%3."/>
      <w:lvlJc w:val="right"/>
      <w:pPr>
        <w:tabs>
          <w:tab w:val="left" w:pos="1887"/>
        </w:tabs>
        <w:ind w:left="1887" w:hanging="420"/>
      </w:pPr>
    </w:lvl>
    <w:lvl w:ilvl="3" w:tentative="0">
      <w:start w:val="1"/>
      <w:numFmt w:val="decimal"/>
      <w:lvlText w:val="%4."/>
      <w:lvlJc w:val="left"/>
      <w:pPr>
        <w:tabs>
          <w:tab w:val="left" w:pos="2307"/>
        </w:tabs>
        <w:ind w:left="2307" w:hanging="420"/>
      </w:pPr>
    </w:lvl>
    <w:lvl w:ilvl="4" w:tentative="0">
      <w:start w:val="1"/>
      <w:numFmt w:val="lowerLetter"/>
      <w:lvlText w:val="%5)"/>
      <w:lvlJc w:val="left"/>
      <w:pPr>
        <w:tabs>
          <w:tab w:val="left" w:pos="2727"/>
        </w:tabs>
        <w:ind w:left="2727" w:hanging="420"/>
      </w:pPr>
    </w:lvl>
    <w:lvl w:ilvl="5" w:tentative="0">
      <w:start w:val="1"/>
      <w:numFmt w:val="lowerRoman"/>
      <w:lvlText w:val="%6."/>
      <w:lvlJc w:val="right"/>
      <w:pPr>
        <w:tabs>
          <w:tab w:val="left" w:pos="3147"/>
        </w:tabs>
        <w:ind w:left="3147" w:hanging="420"/>
      </w:pPr>
    </w:lvl>
    <w:lvl w:ilvl="6" w:tentative="0">
      <w:start w:val="1"/>
      <w:numFmt w:val="decimal"/>
      <w:lvlText w:val="%7."/>
      <w:lvlJc w:val="left"/>
      <w:pPr>
        <w:tabs>
          <w:tab w:val="left" w:pos="3567"/>
        </w:tabs>
        <w:ind w:left="3567" w:hanging="420"/>
      </w:pPr>
    </w:lvl>
    <w:lvl w:ilvl="7" w:tentative="0">
      <w:start w:val="1"/>
      <w:numFmt w:val="lowerLetter"/>
      <w:lvlText w:val="%8)"/>
      <w:lvlJc w:val="left"/>
      <w:pPr>
        <w:tabs>
          <w:tab w:val="left" w:pos="3987"/>
        </w:tabs>
        <w:ind w:left="3987" w:hanging="420"/>
      </w:pPr>
    </w:lvl>
    <w:lvl w:ilvl="8" w:tentative="0">
      <w:start w:val="1"/>
      <w:numFmt w:val="lowerRoman"/>
      <w:lvlText w:val="%9."/>
      <w:lvlJc w:val="right"/>
      <w:pPr>
        <w:tabs>
          <w:tab w:val="left" w:pos="4407"/>
        </w:tabs>
        <w:ind w:left="4407" w:hanging="420"/>
      </w:pPr>
    </w:lvl>
  </w:abstractNum>
  <w:abstractNum w:abstractNumId="2">
    <w:nsid w:val="0000000C"/>
    <w:multiLevelType w:val="singleLevel"/>
    <w:tmpl w:val="0000000C"/>
    <w:lvl w:ilvl="0" w:tentative="0">
      <w:start w:val="5"/>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436B48E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footnote reference"/>
    <w:uiPriority w:val="0"/>
    <w:rPr>
      <w:vertAlign w:val="superscript"/>
    </w:rPr>
  </w:style>
  <w:style w:type="character" w:customStyle="1" w:styleId="10">
    <w:name w:val="页脚 Char"/>
    <w:link w:val="2"/>
    <w:semiHidden/>
    <w:uiPriority w:val="0"/>
    <w:rPr>
      <w:rFonts w:ascii="Times New Roman" w:hAnsi="Times New Roman" w:eastAsia="宋体" w:cs="Times New Roman"/>
      <w:sz w:val="18"/>
      <w:szCs w:val="18"/>
    </w:rPr>
  </w:style>
  <w:style w:type="character" w:customStyle="1" w:styleId="11">
    <w:name w:val="页眉 Char"/>
    <w:link w:val="3"/>
    <w:semiHidden/>
    <w:uiPriority w:val="0"/>
    <w:rPr>
      <w:rFonts w:ascii="Times New Roman" w:hAnsi="Times New Roman" w:eastAsia="宋体" w:cs="Times New Roman"/>
      <w:sz w:val="18"/>
      <w:szCs w:val="18"/>
    </w:rPr>
  </w:style>
  <w:style w:type="paragraph" w:customStyle="1" w:styleId="12">
    <w:name w:val="Char"/>
    <w:basedOn w:val="1"/>
    <w:uiPriority w:val="0"/>
    <w:rPr>
      <w:rFonts w:ascii="Times New Roman" w:hAnsi="Times New Roman" w:cs="Times New Roman"/>
      <w:szCs w:val="24"/>
    </w:rPr>
  </w:style>
  <w:style w:type="character" w:customStyle="1" w:styleId="13">
    <w:name w:val="页码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浮生</cp:lastModifiedBy>
  <cp:lastPrinted>2020-01-10T23:53:00Z</cp:lastPrinted>
  <dcterms:modified xsi:type="dcterms:W3CDTF">2025-01-03T08:17:43Z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A4B0687C303F42A3AD2D26E4A229C542</vt:lpwstr>
  </property>
</Properties>
</file>