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无极县农林畜牧局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spacing w:line="580" w:lineRule="exact"/>
        <w:ind w:firstLine="1273" w:firstLineChars="398"/>
        <w:rPr>
          <w:rFonts w:ascii="仿宋" w:hAnsi="仿宋" w:eastAsia="仿宋" w:cs="仿宋"/>
          <w:sz w:val="32"/>
          <w:szCs w:val="32"/>
        </w:rPr>
      </w:pPr>
      <w:r>
        <w:rPr>
          <w:rFonts w:hint="eastAsia" w:ascii="仿宋" w:hAnsi="仿宋" w:eastAsia="仿宋" w:cs="仿宋"/>
          <w:sz w:val="32"/>
          <w:szCs w:val="32"/>
        </w:rPr>
        <w:t>一、部门职责</w:t>
      </w:r>
    </w:p>
    <w:p>
      <w:pPr>
        <w:widowControl/>
        <w:spacing w:line="580" w:lineRule="exact"/>
        <w:ind w:firstLine="1273" w:firstLineChars="398"/>
        <w:rPr>
          <w:rFonts w:ascii="仿宋" w:hAnsi="仿宋" w:eastAsia="仿宋" w:cs="仿宋"/>
          <w:sz w:val="32"/>
          <w:szCs w:val="32"/>
        </w:rPr>
      </w:pPr>
      <w:r>
        <w:rPr>
          <w:rFonts w:hint="eastAsia" w:ascii="仿宋" w:hAnsi="仿宋" w:eastAsia="仿宋" w:cs="仿宋"/>
          <w:sz w:val="32"/>
          <w:szCs w:val="32"/>
        </w:rPr>
        <w:t>二、机构设置</w:t>
      </w:r>
    </w:p>
    <w:p>
      <w:pPr>
        <w:widowControl/>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第二部分   2018年度部门决算报表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一、收入支出决算总表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二、收入决算表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三、支出决算表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四、财政拨款收入支出决算总表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五、一般公共预算财政拨款支出决算表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六、一般公共预算财政拨款基本支出决算表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七、一般公共预算财政拨款“三公”经费支出决算表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八、政府性基金预算财政拨款收入支出决算表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九、国有资本经营预算财政拨款支出决算表</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无极县农林畜牧局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一、收入支出决算总体情况说明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二、收入决算情况说明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三、支出决算情况说明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四、财政拨款收入支出决算情况说明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五、一般公共预算财政拨款“三公”经费支出决算情况说明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六、预算绩效情况说明</w:t>
      </w:r>
    </w:p>
    <w:p>
      <w:pPr>
        <w:widowControl/>
        <w:spacing w:line="580" w:lineRule="exact"/>
        <w:ind w:left="640" w:firstLine="640" w:firstLineChars="200"/>
        <w:rPr>
          <w:rFonts w:ascii="仿宋" w:hAnsi="仿宋" w:eastAsia="仿宋" w:cs="仿宋"/>
          <w:sz w:val="32"/>
          <w:szCs w:val="32"/>
        </w:rPr>
      </w:pPr>
      <w:r>
        <w:rPr>
          <w:rFonts w:hint="eastAsia" w:ascii="仿宋" w:hAnsi="仿宋" w:eastAsia="仿宋" w:cs="仿宋"/>
          <w:sz w:val="32"/>
          <w:szCs w:val="32"/>
        </w:rPr>
        <w:t>七、其他重要事项的说明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030" o:spid="_x0000_s1030"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firstLine="560"/>
        <w:rPr>
          <w:rFonts w:ascii="仿宋" w:hAnsi="仿宋" w:eastAsia="仿宋"/>
          <w:sz w:val="32"/>
          <w:szCs w:val="32"/>
        </w:rPr>
      </w:pPr>
      <w:r>
        <w:rPr>
          <w:rFonts w:ascii="仿宋" w:hAnsi="仿宋" w:eastAsia="仿宋"/>
          <w:sz w:val="32"/>
          <w:szCs w:val="32"/>
        </w:rPr>
        <w:t>无极县农林畜牧局是县政府主管全县农业、农村、农机、林业、畜牧工作的职能部门，主要职能是：</w:t>
      </w:r>
    </w:p>
    <w:p>
      <w:pPr>
        <w:ind w:firstLine="720" w:firstLineChars="225"/>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w:t>
      </w:r>
      <w:r>
        <w:rPr>
          <w:rFonts w:ascii="仿宋" w:hAnsi="仿宋" w:eastAsia="仿宋"/>
          <w:sz w:val="32"/>
          <w:szCs w:val="32"/>
        </w:rPr>
        <w:t>参与研究拟定全县农业和农村经济的发展规划及农业产业的有关政策。</w:t>
      </w:r>
    </w:p>
    <w:p>
      <w:pPr>
        <w:ind w:firstLine="560"/>
        <w:rPr>
          <w:rFonts w:ascii="仿宋" w:hAnsi="仿宋" w:eastAsia="仿宋"/>
          <w:sz w:val="32"/>
          <w:szCs w:val="32"/>
        </w:rPr>
      </w:pPr>
      <w:r>
        <w:rPr>
          <w:rFonts w:ascii="仿宋" w:eastAsia="仿宋"/>
          <w:sz w:val="32"/>
          <w:szCs w:val="32"/>
        </w:rPr>
        <w:t>  </w:t>
      </w:r>
      <w:r>
        <w:rPr>
          <w:rFonts w:ascii="仿宋" w:hAnsi="仿宋" w:eastAsia="仿宋"/>
          <w:sz w:val="32"/>
          <w:szCs w:val="32"/>
        </w:rPr>
        <w:t>2</w:t>
      </w:r>
      <w:r>
        <w:rPr>
          <w:rFonts w:hint="eastAsia" w:ascii="仿宋" w:hAnsi="仿宋" w:eastAsia="仿宋"/>
          <w:sz w:val="32"/>
          <w:szCs w:val="32"/>
        </w:rPr>
        <w:t>.</w:t>
      </w:r>
      <w:r>
        <w:rPr>
          <w:rFonts w:ascii="仿宋" w:hAnsi="仿宋" w:eastAsia="仿宋"/>
          <w:sz w:val="32"/>
          <w:szCs w:val="32"/>
        </w:rPr>
        <w:t>研究提出全县种植业发展规划及重大技术措施并组织实施；指导农业种植业结构的合理调整和农业资源的合理配置。</w:t>
      </w:r>
    </w:p>
    <w:p>
      <w:pPr>
        <w:ind w:firstLine="560"/>
        <w:rPr>
          <w:rFonts w:ascii="仿宋" w:hAnsi="仿宋" w:eastAsia="仿宋"/>
          <w:sz w:val="32"/>
          <w:szCs w:val="32"/>
        </w:rPr>
      </w:pPr>
      <w:r>
        <w:rPr>
          <w:rFonts w:ascii="仿宋" w:eastAsia="仿宋"/>
          <w:sz w:val="32"/>
          <w:szCs w:val="32"/>
        </w:rPr>
        <w:t>  </w:t>
      </w:r>
      <w:r>
        <w:rPr>
          <w:rFonts w:ascii="仿宋" w:hAnsi="仿宋" w:eastAsia="仿宋"/>
          <w:sz w:val="32"/>
          <w:szCs w:val="32"/>
        </w:rPr>
        <w:t>3</w:t>
      </w:r>
      <w:r>
        <w:rPr>
          <w:rFonts w:hint="eastAsia" w:ascii="仿宋" w:hAnsi="仿宋" w:eastAsia="仿宋"/>
          <w:sz w:val="32"/>
          <w:szCs w:val="32"/>
        </w:rPr>
        <w:t>.</w:t>
      </w:r>
      <w:r>
        <w:rPr>
          <w:rFonts w:ascii="仿宋" w:hAnsi="仿宋" w:eastAsia="仿宋"/>
          <w:sz w:val="32"/>
          <w:szCs w:val="32"/>
        </w:rPr>
        <w:t>参与指导农村经济体制改革，指导农业社会化服务体系建设和乡村集体经济组织、合作经济组织建设；稳定和完善农村基本经营制度和政策，调节农村经济利益关系，指导、监督农民负担和农村财务工作。</w:t>
      </w:r>
    </w:p>
    <w:p>
      <w:pPr>
        <w:ind w:firstLine="560"/>
        <w:rPr>
          <w:rFonts w:ascii="仿宋" w:hAnsi="仿宋" w:eastAsia="仿宋"/>
          <w:sz w:val="32"/>
          <w:szCs w:val="32"/>
        </w:rPr>
      </w:pPr>
      <w:r>
        <w:rPr>
          <w:rFonts w:ascii="仿宋" w:eastAsia="仿宋"/>
          <w:sz w:val="32"/>
          <w:szCs w:val="32"/>
        </w:rPr>
        <w:t> </w:t>
      </w:r>
      <w:r>
        <w:rPr>
          <w:rFonts w:ascii="仿宋" w:hAnsi="仿宋" w:eastAsia="仿宋"/>
          <w:sz w:val="32"/>
          <w:szCs w:val="32"/>
        </w:rPr>
        <w:t>4</w:t>
      </w:r>
      <w:r>
        <w:rPr>
          <w:rFonts w:hint="eastAsia" w:ascii="仿宋" w:hAnsi="仿宋" w:eastAsia="仿宋"/>
          <w:sz w:val="32"/>
          <w:szCs w:val="32"/>
        </w:rPr>
        <w:t>.</w:t>
      </w:r>
      <w:r>
        <w:rPr>
          <w:rFonts w:ascii="仿宋" w:hAnsi="仿宋" w:eastAsia="仿宋"/>
          <w:sz w:val="32"/>
          <w:szCs w:val="32"/>
        </w:rPr>
        <w:t>参与大宗农产品产地批发市场建设和农业信息网络建设，预测、发布农产品及农业生产资料供求情况等农村经济信息。</w:t>
      </w:r>
    </w:p>
    <w:p>
      <w:pPr>
        <w:ind w:firstLine="560"/>
        <w:rPr>
          <w:rFonts w:ascii="仿宋" w:hAnsi="仿宋" w:eastAsia="仿宋"/>
          <w:sz w:val="32"/>
          <w:szCs w:val="32"/>
        </w:rPr>
      </w:pPr>
      <w:r>
        <w:rPr>
          <w:rFonts w:ascii="仿宋" w:eastAsia="仿宋"/>
          <w:sz w:val="32"/>
          <w:szCs w:val="32"/>
        </w:rPr>
        <w:t> </w:t>
      </w:r>
      <w:r>
        <w:rPr>
          <w:rFonts w:ascii="仿宋" w:hAnsi="仿宋" w:eastAsia="仿宋"/>
          <w:sz w:val="32"/>
          <w:szCs w:val="32"/>
        </w:rPr>
        <w:t>5</w:t>
      </w:r>
      <w:r>
        <w:rPr>
          <w:rFonts w:hint="eastAsia" w:ascii="仿宋" w:hAnsi="仿宋" w:eastAsia="仿宋"/>
          <w:sz w:val="32"/>
          <w:szCs w:val="32"/>
        </w:rPr>
        <w:t>.</w:t>
      </w:r>
      <w:r>
        <w:rPr>
          <w:rFonts w:ascii="仿宋" w:hAnsi="仿宋" w:eastAsia="仿宋"/>
          <w:sz w:val="32"/>
          <w:szCs w:val="32"/>
        </w:rPr>
        <w:t>组织实施生态农业和农业环境保护工作；指导农用土地及农村可再生能源开发利用和农业生物物种资源保护与管理，拟定主管产业技术标准并组织实施；对主管产业产品、绿色食品、无公害农产品进行质量监督、组织认证和农业植物品种保护工作。</w:t>
      </w:r>
    </w:p>
    <w:p>
      <w:pPr>
        <w:ind w:firstLine="560"/>
        <w:rPr>
          <w:rFonts w:ascii="仿宋" w:hAnsi="仿宋" w:eastAsia="仿宋"/>
          <w:sz w:val="32"/>
          <w:szCs w:val="32"/>
        </w:rPr>
      </w:pPr>
      <w:r>
        <w:rPr>
          <w:rFonts w:ascii="仿宋" w:eastAsia="仿宋"/>
          <w:sz w:val="32"/>
          <w:szCs w:val="32"/>
        </w:rPr>
        <w:t>  </w:t>
      </w:r>
      <w:r>
        <w:rPr>
          <w:rFonts w:ascii="仿宋" w:hAnsi="仿宋" w:eastAsia="仿宋"/>
          <w:sz w:val="32"/>
          <w:szCs w:val="32"/>
        </w:rPr>
        <w:t>6</w:t>
      </w:r>
      <w:r>
        <w:rPr>
          <w:rFonts w:hint="eastAsia" w:ascii="仿宋" w:hAnsi="仿宋" w:eastAsia="仿宋"/>
          <w:sz w:val="32"/>
          <w:szCs w:val="32"/>
        </w:rPr>
        <w:t>.</w:t>
      </w:r>
      <w:r>
        <w:rPr>
          <w:rFonts w:ascii="仿宋" w:hAnsi="仿宋" w:eastAsia="仿宋"/>
          <w:sz w:val="32"/>
          <w:szCs w:val="32"/>
        </w:rPr>
        <w:t>拟定全县农业科技及其队伍建设的发展规划和相关政策，并组织实施；组织重大农业技术推广项目的筛选和实施；并负责农业科技宣传和培训。</w:t>
      </w:r>
    </w:p>
    <w:p>
      <w:pPr>
        <w:ind w:firstLine="720" w:firstLineChars="225"/>
        <w:rPr>
          <w:rFonts w:ascii="仿宋" w:hAnsi="仿宋" w:eastAsia="仿宋"/>
          <w:sz w:val="32"/>
          <w:szCs w:val="32"/>
        </w:rPr>
      </w:pPr>
      <w:r>
        <w:rPr>
          <w:rFonts w:ascii="仿宋" w:hAnsi="仿宋" w:eastAsia="仿宋"/>
          <w:sz w:val="32"/>
          <w:szCs w:val="32"/>
        </w:rPr>
        <w:t>7</w:t>
      </w:r>
      <w:r>
        <w:rPr>
          <w:rFonts w:hint="eastAsia" w:ascii="仿宋" w:hAnsi="仿宋" w:eastAsia="仿宋"/>
          <w:sz w:val="32"/>
          <w:szCs w:val="32"/>
        </w:rPr>
        <w:t>.</w:t>
      </w:r>
      <w:r>
        <w:rPr>
          <w:rFonts w:ascii="仿宋" w:hAnsi="仿宋" w:eastAsia="仿宋"/>
          <w:sz w:val="32"/>
          <w:szCs w:val="32"/>
        </w:rPr>
        <w:t>组织起草农业产业有关的地方性政策法规草案；指导农业行政执法体系建设和法制宣传教育；组织种子、农药等农业生产资料的质量检测、鉴定和执法监督管理；组织、监督、管理全县植物防疫和检疫工作，发布疫情并组织扑灭。</w:t>
      </w:r>
    </w:p>
    <w:p>
      <w:pPr>
        <w:ind w:firstLine="720" w:firstLineChars="225"/>
        <w:rPr>
          <w:rFonts w:ascii="仿宋" w:hAnsi="仿宋" w:eastAsia="仿宋"/>
          <w:sz w:val="32"/>
          <w:szCs w:val="32"/>
        </w:rPr>
      </w:pPr>
      <w:r>
        <w:rPr>
          <w:rFonts w:ascii="仿宋" w:hAnsi="仿宋" w:eastAsia="仿宋"/>
          <w:sz w:val="32"/>
          <w:szCs w:val="32"/>
        </w:rPr>
        <w:t>8</w:t>
      </w:r>
      <w:r>
        <w:rPr>
          <w:rFonts w:hint="eastAsia" w:ascii="仿宋" w:hAnsi="仿宋" w:eastAsia="仿宋"/>
          <w:sz w:val="32"/>
          <w:szCs w:val="32"/>
        </w:rPr>
        <w:t>.</w:t>
      </w:r>
      <w:r>
        <w:rPr>
          <w:rFonts w:ascii="仿宋" w:hAnsi="仿宋" w:eastAsia="仿宋"/>
          <w:sz w:val="32"/>
          <w:szCs w:val="32"/>
        </w:rPr>
        <w:t>负责全县农业机械装备的监督管理和推广服务。</w:t>
      </w:r>
    </w:p>
    <w:p>
      <w:pPr>
        <w:ind w:firstLine="720" w:firstLineChars="225"/>
        <w:rPr>
          <w:rFonts w:ascii="仿宋" w:hAnsi="仿宋" w:eastAsia="仿宋"/>
          <w:sz w:val="32"/>
          <w:szCs w:val="32"/>
        </w:rPr>
      </w:pPr>
      <w:r>
        <w:rPr>
          <w:rFonts w:ascii="仿宋" w:hAnsi="仿宋" w:eastAsia="仿宋"/>
          <w:sz w:val="32"/>
          <w:szCs w:val="32"/>
        </w:rPr>
        <w:t>9</w:t>
      </w:r>
      <w:r>
        <w:rPr>
          <w:rFonts w:hint="eastAsia" w:ascii="仿宋" w:hAnsi="仿宋" w:eastAsia="仿宋"/>
          <w:sz w:val="32"/>
          <w:szCs w:val="32"/>
        </w:rPr>
        <w:t>.</w:t>
      </w:r>
      <w:r>
        <w:rPr>
          <w:rFonts w:ascii="仿宋" w:hAnsi="仿宋" w:eastAsia="仿宋"/>
          <w:sz w:val="32"/>
          <w:szCs w:val="32"/>
        </w:rPr>
        <w:t>组织兽医医政、兽药药政药检工作。</w:t>
      </w:r>
    </w:p>
    <w:p>
      <w:pPr>
        <w:ind w:firstLine="720" w:firstLineChars="225"/>
        <w:rPr>
          <w:rFonts w:ascii="仿宋" w:hAnsi="仿宋" w:eastAsia="仿宋"/>
          <w:sz w:val="32"/>
          <w:szCs w:val="32"/>
        </w:rPr>
      </w:pPr>
      <w:r>
        <w:rPr>
          <w:rFonts w:ascii="仿宋" w:hAnsi="仿宋" w:eastAsia="仿宋"/>
          <w:sz w:val="32"/>
          <w:szCs w:val="32"/>
        </w:rPr>
        <w:t>10</w:t>
      </w:r>
      <w:r>
        <w:rPr>
          <w:rFonts w:hint="eastAsia" w:ascii="仿宋" w:hAnsi="仿宋" w:eastAsia="仿宋"/>
          <w:sz w:val="32"/>
          <w:szCs w:val="32"/>
        </w:rPr>
        <w:t>.</w:t>
      </w:r>
      <w:r>
        <w:rPr>
          <w:rFonts w:ascii="仿宋" w:hAnsi="仿宋" w:eastAsia="仿宋"/>
          <w:sz w:val="32"/>
          <w:szCs w:val="32"/>
        </w:rPr>
        <w:t>组织农业对外经济技术交流与合作工作，负责主管产业项目的管理工作。</w:t>
      </w:r>
    </w:p>
    <w:p>
      <w:pPr>
        <w:ind w:firstLine="720" w:firstLineChars="225"/>
        <w:rPr>
          <w:rFonts w:ascii="仿宋" w:hAnsi="仿宋" w:eastAsia="仿宋"/>
          <w:sz w:val="32"/>
          <w:szCs w:val="32"/>
        </w:rPr>
      </w:pPr>
      <w:r>
        <w:rPr>
          <w:rFonts w:ascii="仿宋" w:hAnsi="仿宋" w:eastAsia="仿宋"/>
          <w:sz w:val="32"/>
          <w:szCs w:val="32"/>
        </w:rPr>
        <w:t>11</w:t>
      </w:r>
      <w:r>
        <w:rPr>
          <w:rFonts w:hint="eastAsia" w:ascii="仿宋" w:hAnsi="仿宋" w:eastAsia="仿宋"/>
          <w:sz w:val="32"/>
          <w:szCs w:val="32"/>
        </w:rPr>
        <w:t>.</w:t>
      </w:r>
      <w:r>
        <w:rPr>
          <w:rFonts w:ascii="仿宋" w:hAnsi="仿宋" w:eastAsia="仿宋"/>
          <w:sz w:val="32"/>
          <w:szCs w:val="32"/>
        </w:rPr>
        <w:t>贯彻执行国家林业工作方针、政策，依照《森林法》及林业管理的有关法规、规章，行使林政法权，保护我县动植物资源。</w:t>
      </w:r>
    </w:p>
    <w:p>
      <w:pPr>
        <w:ind w:firstLine="800" w:firstLineChars="250"/>
        <w:rPr>
          <w:rFonts w:ascii="仿宋_GB2312" w:eastAsia="仿宋_GB2312" w:cs="ArialUnicodeMS" w:hAnsiTheme="minorHAnsi"/>
          <w:kern w:val="0"/>
          <w:sz w:val="32"/>
          <w:szCs w:val="32"/>
        </w:rPr>
      </w:pPr>
      <w:r>
        <w:rPr>
          <w:rFonts w:ascii="仿宋" w:hAnsi="仿宋" w:eastAsia="仿宋"/>
          <w:sz w:val="32"/>
          <w:szCs w:val="32"/>
        </w:rPr>
        <w:t>12</w:t>
      </w:r>
      <w:r>
        <w:rPr>
          <w:rFonts w:hint="eastAsia" w:ascii="仿宋" w:hAnsi="仿宋" w:eastAsia="仿宋"/>
          <w:sz w:val="32"/>
          <w:szCs w:val="32"/>
        </w:rPr>
        <w:t>.</w:t>
      </w:r>
      <w:r>
        <w:rPr>
          <w:rFonts w:ascii="仿宋" w:hAnsi="仿宋" w:eastAsia="仿宋"/>
          <w:sz w:val="32"/>
          <w:szCs w:val="32"/>
        </w:rPr>
        <w:t>负责局机关及直属单位的组织人事、劳动工资、机构编制工作；负责行业管理，指导有关社团工作</w:t>
      </w:r>
      <w:r>
        <w:rPr>
          <w:rFonts w:hint="eastAsia" w:ascii="仿宋" w:hAnsi="仿宋" w:eastAsia="仿宋"/>
          <w:sz w:val="32"/>
          <w:szCs w:val="32"/>
        </w:rPr>
        <w:t>;</w:t>
      </w:r>
      <w:r>
        <w:rPr>
          <w:rFonts w:ascii="仿宋" w:hAnsi="仿宋" w:eastAsia="仿宋"/>
          <w:sz w:val="32"/>
          <w:szCs w:val="32"/>
        </w:rPr>
        <w:t>承办县政府交办的其它事项。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 w:hAnsi="仿宋" w:eastAsia="仿宋" w:cs="仿宋"/>
          <w:kern w:val="0"/>
          <w:sz w:val="32"/>
          <w:szCs w:val="32"/>
        </w:rPr>
      </w:pPr>
      <w:r>
        <w:rPr>
          <w:rFonts w:hint="eastAsia" w:ascii="仿宋" w:hAnsi="仿宋" w:eastAsia="仿宋" w:cs="仿宋"/>
          <w:kern w:val="0"/>
          <w:sz w:val="32"/>
          <w:szCs w:val="32"/>
        </w:rPr>
        <w:t>从决算编报单位构成看，纳入2018 年度本部门决算汇编范围的独立核算单位（以下简称“单位”）共1 个，具体情况如下：</w:t>
      </w:r>
    </w:p>
    <w:p>
      <w:pPr>
        <w:spacing w:after="0" w:line="560" w:lineRule="exact"/>
        <w:rPr>
          <w:rFonts w:ascii="仿宋_GB2312" w:eastAsia="仿宋_GB2312" w:cs="ArialUnicodeMS" w:hAnsiTheme="minorHAnsi"/>
          <w:kern w:val="0"/>
          <w:sz w:val="32"/>
          <w:szCs w:val="32"/>
        </w:rPr>
      </w:pPr>
    </w:p>
    <w:tbl>
      <w:tblPr>
        <w:tblStyle w:val="12"/>
        <w:tblW w:w="85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827"/>
        <w:gridCol w:w="1134"/>
        <w:gridCol w:w="1276"/>
        <w:gridCol w:w="23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blHeader/>
          <w:jc w:val="center"/>
        </w:trPr>
        <w:tc>
          <w:tcPr>
            <w:tcW w:w="3827" w:type="dxa"/>
            <w:vMerge w:val="restart"/>
            <w:vAlign w:val="center"/>
          </w:tcPr>
          <w:p>
            <w:pPr>
              <w:spacing w:line="300" w:lineRule="exact"/>
              <w:ind w:firstLine="643"/>
              <w:jc w:val="center"/>
              <w:rPr>
                <w:rFonts w:ascii="仿宋_GB2312" w:hAnsi="仿宋_GB2312" w:cs="仿宋_GB2312"/>
                <w:b/>
                <w:szCs w:val="32"/>
              </w:rPr>
            </w:pPr>
            <w:r>
              <w:rPr>
                <w:rFonts w:hint="eastAsia" w:ascii="仿宋_GB2312" w:hAnsi="仿宋_GB2312" w:cs="仿宋_GB2312"/>
                <w:b/>
                <w:szCs w:val="32"/>
              </w:rPr>
              <w:t>单位名称</w:t>
            </w:r>
          </w:p>
        </w:tc>
        <w:tc>
          <w:tcPr>
            <w:tcW w:w="1134" w:type="dxa"/>
            <w:vMerge w:val="restart"/>
            <w:vAlign w:val="center"/>
          </w:tcPr>
          <w:p>
            <w:pPr>
              <w:spacing w:line="300" w:lineRule="exact"/>
              <w:rPr>
                <w:rFonts w:ascii="仿宋_GB2312" w:hAnsi="仿宋_GB2312" w:cs="仿宋_GB2312"/>
                <w:b/>
                <w:szCs w:val="32"/>
              </w:rPr>
            </w:pPr>
            <w:r>
              <w:rPr>
                <w:rFonts w:hint="eastAsia" w:ascii="仿宋_GB2312" w:hAnsi="仿宋_GB2312" w:cs="仿宋_GB2312"/>
                <w:b/>
                <w:szCs w:val="32"/>
              </w:rPr>
              <w:t>单位性质</w:t>
            </w:r>
          </w:p>
        </w:tc>
        <w:tc>
          <w:tcPr>
            <w:tcW w:w="1276" w:type="dxa"/>
            <w:vMerge w:val="restart"/>
            <w:vAlign w:val="center"/>
          </w:tcPr>
          <w:p>
            <w:pPr>
              <w:spacing w:line="300" w:lineRule="exact"/>
              <w:rPr>
                <w:rFonts w:ascii="仿宋_GB2312" w:hAnsi="仿宋_GB2312" w:cs="仿宋_GB2312"/>
                <w:b/>
                <w:szCs w:val="32"/>
              </w:rPr>
            </w:pPr>
            <w:r>
              <w:rPr>
                <w:rFonts w:hint="eastAsia" w:ascii="仿宋_GB2312" w:hAnsi="仿宋_GB2312" w:cs="仿宋_GB2312"/>
                <w:b/>
                <w:szCs w:val="32"/>
              </w:rPr>
              <w:t>单位规格</w:t>
            </w:r>
          </w:p>
        </w:tc>
        <w:tc>
          <w:tcPr>
            <w:tcW w:w="2353" w:type="dxa"/>
            <w:vMerge w:val="restart"/>
            <w:vAlign w:val="center"/>
          </w:tcPr>
          <w:p>
            <w:pPr>
              <w:spacing w:line="300" w:lineRule="exact"/>
              <w:ind w:firstLine="643"/>
              <w:jc w:val="center"/>
              <w:rPr>
                <w:rFonts w:ascii="仿宋_GB2312" w:hAnsi="仿宋_GB2312" w:cs="仿宋_GB2312"/>
                <w:b/>
                <w:szCs w:val="32"/>
              </w:rPr>
            </w:pPr>
            <w:r>
              <w:rPr>
                <w:rFonts w:hint="eastAsia" w:ascii="仿宋_GB2312" w:hAnsi="仿宋_GB2312" w:cs="仿宋_GB2312"/>
                <w:b/>
                <w:szCs w:val="32"/>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blHeader/>
          <w:jc w:val="center"/>
        </w:trPr>
        <w:tc>
          <w:tcPr>
            <w:tcW w:w="3827" w:type="dxa"/>
            <w:vMerge w:val="continue"/>
            <w:vAlign w:val="center"/>
          </w:tcPr>
          <w:p>
            <w:pPr>
              <w:spacing w:line="300" w:lineRule="exact"/>
              <w:ind w:firstLine="640"/>
              <w:jc w:val="left"/>
              <w:outlineLvl w:val="0"/>
              <w:rPr>
                <w:rFonts w:ascii="仿宋_GB2312" w:hAnsi="仿宋_GB2312" w:cs="仿宋_GB2312"/>
                <w:szCs w:val="32"/>
              </w:rPr>
            </w:pPr>
          </w:p>
        </w:tc>
        <w:tc>
          <w:tcPr>
            <w:tcW w:w="1134" w:type="dxa"/>
            <w:vMerge w:val="continue"/>
            <w:vAlign w:val="center"/>
          </w:tcPr>
          <w:p>
            <w:pPr>
              <w:spacing w:line="300" w:lineRule="exact"/>
              <w:ind w:firstLine="640"/>
              <w:jc w:val="left"/>
              <w:outlineLvl w:val="0"/>
              <w:rPr>
                <w:rFonts w:ascii="仿宋_GB2312" w:hAnsi="仿宋_GB2312" w:cs="仿宋_GB2312"/>
                <w:szCs w:val="32"/>
              </w:rPr>
            </w:pPr>
          </w:p>
        </w:tc>
        <w:tc>
          <w:tcPr>
            <w:tcW w:w="1276" w:type="dxa"/>
            <w:vMerge w:val="continue"/>
            <w:vAlign w:val="center"/>
          </w:tcPr>
          <w:p>
            <w:pPr>
              <w:spacing w:line="300" w:lineRule="exact"/>
              <w:ind w:firstLine="640"/>
              <w:jc w:val="left"/>
              <w:outlineLvl w:val="0"/>
              <w:rPr>
                <w:rFonts w:ascii="仿宋_GB2312" w:hAnsi="仿宋_GB2312" w:cs="仿宋_GB2312"/>
                <w:szCs w:val="32"/>
              </w:rPr>
            </w:pPr>
          </w:p>
        </w:tc>
        <w:tc>
          <w:tcPr>
            <w:tcW w:w="2353" w:type="dxa"/>
            <w:vMerge w:val="continue"/>
            <w:vAlign w:val="center"/>
          </w:tcPr>
          <w:p>
            <w:pPr>
              <w:spacing w:line="300" w:lineRule="exact"/>
              <w:ind w:firstLine="640"/>
              <w:jc w:val="left"/>
              <w:outlineLvl w:val="0"/>
              <w:rPr>
                <w:rFonts w:ascii="仿宋_GB2312" w:hAnsi="仿宋_GB2312" w:cs="仿宋_GB2312"/>
                <w:szCs w:val="3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4" w:hRule="atLeast"/>
          <w:jc w:val="center"/>
        </w:trPr>
        <w:tc>
          <w:tcPr>
            <w:tcW w:w="3827" w:type="dxa"/>
            <w:vAlign w:val="center"/>
          </w:tcPr>
          <w:p>
            <w:pPr>
              <w:spacing w:line="300" w:lineRule="exact"/>
              <w:ind w:firstLine="640"/>
              <w:jc w:val="center"/>
              <w:rPr>
                <w:rFonts w:ascii="仿宋" w:hAnsi="仿宋" w:eastAsia="仿宋"/>
                <w:szCs w:val="32"/>
              </w:rPr>
            </w:pPr>
            <w:r>
              <w:rPr>
                <w:rFonts w:hint="eastAsia" w:ascii="仿宋" w:hAnsi="仿宋" w:eastAsia="仿宋"/>
                <w:szCs w:val="32"/>
              </w:rPr>
              <w:t>无极县农林畜牧局</w:t>
            </w:r>
          </w:p>
        </w:tc>
        <w:tc>
          <w:tcPr>
            <w:tcW w:w="1134" w:type="dxa"/>
            <w:vAlign w:val="center"/>
          </w:tcPr>
          <w:p>
            <w:pPr>
              <w:spacing w:line="300" w:lineRule="exact"/>
              <w:jc w:val="center"/>
              <w:rPr>
                <w:rFonts w:ascii="仿宋" w:hAnsi="仿宋" w:eastAsia="仿宋"/>
                <w:szCs w:val="32"/>
              </w:rPr>
            </w:pPr>
            <w:r>
              <w:rPr>
                <w:rFonts w:hint="eastAsia" w:ascii="仿宋" w:hAnsi="仿宋" w:eastAsia="仿宋"/>
                <w:szCs w:val="32"/>
              </w:rPr>
              <w:t>行政</w:t>
            </w:r>
          </w:p>
        </w:tc>
        <w:tc>
          <w:tcPr>
            <w:tcW w:w="1276" w:type="dxa"/>
            <w:vAlign w:val="center"/>
          </w:tcPr>
          <w:p>
            <w:pPr>
              <w:spacing w:line="300" w:lineRule="exact"/>
              <w:rPr>
                <w:rFonts w:ascii="仿宋" w:hAnsi="仿宋" w:eastAsia="仿宋"/>
                <w:szCs w:val="32"/>
              </w:rPr>
            </w:pPr>
            <w:r>
              <w:rPr>
                <w:rFonts w:hint="eastAsia" w:ascii="仿宋" w:hAnsi="仿宋" w:eastAsia="仿宋"/>
                <w:szCs w:val="32"/>
              </w:rPr>
              <w:t>正科级</w:t>
            </w:r>
          </w:p>
        </w:tc>
        <w:tc>
          <w:tcPr>
            <w:tcW w:w="2353" w:type="dxa"/>
            <w:vAlign w:val="center"/>
          </w:tcPr>
          <w:p>
            <w:pPr>
              <w:spacing w:line="300" w:lineRule="exact"/>
              <w:ind w:firstLine="640"/>
              <w:jc w:val="center"/>
              <w:rPr>
                <w:rFonts w:ascii="仿宋" w:hAnsi="仿宋" w:eastAsia="仿宋"/>
                <w:szCs w:val="32"/>
              </w:rPr>
            </w:pPr>
            <w:r>
              <w:rPr>
                <w:rFonts w:hint="eastAsia" w:ascii="仿宋" w:hAnsi="仿宋" w:eastAsia="仿宋"/>
                <w:szCs w:val="32"/>
              </w:rPr>
              <w:t>财政拨款</w:t>
            </w: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29" o:spid="_x0000_s1029"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42132.75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560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44.80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118.83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23161.05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96.49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5802.56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42132.75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29783.73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1225.2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13574.22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43357.95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43357.95</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479"/>
        <w:gridCol w:w="372"/>
        <w:gridCol w:w="498"/>
        <w:gridCol w:w="577"/>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6"/>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7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9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49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513"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870"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09"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479"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870" w:type="dxa"/>
            <w:gridSpan w:val="2"/>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809"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164" w:hRule="atLeast"/>
          <w:jc w:val="center"/>
        </w:trPr>
        <w:tc>
          <w:tcPr>
            <w:tcW w:w="251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0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164" w:hRule="atLeast"/>
          <w:jc w:val="center"/>
        </w:trPr>
        <w:tc>
          <w:tcPr>
            <w:tcW w:w="251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42132.75</w:t>
            </w:r>
          </w:p>
        </w:tc>
        <w:tc>
          <w:tcPr>
            <w:tcW w:w="809"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42132.75</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2060404</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科技成果转化与扩散</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44.17</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44.17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118.23</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118.23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2110301</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34155</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34155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2110399</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其他污染防治支出</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2120801</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征地和拆迁补偿支出</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22.68</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22.68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2120809</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0"/>
                <w:szCs w:val="10"/>
              </w:rPr>
              <w:t>支付破产或改制企业职工安置费</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73.81</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73.81</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2130101</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878.64</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878.64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2130104</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71.17</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71.17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2130105</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农垦运行</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2130106</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科技转化与推广服务</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795.90</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795.90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2130108</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病虫害控制</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528.94</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528.94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2130109</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农产品质量安全</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162.97</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162.97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2130110</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执法监管</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2130111</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统计监测与信息服务</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2130112</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农业行业业务管理</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4.83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2130121</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农业结构调整补贴</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315</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315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2130122</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农业生产支持补贴</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1676.49</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1676.49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2130124</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农业组织化与产业化经营</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2130135</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农业资源保护修复与利用</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373.42</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373.42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2130803</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农业保险保费补贴</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1993.10</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1993.10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64"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2139999</w:t>
            </w:r>
          </w:p>
        </w:tc>
        <w:tc>
          <w:tcPr>
            <w:tcW w:w="147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其他农林水支出</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w:t>
            </w:r>
          </w:p>
        </w:tc>
        <w:tc>
          <w:tcPr>
            <w:tcW w:w="80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498"/>
        <w:gridCol w:w="266"/>
        <w:gridCol w:w="799"/>
        <w:gridCol w:w="319"/>
        <w:gridCol w:w="611"/>
        <w:gridCol w:w="509"/>
        <w:gridCol w:w="601"/>
        <w:gridCol w:w="517"/>
        <w:gridCol w:w="353"/>
        <w:gridCol w:w="767"/>
        <w:gridCol w:w="88"/>
        <w:gridCol w:w="1290"/>
      </w:tblGrid>
      <w:tr>
        <w:tblPrEx>
          <w:tblCellMar>
            <w:top w:w="0" w:type="dxa"/>
            <w:left w:w="0" w:type="dxa"/>
            <w:bottom w:w="0" w:type="dxa"/>
            <w:right w:w="0" w:type="dxa"/>
          </w:tblCellMar>
        </w:tblPrEx>
        <w:trPr>
          <w:trHeight w:val="58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9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6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93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1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87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85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290"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6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3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1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7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5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290"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88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6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93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1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85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159" w:hRule="atLeast"/>
        </w:trPr>
        <w:tc>
          <w:tcPr>
            <w:tcW w:w="288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29783.74</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1227.26</w:t>
            </w: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28556.48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2060404</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科技成果转化与扩散</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560</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0.64</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0.64</w:t>
            </w: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2080805</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8"/>
                <w:szCs w:val="8"/>
              </w:rPr>
              <w:t>机关事业单位基本养老保险缴费支出</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44.17</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44.17</w:t>
            </w: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w:t>
            </w: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118.23</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118.23</w:t>
            </w: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2110301</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23010.05</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23010.05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2110399</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其他污染防治支出</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2111199</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其他污染减排支出</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2120801</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征地和拆迁补偿支出</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22.68</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22.68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2120809</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0"/>
                <w:szCs w:val="10"/>
              </w:rPr>
              <w:t>支付破产或改制企业职工安置费</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73.81</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73.81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2130101</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878.64</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878.64</w:t>
            </w: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2130104</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71.17</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71.17</w:t>
            </w: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2130105</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农垦运行</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2130106</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科技转化与推广服务</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696.85</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696.85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2130108</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病虫害控制</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371.36</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371.36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2130109</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农产品质量安全</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192.06</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192.06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2130110</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执法监管</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2130111</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统计监测与信息服务</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27.18</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27.18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2130112</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农业行业业务管理</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9.55</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2130122</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农业生产支持补贴</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1225.33</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1225.33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2130135</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农业资源保护修复与利用</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180.23</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180.23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2130803</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农业保险保费补贴</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1993.1</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1993.1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59"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2139999</w:t>
            </w:r>
          </w:p>
        </w:tc>
        <w:tc>
          <w:tcPr>
            <w:tcW w:w="14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其他农林水支出</w:t>
            </w:r>
          </w:p>
        </w:tc>
        <w:tc>
          <w:tcPr>
            <w:tcW w:w="106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38.11</w:t>
            </w:r>
          </w:p>
        </w:tc>
        <w:tc>
          <w:tcPr>
            <w:tcW w:w="93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1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38.11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2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42036.26</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96.49</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560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560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44.80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44.80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118.83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118.83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23161.05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23161.05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96.49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96.49</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5802.56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20"/>
                <w:szCs w:val="20"/>
              </w:rPr>
              <w:t>5802.56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42132.75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29783.73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29687.24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96.49</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1225.20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13574.22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13574.22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1225.20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43357.95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43357.95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43261.46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96.49</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29687.25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1153.45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28533.80</w:t>
            </w:r>
          </w:p>
        </w:tc>
      </w:tr>
      <w:tr>
        <w:tblPrEx>
          <w:tblCellMar>
            <w:top w:w="0" w:type="dxa"/>
            <w:left w:w="0" w:type="dxa"/>
            <w:bottom w:w="0" w:type="dxa"/>
            <w:right w:w="0" w:type="dxa"/>
          </w:tblCellMar>
        </w:tblPrEx>
        <w:trPr>
          <w:trHeight w:val="90"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2060404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科技成果转化与扩散</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8"/>
                <w:szCs w:val="8"/>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44.17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44.17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118.23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23010.05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23010.05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2110399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其他污染防治支出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2111199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其他污染减排支出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878.64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878.64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事业运行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71.17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71.17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农垦运行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科技转化与推广服务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696.85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696.85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病虫害控制</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371.36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371.36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农产品质量安全</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192.06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192.06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执法监管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统计监测与信息服务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27.18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27.18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2130112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农业行业业务管理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2130122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农业生产支持补贴</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1225.33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1225.33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2130135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农业资源保护修复与利用</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180.23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140.23</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2130803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8"/>
                <w:szCs w:val="18"/>
              </w:rPr>
              <w:t>农业保险保费补贴</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1993.1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1993.1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2139999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20"/>
                <w:szCs w:val="20"/>
              </w:rPr>
              <w:t>其他农林水支出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38.11</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914.85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53.03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546.03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20.02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85.88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6.36</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130.65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6.36</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118.23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3.89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10.05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179.20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14.88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119.55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11.16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1094.05</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59.39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0.43</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2120801</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3"/>
                <w:szCs w:val="13"/>
              </w:rPr>
              <w:t>征地和拆迁补偿支出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22.68</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22.68</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22.68</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2120809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0"/>
                <w:szCs w:val="10"/>
              </w:rPr>
              <w:t>支付破产或改制企业职工安置费</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73.81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73.81</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73.81</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r>
              <w:rPr>
                <w:rFonts w:hint="eastAsia" w:ascii="宋体" w:hAnsi="宋体" w:cs="宋体"/>
                <w:color w:val="000000"/>
                <w:kern w:val="0"/>
                <w:sz w:val="22"/>
                <w:szCs w:val="22"/>
              </w:rPr>
              <w:t>注：本表反映部门本年度国有资本经营预算财政拨款支出情况。本部门本年度无相关收入（或支出、收支及结转结余等）情况，按要求空表列示。</w:t>
            </w:r>
          </w:p>
          <w:p>
            <w:pPr>
              <w:widowControl/>
              <w:spacing w:after="0" w:line="240" w:lineRule="auto"/>
              <w:jc w:val="left"/>
              <w:textAlignment w:val="center"/>
              <w:rPr>
                <w:rFonts w:ascii="宋体" w:hAnsi="宋体" w:cs="宋体"/>
                <w:color w:val="000000"/>
                <w:sz w:val="22"/>
                <w:szCs w:val="22"/>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84.9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84.9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8" o:spid="_x0000_s1028"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pStyle w:val="3"/>
        <w:spacing w:before="0" w:after="0" w:line="580" w:lineRule="exact"/>
        <w:ind w:firstLine="640" w:firstLineChars="200"/>
        <w:rPr>
          <w:rFonts w:hint="eastAsia" w:ascii="仿宋" w:hAnsi="仿宋" w:eastAsia="仿宋" w:cs="仿宋"/>
          <w:b w:val="0"/>
          <w:bCs w:val="0"/>
        </w:rPr>
      </w:pPr>
      <w:r>
        <w:rPr>
          <w:rFonts w:hint="eastAsia" w:ascii="仿宋" w:hAnsi="仿宋" w:eastAsia="仿宋" w:cs="仿宋"/>
          <w:b w:val="0"/>
          <w:bCs w:val="0"/>
        </w:rPr>
        <w:t>本部门2018年度收支总计43357.95，与2017年度决算相比，本年收支各增加34070.43万元，增长366.84%，主要是由于今年增加了县政府指定的“双代”职责，造成一般预算收入大幅增加。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本部门2018年度本年收入合计42132.75万元，其中：财政拨款收入42132.75万元，占100%；如图所示：</w:t>
      </w:r>
    </w:p>
    <w:p>
      <w:pPr>
        <w:adjustRightInd w:val="0"/>
        <w:snapToGrid w:val="0"/>
        <w:spacing w:after="0" w:line="580" w:lineRule="exact"/>
        <w:ind w:firstLine="1260" w:firstLineChars="600"/>
        <w:rPr>
          <w:rFonts w:ascii="仿宋_GB2312" w:eastAsia="仿宋_GB2312" w:cs="DengXian-Regular"/>
          <w:sz w:val="32"/>
          <w:szCs w:val="32"/>
        </w:rPr>
      </w:pPr>
      <w:r>
        <w:drawing>
          <wp:inline distT="0" distB="0" distL="114300" distR="114300">
            <wp:extent cx="4391025" cy="2552700"/>
            <wp:effectExtent l="47625" t="4445" r="57150" b="109855"/>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after="0" w:line="240" w:lineRule="auto"/>
        <w:rPr>
          <w:rFonts w:ascii="黑体" w:eastAsia="黑体"/>
        </w:rPr>
      </w:pPr>
      <w:r>
        <w:drawing>
          <wp:inline distT="0" distB="0" distL="114300" distR="114300">
            <wp:extent cx="4492625" cy="2658110"/>
            <wp:effectExtent l="0" t="0" r="3175" b="889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a:stretch>
                      <a:fillRect/>
                    </a:stretch>
                  </pic:blipFill>
                  <pic:spPr>
                    <a:xfrm>
                      <a:off x="0" y="0"/>
                      <a:ext cx="4492625" cy="2658110"/>
                    </a:xfrm>
                    <a:prstGeom prst="rect">
                      <a:avLst/>
                    </a:prstGeom>
                  </pic:spPr>
                </pic:pic>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本部门2018年度本年支出合计29783.74万元，其中：基本支出1227.26万元，占4.12%；项目支出28556.48万元，占95.88%。如图所示：</w:t>
      </w:r>
    </w:p>
    <w:p>
      <w:pPr>
        <w:pStyle w:val="3"/>
        <w:spacing w:before="0" w:after="0" w:line="240" w:lineRule="auto"/>
        <w:ind w:firstLine="640" w:firstLineChars="200"/>
        <w:rPr>
          <w:rFonts w:ascii="黑体" w:eastAsia="黑体"/>
          <w:b w:val="0"/>
          <w:bCs w:val="0"/>
        </w:rPr>
      </w:pPr>
    </w:p>
    <w:p>
      <w:pPr>
        <w:pStyle w:val="3"/>
        <w:spacing w:before="0" w:after="0" w:line="240" w:lineRule="auto"/>
        <w:ind w:firstLine="643" w:firstLineChars="200"/>
        <w:rPr>
          <w:rFonts w:ascii="黑体" w:eastAsia="黑体"/>
          <w:b w:val="0"/>
          <w:bCs w:val="0"/>
        </w:rPr>
      </w:pPr>
      <w:r>
        <w:drawing>
          <wp:inline distT="0" distB="0" distL="114300" distR="114300">
            <wp:extent cx="4219575" cy="2600325"/>
            <wp:effectExtent l="47625" t="4445" r="57150" b="10033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3"/>
        <w:spacing w:before="0" w:after="0" w:line="240" w:lineRule="auto"/>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6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财政拨款本年收入42132.75万元；比2017年度增长34455.77万元，增长448.82%，主要是县政府增加指定“双代”职责，造成上级相关转移支付大幅增加；本年支出29783.74万元，与2017年度决算相比支出增加22609.08万元，增长315%，主要是双代方面上级转移支付大幅增加。</w:t>
      </w:r>
    </w:p>
    <w:p>
      <w:pPr>
        <w:adjustRightInd w:val="0"/>
        <w:snapToGrid w:val="0"/>
        <w:spacing w:after="0" w:line="560" w:lineRule="exact"/>
        <w:ind w:firstLine="640" w:firstLineChars="200"/>
        <w:rPr>
          <w:rFonts w:ascii="仿宋_GB2312" w:eastAsia="仿宋_GB2312" w:cs="DengXian-Regular"/>
          <w:sz w:val="32"/>
          <w:szCs w:val="32"/>
        </w:rPr>
      </w:pPr>
      <w:r>
        <w:rPr>
          <w:rFonts w:hint="eastAsia" w:ascii="仿宋" w:hAnsi="仿宋" w:eastAsia="仿宋" w:cs="仿宋"/>
          <w:sz w:val="32"/>
          <w:szCs w:val="32"/>
        </w:rPr>
        <w:t>其中，一般公共预算财政拨款本年收入42036.26万元；比上年增加34359.28万元，增长447.56%，主要是县政府增加指定“双代”职责，造成上级相关转移支付大幅增加；本年支出29783.74万元，比上年增加22609.08万元，增长315.12%，主要是双代方面上级转移支付增加。政府性基金预算财政拨款本年收入96.49万元，比上年减少102.89万元，降低51.6%，主要是土地出让金收入减少；本年支出96.49万元，比上年减少102.89万元，降低51.6%，主要是土地出让金支出减少。</w:t>
      </w:r>
      <w:r>
        <w:drawing>
          <wp:inline distT="0" distB="0" distL="114300" distR="114300">
            <wp:extent cx="4572000" cy="2981325"/>
            <wp:effectExtent l="47625" t="4445" r="47625" b="100330"/>
            <wp:docPr id="1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adjustRightInd w:val="0"/>
        <w:snapToGrid w:val="0"/>
        <w:spacing w:after="0" w:line="240" w:lineRule="auto"/>
        <w:rPr>
          <w:rFonts w:ascii="仿宋_GB2312" w:eastAsia="仿宋_GB2312" w:cs="DengXian-Regular"/>
          <w:sz w:val="32"/>
          <w:szCs w:val="32"/>
        </w:rPr>
      </w:pPr>
      <w:r>
        <w:drawing>
          <wp:inline distT="0" distB="0" distL="114300" distR="114300">
            <wp:extent cx="4572000" cy="2981325"/>
            <wp:effectExtent l="47625" t="4445" r="47625" b="100330"/>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after="0" w:line="240" w:lineRule="auto"/>
        <w:ind w:firstLine="964" w:firstLineChars="3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财政拨款本年收入42132.75万元，完成年初预算的499%，较年初预算增加35098.89万元，决算数大于预算数主要原因是双代方面上级专项转移支付追加较多；本年支出29783.74万元，完成年初预算的323.43%，较,年初预算增加22749.88万元，主要是双代方面上级专项转移支付追加较多。</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其中，本部门2018年度一般公共预算财政拨款本年收入42132.75万元，完成年初预算的增长1497.63%，较年初预算增加35002.4万元，主要是上级专项转移支付追加较多；本年支出29687.25万元，比年初预算增加22653.39万元，主要是上级专项转移支付追加较多。政府性基金预算财政拨款本年收入较2018年初预算增加96.49万元，完成年初预算的100%，主要是土地出让金收入增加；本年支出增加96.49万元，完成年初预算的100%，主要是土地出让金增加。</w:t>
      </w:r>
    </w:p>
    <w:p>
      <w:pPr>
        <w:adjustRightInd w:val="0"/>
        <w:snapToGrid w:val="0"/>
        <w:spacing w:after="0" w:line="240" w:lineRule="auto"/>
        <w:ind w:firstLine="420" w:firstLineChars="200"/>
        <w:rPr>
          <w:rFonts w:ascii="仿宋" w:hAnsi="仿宋" w:eastAsia="仿宋" w:cs="仿宋"/>
          <w:sz w:val="32"/>
          <w:szCs w:val="32"/>
        </w:rPr>
      </w:pPr>
      <w:r>
        <w:drawing>
          <wp:inline distT="0" distB="0" distL="114300" distR="114300">
            <wp:extent cx="5192395" cy="3561715"/>
            <wp:effectExtent l="47625" t="4445" r="55880" b="11049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adjustRightInd w:val="0"/>
        <w:snapToGrid w:val="0"/>
        <w:spacing w:after="0" w:line="240" w:lineRule="auto"/>
        <w:ind w:firstLine="640" w:firstLineChars="200"/>
        <w:rPr>
          <w:rFonts w:ascii="仿宋" w:hAnsi="仿宋" w:eastAsia="仿宋" w:cs="仿宋"/>
          <w:sz w:val="32"/>
          <w:szCs w:val="32"/>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hint="eastAsia" w:ascii="仿宋" w:hAnsi="仿宋" w:eastAsia="仿宋" w:cs="仿宋"/>
          <w:sz w:val="32"/>
          <w:szCs w:val="32"/>
        </w:rPr>
        <w:t>2018 年度财政拨款支出29783.74万元，主要用于以下方面：科学技术（类）支出560万元，占 1.88%；社会保障和就业（类）支出44.8万元，占0.15%；医疗卫生与计划生育（类）支出118.83万元，占0.4%;节能环保（类）支出23161.05万元，占 77.76%;城乡社区（类）支出96.49万元，占 0.32%;农林水（类）支出5802.56万元，占 19.48%。</w:t>
      </w:r>
    </w:p>
    <w:p>
      <w:pPr>
        <w:adjustRightInd w:val="0"/>
        <w:snapToGrid w:val="0"/>
        <w:spacing w:after="0" w:line="240" w:lineRule="auto"/>
        <w:ind w:left="420" w:leftChars="200"/>
        <w:rPr>
          <w:rFonts w:ascii="楷体_GB2312" w:eastAsia="楷体_GB2312" w:cs="DengXian-Bold"/>
          <w:b/>
          <w:bCs/>
          <w:sz w:val="32"/>
          <w:szCs w:val="32"/>
        </w:rPr>
      </w:pPr>
    </w:p>
    <w:p>
      <w:pPr>
        <w:adjustRightInd w:val="0"/>
        <w:snapToGrid w:val="0"/>
        <w:spacing w:after="0" w:line="240" w:lineRule="auto"/>
        <w:ind w:left="420" w:leftChars="200"/>
      </w:pPr>
      <w:r>
        <w:drawing>
          <wp:inline distT="0" distB="0" distL="114300" distR="114300">
            <wp:extent cx="4572000" cy="3228975"/>
            <wp:effectExtent l="57150" t="0" r="57150" b="6667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adjustRightInd w:val="0"/>
        <w:snapToGrid w:val="0"/>
        <w:spacing w:after="0" w:line="240" w:lineRule="auto"/>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2018 年度一般公共预算财政拨款基本支出1153.44万元，其中：人员经费 1094.05万元，主要包括基本工资、津贴补贴、奖金、绩效工资、机关事业单位基本养老保险缴费、职工基本医疗保险缴费、其他工资福利支出、离休费、退休费、抚恤金、奖励金、其他对个人和家庭的补助支出等；公用经费59.39万元，主要包括办公费、印刷费、水费、电费、邮电费、取暖费、差旅费、租赁费、公务接待费、专用材料费、委托业务费、公务用车运行维护费、其他交通费用、税金及附加费用、其他商品和服务支出、办公设备购置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本部门2018年度“三公”经费支出共计3.433万元，较年初预算减少0.567万元，降低14.18%，主要是</w:t>
      </w:r>
      <w:bookmarkStart w:id="0" w:name="_GoBack"/>
      <w:bookmarkEnd w:id="0"/>
      <w:r>
        <w:rPr>
          <w:rFonts w:hint="eastAsia" w:ascii="仿宋" w:hAnsi="仿宋" w:eastAsia="仿宋" w:cs="仿宋"/>
          <w:sz w:val="32"/>
          <w:szCs w:val="32"/>
        </w:rPr>
        <w:t>认真贯彻落实中央</w:t>
      </w:r>
      <w:r>
        <w:rPr>
          <w:rFonts w:hint="eastAsia" w:ascii="仿宋" w:hAnsi="仿宋" w:eastAsia="仿宋" w:cs="仿宋"/>
          <w:sz w:val="32"/>
          <w:szCs w:val="32"/>
          <w:lang w:eastAsia="zh-CN"/>
        </w:rPr>
        <w:t>八项规定</w:t>
      </w:r>
      <w:r>
        <w:rPr>
          <w:rFonts w:hint="eastAsia" w:ascii="仿宋" w:hAnsi="仿宋" w:eastAsia="仿宋" w:cs="仿宋"/>
          <w:sz w:val="32"/>
          <w:szCs w:val="32"/>
        </w:rPr>
        <w:t>精神和厉行节约要求，从严控制“三公”经费开支，全年实际支出比预算有所节约，公务用车和公务接待费用减少。具体情况如下：</w:t>
      </w:r>
    </w:p>
    <w:p>
      <w:pPr>
        <w:adjustRightInd w:val="0"/>
        <w:snapToGrid w:val="0"/>
        <w:spacing w:after="0"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（一）因公出国（境）费支出0万元。</w:t>
      </w:r>
      <w:r>
        <w:rPr>
          <w:rFonts w:hint="eastAsia" w:ascii="仿宋" w:hAnsi="仿宋" w:eastAsia="仿宋" w:cs="仿宋"/>
          <w:sz w:val="32"/>
          <w:szCs w:val="32"/>
        </w:rPr>
        <w:t>本部门2018年度因公出国（境）团组0个、共0人。因公出国（境）费支出较预算无增减变化，主要原因是未发生此类支出。</w:t>
      </w:r>
    </w:p>
    <w:p>
      <w:pPr>
        <w:adjustRightInd w:val="0"/>
        <w:snapToGrid w:val="0"/>
        <w:spacing w:after="0"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（二）公务用车购置及运行维护费支出3万元。</w:t>
      </w:r>
      <w:r>
        <w:rPr>
          <w:rFonts w:hint="eastAsia" w:ascii="仿宋" w:hAnsi="仿宋" w:eastAsia="仿宋" w:cs="仿宋"/>
          <w:sz w:val="32"/>
          <w:szCs w:val="32"/>
        </w:rPr>
        <w:t>本部门2018年度公务用车购置及运行维护费较年初预算减少0万元，未降低。</w:t>
      </w:r>
      <w:r>
        <w:rPr>
          <w:rFonts w:hint="eastAsia" w:ascii="仿宋" w:hAnsi="仿宋" w:eastAsia="仿宋" w:cs="仿宋"/>
          <w:b/>
          <w:bCs/>
          <w:sz w:val="32"/>
          <w:szCs w:val="32"/>
        </w:rPr>
        <w:t>其中：</w:t>
      </w:r>
    </w:p>
    <w:p>
      <w:pPr>
        <w:adjustRightInd w:val="0"/>
        <w:snapToGrid w:val="0"/>
        <w:spacing w:after="0" w:line="560" w:lineRule="exact"/>
        <w:ind w:firstLine="643" w:firstLineChars="200"/>
        <w:rPr>
          <w:rFonts w:ascii="仿宋" w:hAnsi="仿宋" w:eastAsia="仿宋" w:cs="仿宋"/>
          <w:sz w:val="32"/>
          <w:szCs w:val="32"/>
        </w:rPr>
      </w:pPr>
      <w:r>
        <w:rPr>
          <w:rFonts w:hint="eastAsia" w:ascii="仿宋" w:hAnsi="仿宋" w:eastAsia="仿宋" w:cs="仿宋"/>
          <w:b/>
          <w:sz w:val="32"/>
          <w:szCs w:val="32"/>
        </w:rPr>
        <w:t>公务用车购置费：</w:t>
      </w:r>
      <w:r>
        <w:rPr>
          <w:rFonts w:hint="eastAsia" w:ascii="仿宋" w:hAnsi="仿宋" w:eastAsia="仿宋" w:cs="仿宋"/>
          <w:sz w:val="32"/>
          <w:szCs w:val="32"/>
        </w:rPr>
        <w:t>本部门2018年度公务用车购置量0辆，发生“公务用车购置”经费支出0万元。未发生此类支出。较年初预算持平。</w:t>
      </w:r>
    </w:p>
    <w:p>
      <w:pPr>
        <w:adjustRightInd w:val="0"/>
        <w:snapToGrid w:val="0"/>
        <w:spacing w:after="0" w:line="560" w:lineRule="exact"/>
        <w:ind w:firstLine="643" w:firstLineChars="200"/>
        <w:rPr>
          <w:rFonts w:ascii="仿宋" w:hAnsi="仿宋" w:eastAsia="仿宋" w:cs="仿宋"/>
          <w:sz w:val="32"/>
          <w:szCs w:val="32"/>
        </w:rPr>
      </w:pPr>
      <w:r>
        <w:rPr>
          <w:rFonts w:hint="eastAsia" w:ascii="仿宋" w:hAnsi="仿宋" w:eastAsia="仿宋" w:cs="仿宋"/>
          <w:b/>
          <w:sz w:val="32"/>
          <w:szCs w:val="32"/>
        </w:rPr>
        <w:t>公务用车运行维护费：</w:t>
      </w:r>
      <w:r>
        <w:rPr>
          <w:rFonts w:hint="eastAsia" w:ascii="仿宋" w:hAnsi="仿宋" w:eastAsia="仿宋" w:cs="仿宋"/>
          <w:sz w:val="32"/>
          <w:szCs w:val="32"/>
        </w:rPr>
        <w:t>本部门2018年度单位公务用车保有量3辆。公车运行维护费支出3万元，较年初预算持平，主要是车改后公务用车减少使用，费用降低。</w:t>
      </w:r>
    </w:p>
    <w:p>
      <w:pPr>
        <w:adjustRightInd w:val="0"/>
        <w:snapToGrid w:val="0"/>
        <w:spacing w:after="0"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（三）公务接待费支出0.433万元。</w:t>
      </w:r>
      <w:r>
        <w:rPr>
          <w:rFonts w:hint="eastAsia" w:ascii="仿宋" w:hAnsi="仿宋" w:eastAsia="仿宋" w:cs="仿宋"/>
          <w:sz w:val="32"/>
          <w:szCs w:val="32"/>
        </w:rPr>
        <w:t>本部门2018年度公务接待共5批次、141人次。公务接待费支出较年初预算减少0.567万元，降低57%,主要是压减公务接待。</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 w:hAnsi="仿宋" w:eastAsia="仿宋" w:cs="仿宋"/>
          <w:color w:val="FF0000"/>
          <w:sz w:val="32"/>
          <w:szCs w:val="32"/>
        </w:rPr>
      </w:pPr>
      <w:r>
        <w:rPr>
          <w:rFonts w:hint="eastAsia" w:ascii="仿宋" w:hAnsi="仿宋" w:eastAsia="仿宋" w:cs="仿宋"/>
          <w:sz w:val="32"/>
          <w:szCs w:val="32"/>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二）预算项目绩效评价开展情况。根据预算绩效管理要求，本单位组织对2018年度一般公共预算项目支出全面开展绩效自评，涉及农机购置补贴、粮改饲、地下水超采综合治理-小麦节水品种推广等3个项目，涉及资金2175万元。从评价情况看，评价结果为优秀的项目有2个，良好的项目有1个。</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600" w:lineRule="exact"/>
        <w:ind w:firstLine="640" w:firstLineChars="200"/>
        <w:rPr>
          <w:rFonts w:ascii="仿宋" w:hAnsi="仿宋" w:eastAsia="仿宋" w:cs="仿宋"/>
          <w:sz w:val="32"/>
          <w:szCs w:val="32"/>
        </w:rPr>
      </w:pPr>
      <w:r>
        <w:rPr>
          <w:rFonts w:hint="eastAsia" w:ascii="仿宋" w:hAnsi="仿宋" w:eastAsia="仿宋" w:cs="仿宋"/>
          <w:sz w:val="32"/>
          <w:szCs w:val="32"/>
        </w:rPr>
        <w:t>1、本单位2018年粮改饲项目绩效自评：根据年初设定的绩效目标，2018年粮改饲项目绩效自评结果为优秀。项目全年预算数为315万元，执行数为315万元，完成预算的100%。主要产出和效果是</w:t>
      </w:r>
      <w:r>
        <w:rPr>
          <w:rFonts w:hint="eastAsia" w:ascii="仿宋" w:hAnsi="仿宋" w:eastAsia="仿宋" w:cs="仿宋"/>
          <w:color w:val="3D3D3D"/>
          <w:sz w:val="32"/>
          <w:szCs w:val="32"/>
          <w:shd w:val="clear" w:color="auto" w:fill="FFFFFF"/>
        </w:rPr>
        <w:t>扶持养殖场37家，完成青储数量10.68万吨，充分发挥财政资金的杠杆作用，产生了良好的示范辐射带动效益。通过</w:t>
      </w:r>
      <w:r>
        <w:rPr>
          <w:rFonts w:hint="eastAsia" w:ascii="仿宋" w:hAnsi="仿宋" w:eastAsia="仿宋" w:cs="仿宋"/>
          <w:color w:val="333333"/>
          <w:sz w:val="32"/>
          <w:szCs w:val="32"/>
        </w:rPr>
        <w:t>“粮改饲”项目的实施促进了农业产业结构调整，增加了农民收入。同时，为草食家畜发展提供了优质饲料，促进了畜牧业发展，提高了畜牧产品质量和效益，</w:t>
      </w:r>
      <w:r>
        <w:rPr>
          <w:rFonts w:hint="eastAsia" w:ascii="仿宋" w:hAnsi="仿宋" w:eastAsia="仿宋" w:cs="仿宋"/>
          <w:color w:val="3D3D3D"/>
          <w:sz w:val="32"/>
          <w:szCs w:val="32"/>
          <w:shd w:val="clear" w:color="auto" w:fill="FFFFFF"/>
        </w:rPr>
        <w:t>实现了经济效益、社会效益和生态效益的三丰收。</w:t>
      </w:r>
      <w:r>
        <w:rPr>
          <w:rFonts w:hint="eastAsia" w:ascii="仿宋" w:hAnsi="仿宋" w:eastAsia="仿宋" w:cs="仿宋"/>
          <w:sz w:val="32"/>
          <w:szCs w:val="32"/>
        </w:rPr>
        <w:t>。发现问题及原因是因财政资金紧张，造成资金下拨存在延迟。下一步改进措施是积极协调财政部门，及时下拨项目资金。</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2、本单位2018年农机购置补贴项目绩效自评：根据年初设定的绩效目标，2018年农机购置补贴项目绩效自评结果为优秀。项目全年预算数为1160万元，执行数为1160万元，完成预算的100%。主要产出和效果是：</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产出指标：农机购置补贴机具数300台、年度资金使用比例100%。完成情况：完成农机购置补贴机具数509台，年度资金使用比例100%。完成目标任务100%。</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效益指标：直接受益农户数300户，农作物耕种收综合机械化率95%。完成情况：直接受益农户数335户，农作物耕种收综合机械化率95%。完成目标任务100%。</w:t>
      </w:r>
    </w:p>
    <w:p>
      <w:pPr>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3 \* GB3 \* MERGEFORMAT </w:instrText>
      </w:r>
      <w:r>
        <w:rPr>
          <w:rFonts w:hint="eastAsia" w:ascii="仿宋" w:hAnsi="仿宋" w:eastAsia="仿宋" w:cs="仿宋"/>
          <w:sz w:val="32"/>
          <w:szCs w:val="32"/>
        </w:rPr>
        <w:fldChar w:fldCharType="separate"/>
      </w:r>
      <w:r>
        <w:rPr>
          <w:rFonts w:hint="eastAsia" w:ascii="仿宋" w:hAnsi="仿宋" w:eastAsia="仿宋" w:cs="仿宋"/>
          <w:sz w:val="32"/>
          <w:szCs w:val="32"/>
        </w:rPr>
        <w:t>③</w:t>
      </w:r>
      <w:r>
        <w:rPr>
          <w:rFonts w:hint="eastAsia" w:ascii="仿宋" w:hAnsi="仿宋" w:eastAsia="仿宋" w:cs="仿宋"/>
          <w:sz w:val="32"/>
          <w:szCs w:val="32"/>
        </w:rPr>
        <w:fldChar w:fldCharType="end"/>
      </w:r>
      <w:r>
        <w:rPr>
          <w:rFonts w:hint="eastAsia" w:ascii="仿宋" w:hAnsi="仿宋" w:eastAsia="仿宋" w:cs="仿宋"/>
          <w:sz w:val="32"/>
          <w:szCs w:val="32"/>
        </w:rPr>
        <w:t>满意度指标：政策公开率100%、年度内资金兑付率100%。</w:t>
      </w:r>
    </w:p>
    <w:p>
      <w:pPr>
        <w:spacing w:line="240" w:lineRule="auto"/>
        <w:rPr>
          <w:rFonts w:ascii="仿宋_GB2312" w:eastAsia="仿宋_GB2312" w:cs="DengXian-Regular"/>
          <w:sz w:val="32"/>
          <w:szCs w:val="32"/>
        </w:rPr>
      </w:pPr>
      <w:r>
        <w:rPr>
          <w:rFonts w:hint="eastAsia" w:ascii="仿宋" w:hAnsi="仿宋" w:eastAsia="仿宋" w:cs="仿宋"/>
          <w:sz w:val="32"/>
          <w:szCs w:val="32"/>
        </w:rPr>
        <w:t>完成情况：政策公开率100%、年度内资金兑付率100%。完成目标任务100%。</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3、本单位2018年地下水超采综合治理-小麦节水品种推广项目绩效自评：根据年初设定的绩效目标，2018年地下水超采综合治理-小麦节水品种推广项目绩效自评结果为良好。项目全年预算数为700万元，执行数为560万元，完成预算的80%。主要产出和效果是无极县2018年小麦节水品种及配套技术推广项目实施面积10万亩，实际落实面积100143.06亩，推过推广造墒播种、播后镇压、适度推迟春一水、浇好孕穗水等关键技术，大力推广春季只浇1-2水，少浇1-2水，实现压采地下水510万立方米。存在问题及原因是因财政资金紧张，造成资金下拨存在延迟。下一步改进措施是积极协调财政部门，及时下拨项目资金。</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本部门2018年度机关运行经费支出59.39万元，较年初预算</w:t>
      </w:r>
      <w:r>
        <w:rPr>
          <w:rFonts w:hint="eastAsia" w:ascii="仿宋" w:hAnsi="仿宋" w:eastAsia="仿宋" w:cs="仿宋_GB2312"/>
          <w:sz w:val="32"/>
          <w:szCs w:val="32"/>
        </w:rPr>
        <w:t>增加7.89万元，主要追加了原畜牧局拆迁租赁房屋租金。</w:t>
      </w:r>
      <w:r>
        <w:rPr>
          <w:rFonts w:hint="eastAsia" w:ascii="仿宋" w:hAnsi="仿宋" w:eastAsia="仿宋" w:cs="仿宋"/>
          <w:sz w:val="32"/>
          <w:szCs w:val="32"/>
        </w:rPr>
        <w:t>比2017年度决算减少25.1万元，降低29.7%。主要原因是厉行节约，减少经费支出。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政府采购支出总额84.9万元，从采购类型来看，政府采购货物支出0万元、政府采购工程支出0万元、政府采购服务支出84.9万元，中标单位为国有事业单位。授予中小企业合同金0万元，占政府采购支出总额的0%，其中授予小微企业合同金额0万元，占政府采购支出总额的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截至2018年12月31日，本部门共有车辆3辆，与上年无变化。其中，</w:t>
      </w:r>
      <w:r>
        <w:rPr>
          <w:rFonts w:hint="eastAsia" w:ascii="仿宋" w:hAnsi="仿宋" w:eastAsia="仿宋" w:cs="DengXian-Regular"/>
          <w:sz w:val="32"/>
          <w:szCs w:val="32"/>
        </w:rPr>
        <w:t>副部（省）级及以上领导用车</w:t>
      </w:r>
      <w:r>
        <w:rPr>
          <w:rFonts w:ascii="仿宋" w:hAnsi="仿宋" w:eastAsia="仿宋" w:cs="DengXian-Regular"/>
          <w:sz w:val="32"/>
          <w:szCs w:val="32"/>
        </w:rPr>
        <w:t>0</w:t>
      </w:r>
      <w:r>
        <w:rPr>
          <w:rFonts w:hint="eastAsia" w:ascii="仿宋" w:hAnsi="仿宋" w:eastAsia="仿宋" w:cs="DengXian-Regular"/>
          <w:sz w:val="32"/>
          <w:szCs w:val="32"/>
        </w:rPr>
        <w:t>辆，主要领导干部用车辆，机要通信用车</w:t>
      </w:r>
      <w:r>
        <w:rPr>
          <w:rFonts w:ascii="仿宋" w:hAnsi="仿宋" w:eastAsia="仿宋" w:cs="DengXian-Regular"/>
          <w:sz w:val="32"/>
          <w:szCs w:val="32"/>
        </w:rPr>
        <w:t>0</w:t>
      </w:r>
      <w:r>
        <w:rPr>
          <w:rFonts w:hint="eastAsia" w:ascii="仿宋" w:hAnsi="仿宋" w:eastAsia="仿宋" w:cs="DengXian-Regular"/>
          <w:sz w:val="32"/>
          <w:szCs w:val="32"/>
        </w:rPr>
        <w:t>辆，</w:t>
      </w:r>
      <w:r>
        <w:rPr>
          <w:rFonts w:hint="eastAsia" w:ascii="仿宋" w:hAnsi="仿宋" w:eastAsia="仿宋" w:cs="仿宋"/>
          <w:sz w:val="32"/>
          <w:szCs w:val="32"/>
        </w:rPr>
        <w:t>应急通信保障用车1辆，执法执勤用车2辆，</w:t>
      </w:r>
      <w:r>
        <w:rPr>
          <w:rFonts w:hint="eastAsia" w:ascii="仿宋" w:hAnsi="仿宋" w:eastAsia="仿宋" w:cs="DengXian-Regular"/>
          <w:sz w:val="32"/>
          <w:szCs w:val="32"/>
        </w:rPr>
        <w:t>特种专业技术用车</w:t>
      </w:r>
      <w:r>
        <w:rPr>
          <w:rFonts w:ascii="仿宋" w:hAnsi="仿宋" w:eastAsia="仿宋" w:cs="DengXian-Regular"/>
          <w:sz w:val="32"/>
          <w:szCs w:val="32"/>
        </w:rPr>
        <w:t>0</w:t>
      </w:r>
      <w:r>
        <w:rPr>
          <w:rFonts w:hint="eastAsia" w:ascii="仿宋" w:hAnsi="仿宋" w:eastAsia="仿宋" w:cs="DengXian-Regular"/>
          <w:sz w:val="32"/>
          <w:szCs w:val="32"/>
        </w:rPr>
        <w:t>辆，离退休干部用车</w:t>
      </w:r>
      <w:r>
        <w:rPr>
          <w:rFonts w:ascii="仿宋" w:hAnsi="仿宋" w:eastAsia="仿宋" w:cs="DengXian-Regular"/>
          <w:sz w:val="32"/>
          <w:szCs w:val="32"/>
        </w:rPr>
        <w:t>0</w:t>
      </w:r>
      <w:r>
        <w:rPr>
          <w:rFonts w:hint="eastAsia" w:ascii="仿宋" w:hAnsi="仿宋" w:eastAsia="仿宋" w:cs="DengXian-Regular"/>
          <w:sz w:val="32"/>
          <w:szCs w:val="32"/>
        </w:rPr>
        <w:t>辆，其他用车0辆，</w:t>
      </w:r>
    </w:p>
    <w:p>
      <w:pPr>
        <w:adjustRightInd w:val="0"/>
        <w:snapToGrid w:val="0"/>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单位价值50万元以上通用设备0台（套），与上年无变化，单位价值100万元以上专用设备0台（套）与上年无变化。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1、2018年度不存在国有资本经营预算，故国有资本经营预算财政拨款收入支出决算表为空。</w:t>
      </w:r>
    </w:p>
    <w:p>
      <w:pPr>
        <w:numPr>
          <w:ilvl w:val="0"/>
          <w:numId w:val="2"/>
        </w:numPr>
        <w:adjustRightInd w:val="0"/>
        <w:snapToGrid w:val="0"/>
        <w:spacing w:after="0"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由于决算公开表格中金额数值应当保留两位小数，公开数据为四舍五入计算结果，个别数据合计项与分项之和存在小数点后差额，特此说明。</w:t>
      </w:r>
    </w:p>
    <w:p>
      <w:pPr>
        <w:numPr>
          <w:ilvl w:val="0"/>
          <w:numId w:val="2"/>
        </w:numPr>
        <w:adjustRightInd w:val="0"/>
        <w:snapToGrid w:val="0"/>
        <w:spacing w:after="0"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由于退休人员已经全部转到社保发放工资，在人员统计中不再对退休人员进行统计，但支出明细表中有退休费，是因为退休人员交通补、取暖费和目标奖仍由原单位列支。</w:t>
      </w:r>
    </w:p>
    <w:p>
      <w:pPr>
        <w:widowControl/>
        <w:spacing w:after="0" w:line="580" w:lineRule="exact"/>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（一）财政拨款收入：</w:t>
      </w:r>
      <w:r>
        <w:rPr>
          <w:rFonts w:hint="eastAsia" w:ascii="仿宋" w:hAnsi="仿宋" w:eastAsia="仿宋" w:cs="仿宋"/>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（二）事业收入：</w:t>
      </w:r>
      <w:r>
        <w:rPr>
          <w:rFonts w:hint="eastAsia" w:ascii="仿宋" w:hAnsi="仿宋" w:eastAsia="仿宋" w:cs="仿宋"/>
          <w:color w:val="000000"/>
          <w:kern w:val="0"/>
          <w:sz w:val="32"/>
          <w:szCs w:val="32"/>
        </w:rPr>
        <w:t>指事业单位开展专业业务活动及辅助活动所取得的收入。</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（三）其他收入：</w:t>
      </w:r>
      <w:r>
        <w:rPr>
          <w:rFonts w:hint="eastAsia" w:ascii="仿宋" w:hAnsi="仿宋" w:eastAsia="仿宋" w:cs="仿宋"/>
          <w:color w:val="000000"/>
          <w:kern w:val="0"/>
          <w:sz w:val="32"/>
          <w:szCs w:val="32"/>
        </w:rPr>
        <w:t>指除上述“财政拨款收入”“事业收入”“经营收入”等以外的收入。</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（四）用事业基金弥补收支差额：</w:t>
      </w:r>
      <w:r>
        <w:rPr>
          <w:rFonts w:hint="eastAsia" w:ascii="仿宋" w:hAnsi="仿宋" w:eastAsia="仿宋" w:cs="仿宋"/>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（五）年初结转和结余：</w:t>
      </w:r>
      <w:r>
        <w:rPr>
          <w:rFonts w:hint="eastAsia" w:ascii="仿宋" w:hAnsi="仿宋" w:eastAsia="仿宋" w:cs="仿宋"/>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（六）结余分配：</w:t>
      </w:r>
      <w:r>
        <w:rPr>
          <w:rFonts w:hint="eastAsia" w:ascii="仿宋" w:hAnsi="仿宋" w:eastAsia="仿宋" w:cs="仿宋"/>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（七）年末结转和结余：</w:t>
      </w:r>
      <w:r>
        <w:rPr>
          <w:rFonts w:hint="eastAsia" w:ascii="仿宋" w:hAnsi="仿宋" w:eastAsia="仿宋" w:cs="仿宋"/>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（八）基本支出：</w:t>
      </w:r>
      <w:r>
        <w:rPr>
          <w:rFonts w:hint="eastAsia" w:ascii="仿宋" w:hAnsi="仿宋" w:eastAsia="仿宋" w:cs="仿宋"/>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（九）项目支出：</w:t>
      </w:r>
      <w:r>
        <w:rPr>
          <w:rFonts w:hint="eastAsia" w:ascii="仿宋" w:hAnsi="仿宋" w:eastAsia="仿宋" w:cs="仿宋"/>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（十）资本性支出（基本建设）：</w:t>
      </w:r>
      <w:r>
        <w:rPr>
          <w:rFonts w:hint="eastAsia" w:ascii="仿宋" w:hAnsi="仿宋" w:eastAsia="仿宋" w:cs="仿宋"/>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（十一）资本性支出：</w:t>
      </w:r>
      <w:r>
        <w:rPr>
          <w:rFonts w:hint="eastAsia" w:ascii="仿宋" w:hAnsi="仿宋" w:eastAsia="仿宋" w:cs="仿宋"/>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（十二）“三公”经费：</w:t>
      </w:r>
      <w:r>
        <w:rPr>
          <w:rFonts w:hint="eastAsia" w:ascii="仿宋" w:hAnsi="仿宋" w:eastAsia="仿宋" w:cs="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（十三）其他交通费用：</w:t>
      </w:r>
      <w:r>
        <w:rPr>
          <w:rFonts w:hint="eastAsia" w:ascii="仿宋" w:hAnsi="仿宋" w:eastAsia="仿宋" w:cs="仿宋"/>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（十四）公务用车购置：</w:t>
      </w:r>
      <w:r>
        <w:rPr>
          <w:rFonts w:hint="eastAsia" w:ascii="仿宋" w:hAnsi="仿宋" w:eastAsia="仿宋" w:cs="仿宋"/>
          <w:color w:val="000000"/>
          <w:kern w:val="0"/>
          <w:sz w:val="32"/>
          <w:szCs w:val="32"/>
        </w:rPr>
        <w:t>填列单位公务用车购置支出（含车辆购置税、牌照费）。</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（十五）其他交通工具购置：</w:t>
      </w:r>
      <w:r>
        <w:rPr>
          <w:rFonts w:hint="eastAsia" w:ascii="仿宋" w:hAnsi="仿宋" w:eastAsia="仿宋" w:cs="仿宋"/>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 w:hAnsi="仿宋" w:eastAsia="仿宋" w:cs="仿宋"/>
          <w:color w:val="000000"/>
          <w:kern w:val="0"/>
          <w:sz w:val="32"/>
          <w:szCs w:val="32"/>
        </w:rPr>
      </w:pPr>
      <w:r>
        <w:rPr>
          <w:rFonts w:hint="eastAsia" w:ascii="仿宋" w:hAnsi="仿宋" w:eastAsia="仿宋" w:cs="仿宋"/>
          <w:b/>
          <w:bCs/>
          <w:color w:val="000000"/>
          <w:kern w:val="0"/>
          <w:sz w:val="32"/>
          <w:szCs w:val="32"/>
        </w:rPr>
        <w:t>（十六）机关运行经费：</w:t>
      </w:r>
      <w:r>
        <w:rPr>
          <w:rFonts w:hint="eastAsia" w:ascii="仿宋" w:hAnsi="仿宋" w:eastAsia="仿宋" w:cs="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 w:hAnsi="仿宋" w:eastAsia="仿宋" w:cs="仿宋"/>
          <w:kern w:val="0"/>
          <w:sz w:val="32"/>
          <w:szCs w:val="32"/>
        </w:rPr>
        <w:sectPr>
          <w:pgSz w:w="11906" w:h="16838"/>
          <w:pgMar w:top="2098" w:right="1474" w:bottom="1985" w:left="1588" w:header="851" w:footer="992" w:gutter="0"/>
          <w:cols w:space="425" w:num="1"/>
          <w:docGrid w:type="lines" w:linePitch="312" w:charSpace="0"/>
        </w:sectPr>
      </w:pPr>
      <w:r>
        <w:rPr>
          <w:rFonts w:hint="eastAsia" w:ascii="仿宋" w:hAnsi="仿宋" w:eastAsia="仿宋" w:cs="仿宋"/>
          <w:b/>
          <w:bCs/>
          <w:color w:val="000000"/>
          <w:kern w:val="0"/>
          <w:sz w:val="32"/>
          <w:szCs w:val="32"/>
        </w:rPr>
        <w:t>（十七）经费形式:</w:t>
      </w:r>
      <w:r>
        <w:rPr>
          <w:rFonts w:hint="eastAsia" w:ascii="仿宋" w:hAnsi="仿宋" w:eastAsia="仿宋" w:cs="仿宋"/>
          <w:color w:val="000000"/>
          <w:kern w:val="0"/>
          <w:sz w:val="32"/>
          <w:szCs w:val="32"/>
        </w:rPr>
        <w:t>按照经费来源，</w:t>
      </w:r>
      <w:r>
        <w:rPr>
          <w:rFonts w:hint="eastAsia" w:ascii="仿宋" w:hAnsi="仿宋" w:eastAsia="仿宋" w:cs="仿宋"/>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32E053-8C1C-4A14-8CBE-CAEDF28C5FFD}"/>
  </w:font>
  <w:font w:name="黑体">
    <w:panose1 w:val="02010609060101010101"/>
    <w:charset w:val="86"/>
    <w:family w:val="auto"/>
    <w:pitch w:val="default"/>
    <w:sig w:usb0="800002BF" w:usb1="38CF7CFA" w:usb2="00000016" w:usb3="00000000" w:csb0="00040001" w:csb1="00000000"/>
    <w:embedRegular r:id="rId2" w:fontKey="{5CBECB7D-64C1-4590-AD54-7293F2353B0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DA0D1054-F605-48C4-AB4C-80E751DD68B6}"/>
  </w:font>
  <w:font w:name="楷体">
    <w:panose1 w:val="02010609060101010101"/>
    <w:charset w:val="86"/>
    <w:family w:val="modern"/>
    <w:pitch w:val="default"/>
    <w:sig w:usb0="800002BF" w:usb1="38CF7CFA" w:usb2="00000016" w:usb3="00000000" w:csb0="00040001" w:csb1="00000000"/>
    <w:embedRegular r:id="rId4" w:fontKey="{CAD55414-0C57-47B9-8056-BE34376CE687}"/>
  </w:font>
  <w:font w:name="楷体_GB2312">
    <w:panose1 w:val="02010609030101010101"/>
    <w:charset w:val="86"/>
    <w:family w:val="modern"/>
    <w:pitch w:val="default"/>
    <w:sig w:usb0="00000001" w:usb1="080E0000" w:usb2="00000000" w:usb3="00000000" w:csb0="00040000" w:csb1="00000000"/>
    <w:embedRegular r:id="rId5" w:fontKey="{22D66056-9761-4BF5-A087-60628769853D}"/>
  </w:font>
  <w:font w:name="仿宋_GB2312">
    <w:panose1 w:val="02010609030101010101"/>
    <w:charset w:val="86"/>
    <w:family w:val="modern"/>
    <w:pitch w:val="default"/>
    <w:sig w:usb0="00000001" w:usb1="080E0000" w:usb2="00000000" w:usb3="00000000" w:csb0="00040000" w:csb1="00000000"/>
    <w:embedRegular r:id="rId6" w:fontKey="{8BC712CB-EC79-43FD-ABE8-2C7E9D269BD4}"/>
  </w:font>
  <w:font w:name="仿宋">
    <w:panose1 w:val="02010609060101010101"/>
    <w:charset w:val="86"/>
    <w:family w:val="modern"/>
    <w:pitch w:val="default"/>
    <w:sig w:usb0="800002BF" w:usb1="38CF7CFA" w:usb2="00000016" w:usb3="00000000" w:csb0="00040001" w:csb1="00000000"/>
    <w:embedRegular r:id="rId7" w:fontKey="{CB6BBBD1-DF21-416F-B730-262F2B426283}"/>
  </w:font>
  <w:font w:name="ArialUnicodeMS">
    <w:altName w:val="Malgun Gothic"/>
    <w:panose1 w:val="00000000000000000000"/>
    <w:charset w:val="81"/>
    <w:family w:val="auto"/>
    <w:pitch w:val="default"/>
    <w:sig w:usb0="00000000" w:usb1="00000000" w:usb2="00000010" w:usb3="00000000" w:csb0="00080001" w:csb1="00000000"/>
    <w:embedRegular r:id="rId8" w:fontKey="{AC0D80C6-79F8-431B-8039-5E034654F5B1}"/>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9" w:fontKey="{100629CB-F9D6-4F93-BEA4-312542FBD8F2}"/>
  </w:font>
  <w:font w:name="DengXian-Regular">
    <w:altName w:val="宋体"/>
    <w:panose1 w:val="00000000000000000000"/>
    <w:charset w:val="86"/>
    <w:family w:val="auto"/>
    <w:pitch w:val="default"/>
    <w:sig w:usb0="00000000" w:usb1="00000000" w:usb2="00000010" w:usb3="00000000" w:csb0="00040001" w:csb1="00000000"/>
    <w:embedRegular r:id="rId10" w:fontKey="{D9D8A969-029E-4C92-B350-393203F92457}"/>
  </w:font>
  <w:font w:name="DengXian-Bold">
    <w:altName w:val="宋体"/>
    <w:panose1 w:val="00000000000000000000"/>
    <w:charset w:val="86"/>
    <w:family w:val="auto"/>
    <w:pitch w:val="default"/>
    <w:sig w:usb0="00000000" w:usb1="00000000" w:usb2="00000010" w:usb3="00000000" w:csb0="00040001" w:csb1="00000000"/>
    <w:embedRegular r:id="rId11" w:fontKey="{D77C82A6-BC67-4BC7-BD50-DAA6EC3820C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17EC81"/>
    <w:multiLevelType w:val="singleLevel"/>
    <w:tmpl w:val="A017EC81"/>
    <w:lvl w:ilvl="0" w:tentative="0">
      <w:start w:val="2"/>
      <w:numFmt w:val="decimal"/>
      <w:suff w:val="nothing"/>
      <w:lvlText w:val="%1、"/>
      <w:lvlJc w:val="left"/>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838C3"/>
    <w:rsid w:val="000B2446"/>
    <w:rsid w:val="000D7C65"/>
    <w:rsid w:val="000E2F81"/>
    <w:rsid w:val="00117946"/>
    <w:rsid w:val="00117E2C"/>
    <w:rsid w:val="00146C47"/>
    <w:rsid w:val="00152FB8"/>
    <w:rsid w:val="00156A8F"/>
    <w:rsid w:val="00176658"/>
    <w:rsid w:val="0018239E"/>
    <w:rsid w:val="001B3410"/>
    <w:rsid w:val="001C030D"/>
    <w:rsid w:val="001C4A84"/>
    <w:rsid w:val="001E4C0A"/>
    <w:rsid w:val="001E5902"/>
    <w:rsid w:val="00221B5E"/>
    <w:rsid w:val="00224E91"/>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3535E"/>
    <w:rsid w:val="004B6E37"/>
    <w:rsid w:val="004C32BA"/>
    <w:rsid w:val="00502871"/>
    <w:rsid w:val="00575922"/>
    <w:rsid w:val="005A6C90"/>
    <w:rsid w:val="005E3FB0"/>
    <w:rsid w:val="005F4B66"/>
    <w:rsid w:val="005F5208"/>
    <w:rsid w:val="00607095"/>
    <w:rsid w:val="00641318"/>
    <w:rsid w:val="0064405D"/>
    <w:rsid w:val="00685302"/>
    <w:rsid w:val="00695557"/>
    <w:rsid w:val="006D4EA7"/>
    <w:rsid w:val="0070012A"/>
    <w:rsid w:val="0070664B"/>
    <w:rsid w:val="007071B8"/>
    <w:rsid w:val="007414DE"/>
    <w:rsid w:val="0074209C"/>
    <w:rsid w:val="007905A9"/>
    <w:rsid w:val="007E5500"/>
    <w:rsid w:val="007F055B"/>
    <w:rsid w:val="0080644C"/>
    <w:rsid w:val="00811C2F"/>
    <w:rsid w:val="00833D46"/>
    <w:rsid w:val="00836493"/>
    <w:rsid w:val="00840A97"/>
    <w:rsid w:val="008C0149"/>
    <w:rsid w:val="008C689C"/>
    <w:rsid w:val="008D5DED"/>
    <w:rsid w:val="008E25CA"/>
    <w:rsid w:val="008F34FC"/>
    <w:rsid w:val="00935058"/>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0A53"/>
    <w:rsid w:val="00B74D39"/>
    <w:rsid w:val="00B91DA4"/>
    <w:rsid w:val="00C12630"/>
    <w:rsid w:val="00C34562"/>
    <w:rsid w:val="00C3774E"/>
    <w:rsid w:val="00C57456"/>
    <w:rsid w:val="00C65387"/>
    <w:rsid w:val="00C87FAB"/>
    <w:rsid w:val="00C91FF7"/>
    <w:rsid w:val="00C92039"/>
    <w:rsid w:val="00C94E53"/>
    <w:rsid w:val="00D0048E"/>
    <w:rsid w:val="00D23E7A"/>
    <w:rsid w:val="00D61063"/>
    <w:rsid w:val="00D82A32"/>
    <w:rsid w:val="00DB35AF"/>
    <w:rsid w:val="00DD72D7"/>
    <w:rsid w:val="00DF5B88"/>
    <w:rsid w:val="00E0589E"/>
    <w:rsid w:val="00E241FA"/>
    <w:rsid w:val="00E2595E"/>
    <w:rsid w:val="00E35374"/>
    <w:rsid w:val="00E50C19"/>
    <w:rsid w:val="00E64655"/>
    <w:rsid w:val="00E73081"/>
    <w:rsid w:val="00E856C9"/>
    <w:rsid w:val="00E8744D"/>
    <w:rsid w:val="00EB6A8B"/>
    <w:rsid w:val="00EF38C6"/>
    <w:rsid w:val="00F679C7"/>
    <w:rsid w:val="00F7711A"/>
    <w:rsid w:val="00FA0D58"/>
    <w:rsid w:val="00FA56F4"/>
    <w:rsid w:val="00FB4EDA"/>
    <w:rsid w:val="00FD3BD5"/>
    <w:rsid w:val="00FE3DC8"/>
    <w:rsid w:val="03151EA3"/>
    <w:rsid w:val="032B2A64"/>
    <w:rsid w:val="04073F84"/>
    <w:rsid w:val="06F742E3"/>
    <w:rsid w:val="0B60750A"/>
    <w:rsid w:val="0DB57B21"/>
    <w:rsid w:val="0E9B4639"/>
    <w:rsid w:val="10686488"/>
    <w:rsid w:val="10DF728A"/>
    <w:rsid w:val="1264200E"/>
    <w:rsid w:val="13897963"/>
    <w:rsid w:val="141C5B77"/>
    <w:rsid w:val="167D245A"/>
    <w:rsid w:val="18D8339D"/>
    <w:rsid w:val="1A21388F"/>
    <w:rsid w:val="1A570D2F"/>
    <w:rsid w:val="1C951B88"/>
    <w:rsid w:val="1D360FC8"/>
    <w:rsid w:val="1EAD197B"/>
    <w:rsid w:val="1F40769D"/>
    <w:rsid w:val="20632A4D"/>
    <w:rsid w:val="22046CFD"/>
    <w:rsid w:val="23DC181D"/>
    <w:rsid w:val="28FB0B8D"/>
    <w:rsid w:val="2A9870FC"/>
    <w:rsid w:val="2D2B7942"/>
    <w:rsid w:val="2D46481D"/>
    <w:rsid w:val="2E733B28"/>
    <w:rsid w:val="2F917CC6"/>
    <w:rsid w:val="2FB53C03"/>
    <w:rsid w:val="31852B5A"/>
    <w:rsid w:val="325F04DE"/>
    <w:rsid w:val="32D01238"/>
    <w:rsid w:val="35EF4CFB"/>
    <w:rsid w:val="37FF03F0"/>
    <w:rsid w:val="387716B1"/>
    <w:rsid w:val="38916DA4"/>
    <w:rsid w:val="3A682384"/>
    <w:rsid w:val="3C925309"/>
    <w:rsid w:val="3D306D78"/>
    <w:rsid w:val="3DEE5533"/>
    <w:rsid w:val="3DFC59A8"/>
    <w:rsid w:val="3EBB516E"/>
    <w:rsid w:val="3ECF245E"/>
    <w:rsid w:val="3F195F6C"/>
    <w:rsid w:val="3F811BE9"/>
    <w:rsid w:val="3FB96314"/>
    <w:rsid w:val="404C4EC5"/>
    <w:rsid w:val="40662B05"/>
    <w:rsid w:val="424D01CA"/>
    <w:rsid w:val="451312BE"/>
    <w:rsid w:val="4581655F"/>
    <w:rsid w:val="489D1190"/>
    <w:rsid w:val="4A531E51"/>
    <w:rsid w:val="4B70434A"/>
    <w:rsid w:val="4E7603D0"/>
    <w:rsid w:val="53710BCB"/>
    <w:rsid w:val="53965A35"/>
    <w:rsid w:val="53A44FAF"/>
    <w:rsid w:val="594329EC"/>
    <w:rsid w:val="5B06729F"/>
    <w:rsid w:val="5BEE1540"/>
    <w:rsid w:val="5D8C2270"/>
    <w:rsid w:val="5DE61A5D"/>
    <w:rsid w:val="5E09782F"/>
    <w:rsid w:val="63C04243"/>
    <w:rsid w:val="649C01C7"/>
    <w:rsid w:val="65B641C7"/>
    <w:rsid w:val="669271C4"/>
    <w:rsid w:val="699A3F60"/>
    <w:rsid w:val="6BE06553"/>
    <w:rsid w:val="6BE35242"/>
    <w:rsid w:val="6C79741E"/>
    <w:rsid w:val="6E531982"/>
    <w:rsid w:val="72122450"/>
    <w:rsid w:val="72902E62"/>
    <w:rsid w:val="73C61104"/>
    <w:rsid w:val="74EE630D"/>
    <w:rsid w:val="75C54E29"/>
    <w:rsid w:val="75E67F8E"/>
    <w:rsid w:val="776452EA"/>
    <w:rsid w:val="78EC203D"/>
    <w:rsid w:val="7DC663B9"/>
    <w:rsid w:val="7E3F1374"/>
    <w:rsid w:val="7E8239B0"/>
    <w:rsid w:val="7F700931"/>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o\Desktop\&#37096;&#38376;&#20915;&#31639;&#20844;&#24320;&#21046;&#22270;&#27169;&#26495;&#65288;&#20462;&#25913;&#29256;&#6528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o\Desktop\&#37096;&#38376;&#20915;&#31639;&#20844;&#24320;&#21046;&#22270;&#27169;&#26495;&#65288;&#20462;&#25913;&#29256;&#6528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o\Desktop\&#37096;&#38376;&#20915;&#31639;&#20844;&#24320;&#21046;&#22270;&#27169;&#26495;&#65288;&#20462;&#25913;&#29256;&#6528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o\Desktop\&#37096;&#38376;&#20915;&#31639;&#20844;&#24320;&#21046;&#22270;&#27169;&#26495;&#65288;&#20462;&#25913;&#29256;&#6528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o\Desktop\&#37096;&#38376;&#20915;&#31639;&#20844;&#24320;&#21046;&#22270;&#27169;&#26495;&#65288;&#20462;&#25913;&#29256;&#6528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o\Desktop\&#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199"/>
          <c:y val="0.850746268656717"/>
        </c:manualLayout>
      </c:layout>
      <c:overlay val="0"/>
    </c:title>
    <c:autoTitleDeleted val="0"/>
    <c:plotArea>
      <c:layout>
        <c:manualLayout>
          <c:layoutTarget val="inner"/>
          <c:xMode val="edge"/>
          <c:yMode val="edge"/>
          <c:x val="0.0943148809218805"/>
          <c:y val="0.0575245818153328"/>
          <c:w val="0.811370238156239"/>
          <c:h val="0.765547851294708"/>
        </c:manualLayout>
      </c:layout>
      <c:pieChart>
        <c:varyColors val="1"/>
        <c:ser>
          <c:idx val="0"/>
          <c:order val="0"/>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'[部门决算公开制图模板（修改版）(1).xlsx]收入情况说明'!$C$9:$C$12</c:f>
              <c:strCache>
                <c:ptCount val="4"/>
                <c:pt idx="0">
                  <c:v>财政拨款收入</c:v>
                </c:pt>
                <c:pt idx="1">
                  <c:v>事业收入</c:v>
                </c:pt>
                <c:pt idx="2">
                  <c:v>经营收入</c:v>
                </c:pt>
                <c:pt idx="3">
                  <c:v>其他收入</c:v>
                </c:pt>
              </c:strCache>
            </c:strRef>
          </c:cat>
          <c:val>
            <c:numRef>
              <c:f>'[部门决算公开制图模板（修改版）(1).xlsx]收入情况说明'!$D$9:$D$12</c:f>
              <c:numCache>
                <c:formatCode>General</c:formatCode>
                <c:ptCount val="4"/>
                <c:pt idx="0">
                  <c:v>42132.75</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'[部门决算公开制图模板（修改版）(1).xlsx]支出情况说明'!$A$5:$A$7</c:f>
              <c:strCache>
                <c:ptCount val="3"/>
                <c:pt idx="0">
                  <c:v>基本支出</c:v>
                </c:pt>
                <c:pt idx="1">
                  <c:v>项目支出</c:v>
                </c:pt>
                <c:pt idx="2">
                  <c:v>经营支出</c:v>
                </c:pt>
              </c:strCache>
            </c:strRef>
          </c:cat>
          <c:val>
            <c:numRef>
              <c:f>'[部门决算公开制图模板（修改版）(1).xlsx]支出情况说明'!$B$5:$B$7</c:f>
              <c:numCache>
                <c:formatCode>General</c:formatCode>
                <c:ptCount val="3"/>
                <c:pt idx="0">
                  <c:v>1227.26</c:v>
                </c:pt>
                <c:pt idx="1">
                  <c:v>28556.48</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'[部门决算公开制图模板（修改版）(1).xlsx]收支与决算对比'!$A$5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'[部门决算公开制图模板（修改版）(1).xlsx]收支与决算对比'!$B$5:$C$5</c:f>
              <c:numCache>
                <c:formatCode>General</c:formatCode>
                <c:ptCount val="2"/>
                <c:pt idx="0">
                  <c:v>42132.75</c:v>
                </c:pt>
                <c:pt idx="1">
                  <c:v>29783.74</c:v>
                </c:pt>
              </c:numCache>
            </c:numRef>
          </c:val>
        </c:ser>
        <c:ser>
          <c:idx val="1"/>
          <c:order val="1"/>
          <c:tx>
            <c:strRef>
              <c:f>'[部门决算公开制图模板（修改版）(1).xlsx]收支与决算对比'!$A$6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'[部门决算公开制图模板（修改版）(1).xlsx]收支与决算对比'!$B$6:$C$6</c:f>
              <c:numCache>
                <c:formatCode>General</c:formatCode>
                <c:ptCount val="2"/>
                <c:pt idx="0">
                  <c:v>7676.98</c:v>
                </c:pt>
                <c:pt idx="1">
                  <c:v>7174.66</c:v>
                </c:pt>
              </c:numCache>
            </c:numRef>
          </c:val>
        </c:ser>
        <c:dLbls>
          <c:showLegendKey val="0"/>
          <c:showVal val="1"/>
          <c:showCatName val="0"/>
          <c:showSerName val="0"/>
          <c:showPercent val="0"/>
          <c:showBubbleSize val="0"/>
        </c:dLbls>
        <c:gapWidth val="75"/>
        <c:axId val="185417088"/>
        <c:axId val="185489280"/>
      </c:barChart>
      <c:catAx>
        <c:axId val="18541708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5489280"/>
        <c:crosses val="autoZero"/>
        <c:auto val="1"/>
        <c:lblAlgn val="ctr"/>
        <c:lblOffset val="100"/>
        <c:noMultiLvlLbl val="0"/>
      </c:catAx>
      <c:valAx>
        <c:axId val="185489280"/>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5417088"/>
        <c:crosses val="autoZero"/>
        <c:crossBetween val="between"/>
      </c:valAx>
    </c:plotArea>
    <c:legend>
      <c:legendPos val="b"/>
      <c:layout>
        <c:manualLayout>
          <c:xMode val="edge"/>
          <c:yMode val="edge"/>
          <c:x val="0.426340551181102"/>
          <c:y val="0.756835299740887"/>
          <c:w val="0.208429790026247"/>
          <c:h val="0.0770305149555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'[部门决算公开制图模板（修改版）(1).xlsx]收支与决算对比'!$A$5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'[部门决算公开制图模板（修改版）(1).xlsx]收支与决算对比'!$B$5:$C$5</c:f>
              <c:numCache>
                <c:formatCode>General</c:formatCode>
                <c:ptCount val="2"/>
                <c:pt idx="0">
                  <c:v>42132.75</c:v>
                </c:pt>
                <c:pt idx="1">
                  <c:v>29783.74</c:v>
                </c:pt>
              </c:numCache>
            </c:numRef>
          </c:val>
        </c:ser>
        <c:ser>
          <c:idx val="1"/>
          <c:order val="1"/>
          <c:tx>
            <c:strRef>
              <c:f>'[部门决算公开制图模板（修改版）(1).xlsx]收支与决算对比'!$A$6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'[部门决算公开制图模板（修改版）(1).xlsx]收支与决算对比'!$B$6:$C$6</c:f>
              <c:numCache>
                <c:formatCode>General</c:formatCode>
                <c:ptCount val="2"/>
                <c:pt idx="0">
                  <c:v>7676.98</c:v>
                </c:pt>
                <c:pt idx="1">
                  <c:v>7174.66</c:v>
                </c:pt>
              </c:numCache>
            </c:numRef>
          </c:val>
        </c:ser>
        <c:dLbls>
          <c:showLegendKey val="0"/>
          <c:showVal val="1"/>
          <c:showCatName val="0"/>
          <c:showSerName val="0"/>
          <c:showPercent val="0"/>
          <c:showBubbleSize val="0"/>
        </c:dLbls>
        <c:gapWidth val="75"/>
        <c:axId val="187868288"/>
        <c:axId val="187870208"/>
      </c:barChart>
      <c:catAx>
        <c:axId val="18786828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870208"/>
        <c:crosses val="autoZero"/>
        <c:auto val="1"/>
        <c:lblAlgn val="ctr"/>
        <c:lblOffset val="100"/>
        <c:noMultiLvlLbl val="0"/>
      </c:catAx>
      <c:valAx>
        <c:axId val="187870208"/>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7868288"/>
        <c:crosses val="autoZero"/>
        <c:crossBetween val="between"/>
      </c:valAx>
    </c:plotArea>
    <c:legend>
      <c:legendPos val="b"/>
      <c:layout>
        <c:manualLayout>
          <c:xMode val="edge"/>
          <c:yMode val="edge"/>
          <c:x val="0.426340551181102"/>
          <c:y val="0.756835299740887"/>
          <c:w val="0.208429790026247"/>
          <c:h val="0.0770305149555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1"/>
        </c:manualLayout>
      </c:layout>
      <c:overlay val="0"/>
    </c:title>
    <c:autoTitleDeleted val="0"/>
    <c:plotArea>
      <c:layout>
        <c:manualLayout>
          <c:layoutTarget val="inner"/>
          <c:xMode val="edge"/>
          <c:yMode val="edge"/>
          <c:x val="0.100155074365704"/>
          <c:y val="0.0231156048675734"/>
          <c:w val="0.869289370078741"/>
          <c:h val="0.768818002863279"/>
        </c:manualLayout>
      </c:layout>
      <c:barChart>
        <c:barDir val="col"/>
        <c:grouping val="clustered"/>
        <c:varyColors val="0"/>
        <c:ser>
          <c:idx val="0"/>
          <c:order val="0"/>
          <c:tx>
            <c:strRef>
              <c:f>'[部门决算公开制图模板（修改版）(1).xlsx]收支与预算对比'!$A$5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一般公共预算财政拨款收入</c:v>
                </c:pt>
                <c:pt idx="1">
                  <c:v>一般公共预算财政拨款支出</c:v>
                </c:pt>
              </c:strCache>
            </c:strRef>
          </c:cat>
          <c:val>
            <c:numRef>
              <c:f>'[部门决算公开制图模板（修改版）(1).xlsx]收支与预算对比'!$B$5:$C$5</c:f>
              <c:numCache>
                <c:formatCode>General</c:formatCode>
                <c:ptCount val="2"/>
                <c:pt idx="0">
                  <c:v>7033.86</c:v>
                </c:pt>
                <c:pt idx="1">
                  <c:v>7033.86</c:v>
                </c:pt>
              </c:numCache>
            </c:numRef>
          </c:val>
        </c:ser>
        <c:ser>
          <c:idx val="1"/>
          <c:order val="1"/>
          <c:tx>
            <c:strRef>
              <c:f>'[部门决算公开制图模板（修改版）(1).xlsx]收支与预算对比'!$A$6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一般公共预算财政拨款收入</c:v>
                </c:pt>
                <c:pt idx="1">
                  <c:v>一般公共预算财政拨款支出</c:v>
                </c:pt>
              </c:strCache>
            </c:strRef>
          </c:cat>
          <c:val>
            <c:numRef>
              <c:f>'[部门决算公开制图模板（修改版）(1).xlsx]收支与预算对比'!$B$6:$C$6</c:f>
              <c:numCache>
                <c:formatCode>General</c:formatCode>
                <c:ptCount val="2"/>
                <c:pt idx="0">
                  <c:v>42132.75</c:v>
                </c:pt>
                <c:pt idx="1">
                  <c:v>29783.74</c:v>
                </c:pt>
              </c:numCache>
            </c:numRef>
          </c:val>
        </c:ser>
        <c:dLbls>
          <c:showLegendKey val="0"/>
          <c:showVal val="1"/>
          <c:showCatName val="0"/>
          <c:showSerName val="0"/>
          <c:showPercent val="0"/>
          <c:showBubbleSize val="0"/>
        </c:dLbls>
        <c:gapWidth val="75"/>
        <c:axId val="188203392"/>
        <c:axId val="188204928"/>
      </c:barChart>
      <c:catAx>
        <c:axId val="188203392"/>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204928"/>
        <c:crosses val="autoZero"/>
        <c:auto val="1"/>
        <c:lblAlgn val="ctr"/>
        <c:lblOffset val="100"/>
        <c:noMultiLvlLbl val="0"/>
      </c:catAx>
      <c:valAx>
        <c:axId val="188204928"/>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203392"/>
        <c:crosses val="autoZero"/>
        <c:crossBetween val="between"/>
      </c:valAx>
    </c:plotArea>
    <c:legend>
      <c:legendPos val="b"/>
      <c:layout>
        <c:manualLayout>
          <c:xMode val="edge"/>
          <c:yMode val="edge"/>
          <c:x val="0.346718285214349"/>
          <c:y val="0.848750340633651"/>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4"/>
        </c:manualLayout>
      </c:layout>
      <c:overlay val="0"/>
    </c:title>
    <c:autoTitleDeleted val="0"/>
    <c:plotArea>
      <c:layout>
        <c:manualLayout>
          <c:layoutTarget val="inner"/>
          <c:xMode val="edge"/>
          <c:yMode val="edge"/>
          <c:x val="0.242777777777778"/>
          <c:y val="0.0719696755041531"/>
          <c:w val="0.514444663167104"/>
          <c:h val="0.70151524054067"/>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delete val="1"/>
            </c:dLbl>
            <c:dLbl>
              <c:idx val="1"/>
              <c:delete val="1"/>
            </c:dLbl>
            <c:dLbl>
              <c:idx val="2"/>
              <c:delete val="1"/>
            </c:dLbl>
            <c:dLbl>
              <c:idx val="3"/>
              <c:layout>
                <c:manualLayout>
                  <c:x val="0.19096062992126"/>
                  <c:y val="0.00098328416912487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delete val="1"/>
            </c:dLbl>
            <c:dLbl>
              <c:idx val="5"/>
              <c:layout>
                <c:manualLayout>
                  <c:x val="-0.234596019247594"/>
                  <c:y val="0.00098328416912487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0439238845144357"/>
                  <c:y val="0.118977384464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'[部门决算公开制图模板（修改版）(1).xlsx]支出决算结构'!$B$5:$B$23</c:f>
              <c:numCache>
                <c:formatCode>General</c:formatCode>
                <c:ptCount val="19"/>
                <c:pt idx="3">
                  <c:v>560</c:v>
                </c:pt>
                <c:pt idx="5">
                  <c:v>44.8</c:v>
                </c:pt>
                <c:pt idx="6">
                  <c:v>118.83</c:v>
                </c:pt>
                <c:pt idx="7">
                  <c:v>23161.05</c:v>
                </c:pt>
                <c:pt idx="8">
                  <c:v>96.49</c:v>
                </c:pt>
                <c:pt idx="9">
                  <c:v>5802.56</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F169D0D6-2F6F-4379-8F4B-3D86C2BBFC3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2077</Words>
  <Characters>11841</Characters>
  <Lines>98</Lines>
  <Paragraphs>27</Paragraphs>
  <TotalTime>12</TotalTime>
  <ScaleCrop>false</ScaleCrop>
  <LinksUpToDate>false</LinksUpToDate>
  <CharactersWithSpaces>13891</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浮生</cp:lastModifiedBy>
  <cp:lastPrinted>2019-09-09T08:43:00Z</cp:lastPrinted>
  <dcterms:modified xsi:type="dcterms:W3CDTF">2025-01-15T02:03:32Z</dcterms:modified>
  <dc:subject>石家庄市xxx部门</dc:subject>
  <dc:title>2017年度部门决算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324F840948D5402AA25F4B919F27677D</vt:lpwstr>
  </property>
</Properties>
</file>