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Theme="minorEastAsia" w:hAnsiTheme="minorEastAsia" w:eastAsiaTheme="minorEastAsia"/>
          <w:b/>
          <w:sz w:val="72"/>
          <w:szCs w:val="72"/>
        </w:rPr>
      </w:pPr>
      <w:r>
        <w:rPr>
          <w:rFonts w:hint="eastAsia" w:hAnsi="宋体" w:asciiTheme="minorEastAsia" w:eastAsiaTheme="minorEastAsia"/>
          <w:color w:val="002060"/>
          <w:sz w:val="72"/>
          <w:szCs w:val="72"/>
        </w:rPr>
        <w:drawing>
          <wp:anchor distT="0" distB="0" distL="114300" distR="114300" simplePos="0" relativeHeight="251659264" behindDoc="1" locked="0" layoutInCell="1" allowOverlap="1">
            <wp:simplePos x="0" y="0"/>
            <wp:positionH relativeFrom="column">
              <wp:posOffset>-1000125</wp:posOffset>
            </wp:positionH>
            <wp:positionV relativeFrom="paragraph">
              <wp:posOffset>-1355090</wp:posOffset>
            </wp:positionV>
            <wp:extent cx="7576820" cy="10796905"/>
            <wp:effectExtent l="0" t="0" r="5080" b="4445"/>
            <wp:wrapNone/>
            <wp:docPr id="7"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1"/>
                    </pic:cNvPicPr>
                  </pic:nvPicPr>
                  <pic:blipFill>
                    <a:blip r:embed="rId6"/>
                    <a:stretch>
                      <a:fillRect/>
                    </a:stretch>
                  </pic:blipFill>
                  <pic:spPr>
                    <a:xfrm>
                      <a:off x="0" y="0"/>
                      <a:ext cx="7576820" cy="10796905"/>
                    </a:xfrm>
                    <a:prstGeom prst="rect">
                      <a:avLst/>
                    </a:prstGeom>
                  </pic:spPr>
                </pic:pic>
              </a:graphicData>
            </a:graphic>
          </wp:anchor>
        </w:drawing>
      </w:r>
    </w:p>
    <w:p>
      <w:pPr>
        <w:widowControl/>
        <w:jc w:val="center"/>
        <w:rPr>
          <w:rFonts w:hAnsi="宋体" w:asciiTheme="minorEastAsia" w:eastAsiaTheme="minorEastAsia"/>
          <w:color w:val="002060"/>
          <w:sz w:val="72"/>
          <w:szCs w:val="72"/>
        </w:rPr>
      </w:pPr>
      <w:r>
        <w:rPr>
          <w:sz w:val="72"/>
        </w:rPr>
        <w:pict>
          <v:shape id="_x0000_s1026" o:spid="_x0000_s1026" o:spt="202" type="#_x0000_t202" style="position:absolute;left:0pt;margin-left:-83.1pt;margin-top:43.25pt;height:166.25pt;width:596.2pt;z-index:251660288;mso-width-relative:page;mso-height-relative:page;" filled="f" stroked="f" coordsize="21600,21600" o:gfxdata="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无极县农林畜牧局</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w:t>
                  </w:r>
                </w:p>
                <w:p>
                  <w:pPr>
                    <w:rPr>
                      <w:color w:val="FDEFBE"/>
                      <w:sz w:val="96"/>
                      <w:szCs w:val="96"/>
                    </w:rPr>
                  </w:pPr>
                </w:p>
              </w:txbxContent>
            </v:textbox>
          </v:shape>
        </w:pict>
      </w: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楷体" w:hAnsi="楷体" w:eastAsia="楷体" w:cs="楷体"/>
          <w:b/>
          <w:sz w:val="40"/>
          <w:szCs w:val="40"/>
        </w:rPr>
      </w:pPr>
    </w:p>
    <w:p>
      <w:pPr>
        <w:widowControl/>
        <w:jc w:val="center"/>
        <w:rPr>
          <w:rFonts w:ascii="楷体_GB2312" w:hAnsi="楷体" w:eastAsia="楷体_GB2312" w:cs="楷体"/>
          <w:b/>
          <w:sz w:val="40"/>
          <w:szCs w:val="40"/>
        </w:rPr>
        <w:sectPr>
          <w:pgSz w:w="11906" w:h="16838"/>
          <w:pgMar w:top="2098" w:right="1474" w:bottom="1985" w:left="1588" w:header="851" w:footer="992" w:gutter="0"/>
          <w:cols w:space="425"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一九年九</w:t>
      </w:r>
      <w:r>
        <w:rPr>
          <w:rFonts w:hint="eastAsia" w:ascii="楷体_GB2312" w:hAnsi="楷体" w:eastAsia="楷体_GB2312" w:cs="楷体"/>
          <w:b/>
          <w:sz w:val="40"/>
          <w:szCs w:val="40"/>
        </w:rPr>
        <w:t>月十日</w:t>
      </w:r>
    </w:p>
    <w:p>
      <w:pPr>
        <w:spacing w:beforeLines="200" w:after="0" w:line="1000" w:lineRule="exact"/>
        <w:jc w:val="center"/>
        <w:rPr>
          <w:rFonts w:ascii="黑体" w:eastAsia="黑体"/>
          <w:sz w:val="48"/>
          <w:szCs w:val="48"/>
        </w:rPr>
      </w:pPr>
      <w:r>
        <w:rPr>
          <w:rFonts w:hint="eastAsia" w:ascii="黑体" w:eastAsia="黑体"/>
          <w:sz w:val="48"/>
          <w:szCs w:val="48"/>
        </w:rPr>
        <w:t>目    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第一部分   部门概况</w:t>
      </w:r>
    </w:p>
    <w:p>
      <w:pPr>
        <w:widowControl/>
        <w:spacing w:line="580" w:lineRule="exact"/>
        <w:ind w:firstLine="1273" w:firstLineChars="398"/>
        <w:rPr>
          <w:rFonts w:ascii="仿宋" w:hAnsi="仿宋" w:eastAsia="仿宋" w:cs="仿宋"/>
          <w:sz w:val="32"/>
          <w:szCs w:val="32"/>
        </w:rPr>
      </w:pPr>
      <w:r>
        <w:rPr>
          <w:rFonts w:hint="eastAsia" w:ascii="仿宋" w:hAnsi="仿宋" w:eastAsia="仿宋" w:cs="仿宋"/>
          <w:sz w:val="32"/>
          <w:szCs w:val="32"/>
        </w:rPr>
        <w:t>一、部门职责</w:t>
      </w:r>
    </w:p>
    <w:p>
      <w:pPr>
        <w:widowControl/>
        <w:spacing w:line="580" w:lineRule="exact"/>
        <w:ind w:firstLine="1273" w:firstLineChars="398"/>
        <w:rPr>
          <w:rFonts w:ascii="仿宋" w:hAnsi="仿宋" w:eastAsia="仿宋" w:cs="仿宋"/>
          <w:sz w:val="32"/>
          <w:szCs w:val="32"/>
        </w:rPr>
      </w:pPr>
      <w:r>
        <w:rPr>
          <w:rFonts w:hint="eastAsia" w:ascii="仿宋" w:hAnsi="仿宋" w:eastAsia="仿宋" w:cs="仿宋"/>
          <w:sz w:val="32"/>
          <w:szCs w:val="32"/>
        </w:rPr>
        <w:t>二、机构设置</w:t>
      </w:r>
    </w:p>
    <w:p>
      <w:pPr>
        <w:widowControl/>
        <w:spacing w:line="580" w:lineRule="exact"/>
        <w:ind w:firstLine="640" w:firstLineChars="200"/>
        <w:rPr>
          <w:rFonts w:ascii="仿宋" w:hAnsi="仿宋" w:eastAsia="仿宋" w:cs="仿宋"/>
          <w:sz w:val="32"/>
          <w:szCs w:val="32"/>
        </w:rPr>
      </w:pPr>
      <w:r>
        <w:rPr>
          <w:rFonts w:hint="eastAsia" w:ascii="仿宋" w:hAnsi="仿宋" w:eastAsia="仿宋" w:cs="仿宋"/>
          <w:sz w:val="32"/>
          <w:szCs w:val="32"/>
        </w:rPr>
        <w:t>第二部分   2018年度部门决算报表</w:t>
      </w:r>
    </w:p>
    <w:p>
      <w:pPr>
        <w:widowControl/>
        <w:spacing w:line="580" w:lineRule="exact"/>
        <w:ind w:left="640" w:firstLine="640" w:firstLineChars="200"/>
        <w:rPr>
          <w:rFonts w:ascii="仿宋" w:hAnsi="仿宋" w:eastAsia="仿宋" w:cs="仿宋"/>
          <w:sz w:val="32"/>
          <w:szCs w:val="32"/>
        </w:rPr>
      </w:pPr>
      <w:r>
        <w:rPr>
          <w:rFonts w:hint="eastAsia" w:ascii="仿宋" w:hAnsi="仿宋" w:eastAsia="仿宋" w:cs="仿宋"/>
          <w:sz w:val="32"/>
          <w:szCs w:val="32"/>
        </w:rPr>
        <w:t>一、收入支出决算总表</w:t>
      </w:r>
    </w:p>
    <w:p>
      <w:pPr>
        <w:widowControl/>
        <w:spacing w:line="580" w:lineRule="exact"/>
        <w:ind w:left="640" w:firstLine="640" w:firstLineChars="200"/>
        <w:rPr>
          <w:rFonts w:ascii="仿宋" w:hAnsi="仿宋" w:eastAsia="仿宋" w:cs="仿宋"/>
          <w:sz w:val="32"/>
          <w:szCs w:val="32"/>
        </w:rPr>
      </w:pPr>
      <w:r>
        <w:rPr>
          <w:rFonts w:hint="eastAsia" w:ascii="仿宋" w:hAnsi="仿宋" w:eastAsia="仿宋" w:cs="仿宋"/>
          <w:sz w:val="32"/>
          <w:szCs w:val="32"/>
        </w:rPr>
        <w:t>二、收入决算表</w:t>
      </w:r>
    </w:p>
    <w:p>
      <w:pPr>
        <w:widowControl/>
        <w:spacing w:line="580" w:lineRule="exact"/>
        <w:ind w:left="640" w:firstLine="640" w:firstLineChars="200"/>
        <w:rPr>
          <w:rFonts w:ascii="仿宋" w:hAnsi="仿宋" w:eastAsia="仿宋" w:cs="仿宋"/>
          <w:sz w:val="32"/>
          <w:szCs w:val="32"/>
        </w:rPr>
      </w:pPr>
      <w:r>
        <w:rPr>
          <w:rFonts w:hint="eastAsia" w:ascii="仿宋" w:hAnsi="仿宋" w:eastAsia="仿宋" w:cs="仿宋"/>
          <w:sz w:val="32"/>
          <w:szCs w:val="32"/>
        </w:rPr>
        <w:t>三、支出决算表</w:t>
      </w:r>
    </w:p>
    <w:p>
      <w:pPr>
        <w:widowControl/>
        <w:spacing w:line="580" w:lineRule="exact"/>
        <w:ind w:left="640" w:firstLine="640" w:firstLineChars="200"/>
        <w:rPr>
          <w:rFonts w:ascii="仿宋" w:hAnsi="仿宋" w:eastAsia="仿宋" w:cs="仿宋"/>
          <w:sz w:val="32"/>
          <w:szCs w:val="32"/>
        </w:rPr>
      </w:pPr>
      <w:r>
        <w:rPr>
          <w:rFonts w:hint="eastAsia" w:ascii="仿宋" w:hAnsi="仿宋" w:eastAsia="仿宋" w:cs="仿宋"/>
          <w:sz w:val="32"/>
          <w:szCs w:val="32"/>
        </w:rPr>
        <w:t>四、财政拨款收入支出决算总表</w:t>
      </w:r>
    </w:p>
    <w:p>
      <w:pPr>
        <w:widowControl/>
        <w:spacing w:line="580" w:lineRule="exact"/>
        <w:ind w:left="640" w:firstLine="640" w:firstLineChars="200"/>
        <w:rPr>
          <w:rFonts w:ascii="仿宋" w:hAnsi="仿宋" w:eastAsia="仿宋" w:cs="仿宋"/>
          <w:sz w:val="32"/>
          <w:szCs w:val="32"/>
        </w:rPr>
      </w:pPr>
      <w:r>
        <w:rPr>
          <w:rFonts w:hint="eastAsia" w:ascii="仿宋" w:hAnsi="仿宋" w:eastAsia="仿宋" w:cs="仿宋"/>
          <w:sz w:val="32"/>
          <w:szCs w:val="32"/>
        </w:rPr>
        <w:t>五、一般公共预算财政拨款支出决算表</w:t>
      </w:r>
    </w:p>
    <w:p>
      <w:pPr>
        <w:widowControl/>
        <w:spacing w:line="580" w:lineRule="exact"/>
        <w:ind w:left="640" w:firstLine="640" w:firstLineChars="200"/>
        <w:rPr>
          <w:rFonts w:ascii="仿宋" w:hAnsi="仿宋" w:eastAsia="仿宋" w:cs="仿宋"/>
          <w:sz w:val="32"/>
          <w:szCs w:val="32"/>
        </w:rPr>
      </w:pPr>
      <w:r>
        <w:rPr>
          <w:rFonts w:hint="eastAsia" w:ascii="仿宋" w:hAnsi="仿宋" w:eastAsia="仿宋" w:cs="仿宋"/>
          <w:sz w:val="32"/>
          <w:szCs w:val="32"/>
        </w:rPr>
        <w:t>六、一般公共预算财政拨款基本支出决算表</w:t>
      </w:r>
    </w:p>
    <w:p>
      <w:pPr>
        <w:widowControl/>
        <w:spacing w:line="580" w:lineRule="exact"/>
        <w:ind w:left="640" w:firstLine="640" w:firstLineChars="200"/>
        <w:rPr>
          <w:rFonts w:ascii="仿宋" w:hAnsi="仿宋" w:eastAsia="仿宋" w:cs="仿宋"/>
          <w:sz w:val="32"/>
          <w:szCs w:val="32"/>
        </w:rPr>
      </w:pPr>
      <w:r>
        <w:rPr>
          <w:rFonts w:hint="eastAsia" w:ascii="仿宋" w:hAnsi="仿宋" w:eastAsia="仿宋" w:cs="仿宋"/>
          <w:sz w:val="32"/>
          <w:szCs w:val="32"/>
        </w:rPr>
        <w:t>七、一般公共预算财政拨款“三公”经费支出决算表</w:t>
      </w:r>
    </w:p>
    <w:p>
      <w:pPr>
        <w:widowControl/>
        <w:spacing w:line="580" w:lineRule="exact"/>
        <w:ind w:left="640" w:firstLine="640" w:firstLineChars="200"/>
        <w:rPr>
          <w:rFonts w:ascii="仿宋" w:hAnsi="仿宋" w:eastAsia="仿宋" w:cs="仿宋"/>
          <w:sz w:val="32"/>
          <w:szCs w:val="32"/>
        </w:rPr>
      </w:pPr>
      <w:r>
        <w:rPr>
          <w:rFonts w:hint="eastAsia" w:ascii="仿宋" w:hAnsi="仿宋" w:eastAsia="仿宋" w:cs="仿宋"/>
          <w:sz w:val="32"/>
          <w:szCs w:val="32"/>
        </w:rPr>
        <w:t>八、政府性基金预算财政拨款收入支出决算表</w:t>
      </w:r>
    </w:p>
    <w:p>
      <w:pPr>
        <w:widowControl/>
        <w:spacing w:line="580" w:lineRule="exact"/>
        <w:ind w:left="640" w:firstLine="640" w:firstLineChars="200"/>
        <w:rPr>
          <w:rFonts w:ascii="仿宋" w:hAnsi="仿宋" w:eastAsia="仿宋" w:cs="仿宋"/>
          <w:sz w:val="32"/>
          <w:szCs w:val="32"/>
        </w:rPr>
      </w:pPr>
      <w:r>
        <w:rPr>
          <w:rFonts w:hint="eastAsia" w:ascii="仿宋" w:hAnsi="仿宋" w:eastAsia="仿宋" w:cs="仿宋"/>
          <w:sz w:val="32"/>
          <w:szCs w:val="32"/>
        </w:rPr>
        <w:t>九、国有资本经营预算财政拨款支出决算表</w:t>
      </w:r>
    </w:p>
    <w:p>
      <w:pPr>
        <w:widowControl/>
        <w:spacing w:line="580" w:lineRule="exact"/>
        <w:ind w:left="640" w:firstLine="640" w:firstLineChars="200"/>
        <w:rPr>
          <w:rFonts w:ascii="仿宋" w:hAnsi="仿宋" w:eastAsia="仿宋" w:cs="仿宋"/>
          <w:sz w:val="32"/>
          <w:szCs w:val="32"/>
        </w:rPr>
      </w:pPr>
      <w:r>
        <w:rPr>
          <w:rFonts w:hint="eastAsia" w:ascii="仿宋" w:hAnsi="仿宋" w:eastAsia="仿宋" w:cs="仿宋"/>
          <w:sz w:val="32"/>
          <w:szCs w:val="32"/>
        </w:rPr>
        <w:t>十、政府采购情况表</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r>
        <w:rPr>
          <w:rFonts w:eastAsia="黑体"/>
          <w:sz w:val="32"/>
          <w:szCs w:val="32"/>
        </w:rPr>
        <w:t xml:space="preserve">第三部分  </w:t>
      </w:r>
      <w:r>
        <w:rPr>
          <w:rFonts w:hint="eastAsia" w:eastAsia="黑体"/>
          <w:sz w:val="32"/>
          <w:szCs w:val="32"/>
        </w:rPr>
        <w:t>无极县农林畜牧局</w:t>
      </w:r>
      <w:r>
        <w:rPr>
          <w:rFonts w:eastAsia="黑体"/>
          <w:sz w:val="32"/>
          <w:szCs w:val="32"/>
        </w:rPr>
        <w:t>201</w:t>
      </w:r>
      <w:r>
        <w:rPr>
          <w:rFonts w:hint="eastAsia" w:eastAsia="黑体"/>
          <w:sz w:val="32"/>
          <w:szCs w:val="32"/>
        </w:rPr>
        <w:t>8</w:t>
      </w:r>
      <w:r>
        <w:rPr>
          <w:rFonts w:eastAsia="黑体"/>
          <w:sz w:val="32"/>
          <w:szCs w:val="32"/>
        </w:rPr>
        <w:t>年部门决算情况说明</w:t>
      </w:r>
    </w:p>
    <w:p>
      <w:pPr>
        <w:widowControl/>
        <w:spacing w:line="580" w:lineRule="exact"/>
        <w:ind w:left="640" w:firstLine="640" w:firstLineChars="200"/>
        <w:rPr>
          <w:rFonts w:ascii="仿宋" w:hAnsi="仿宋" w:eastAsia="仿宋" w:cs="仿宋"/>
          <w:sz w:val="32"/>
          <w:szCs w:val="32"/>
        </w:rPr>
      </w:pPr>
      <w:r>
        <w:rPr>
          <w:rFonts w:hint="eastAsia" w:ascii="仿宋" w:hAnsi="仿宋" w:eastAsia="仿宋" w:cs="仿宋"/>
          <w:sz w:val="32"/>
          <w:szCs w:val="32"/>
        </w:rPr>
        <w:t>一、收入支出决算总体情况说明</w:t>
      </w:r>
    </w:p>
    <w:p>
      <w:pPr>
        <w:widowControl/>
        <w:spacing w:line="580" w:lineRule="exact"/>
        <w:ind w:left="640" w:firstLine="640" w:firstLineChars="200"/>
        <w:rPr>
          <w:rFonts w:ascii="仿宋" w:hAnsi="仿宋" w:eastAsia="仿宋" w:cs="仿宋"/>
          <w:sz w:val="32"/>
          <w:szCs w:val="32"/>
        </w:rPr>
      </w:pPr>
      <w:r>
        <w:rPr>
          <w:rFonts w:hint="eastAsia" w:ascii="仿宋" w:hAnsi="仿宋" w:eastAsia="仿宋" w:cs="仿宋"/>
          <w:sz w:val="32"/>
          <w:szCs w:val="32"/>
        </w:rPr>
        <w:t>二、收入决算情况说明</w:t>
      </w:r>
    </w:p>
    <w:p>
      <w:pPr>
        <w:widowControl/>
        <w:spacing w:line="580" w:lineRule="exact"/>
        <w:ind w:left="640" w:firstLine="640" w:firstLineChars="200"/>
        <w:rPr>
          <w:rFonts w:ascii="仿宋" w:hAnsi="仿宋" w:eastAsia="仿宋" w:cs="仿宋"/>
          <w:sz w:val="32"/>
          <w:szCs w:val="32"/>
        </w:rPr>
      </w:pPr>
      <w:r>
        <w:rPr>
          <w:rFonts w:hint="eastAsia" w:ascii="仿宋" w:hAnsi="仿宋" w:eastAsia="仿宋" w:cs="仿宋"/>
          <w:sz w:val="32"/>
          <w:szCs w:val="32"/>
        </w:rPr>
        <w:t>三、支出决算情况说明</w:t>
      </w:r>
    </w:p>
    <w:p>
      <w:pPr>
        <w:widowControl/>
        <w:spacing w:line="580" w:lineRule="exact"/>
        <w:ind w:left="640" w:firstLine="640" w:firstLineChars="200"/>
        <w:rPr>
          <w:rFonts w:ascii="仿宋" w:hAnsi="仿宋" w:eastAsia="仿宋" w:cs="仿宋"/>
          <w:sz w:val="32"/>
          <w:szCs w:val="32"/>
        </w:rPr>
      </w:pPr>
      <w:r>
        <w:rPr>
          <w:rFonts w:hint="eastAsia" w:ascii="仿宋" w:hAnsi="仿宋" w:eastAsia="仿宋" w:cs="仿宋"/>
          <w:sz w:val="32"/>
          <w:szCs w:val="32"/>
        </w:rPr>
        <w:t>四、财政拨款收入支出决算情况说明</w:t>
      </w:r>
    </w:p>
    <w:p>
      <w:pPr>
        <w:widowControl/>
        <w:spacing w:line="580" w:lineRule="exact"/>
        <w:ind w:left="640" w:firstLine="640" w:firstLineChars="200"/>
        <w:rPr>
          <w:rFonts w:ascii="仿宋" w:hAnsi="仿宋" w:eastAsia="仿宋" w:cs="仿宋"/>
          <w:sz w:val="32"/>
          <w:szCs w:val="32"/>
        </w:rPr>
      </w:pPr>
      <w:r>
        <w:rPr>
          <w:rFonts w:hint="eastAsia" w:ascii="仿宋" w:hAnsi="仿宋" w:eastAsia="仿宋" w:cs="仿宋"/>
          <w:sz w:val="32"/>
          <w:szCs w:val="32"/>
        </w:rPr>
        <w:t>五、一般公共预算财政拨款“三公”经费支出决算情况说明</w:t>
      </w:r>
    </w:p>
    <w:p>
      <w:pPr>
        <w:widowControl/>
        <w:spacing w:line="580" w:lineRule="exact"/>
        <w:ind w:left="640" w:firstLine="640" w:firstLineChars="200"/>
        <w:rPr>
          <w:rFonts w:ascii="仿宋" w:hAnsi="仿宋" w:eastAsia="仿宋" w:cs="仿宋"/>
          <w:sz w:val="32"/>
          <w:szCs w:val="32"/>
        </w:rPr>
      </w:pPr>
      <w:r>
        <w:rPr>
          <w:rFonts w:hint="eastAsia" w:ascii="仿宋" w:hAnsi="仿宋" w:eastAsia="仿宋" w:cs="仿宋"/>
          <w:sz w:val="32"/>
          <w:szCs w:val="32"/>
        </w:rPr>
        <w:t>六、预算绩效情况说明</w:t>
      </w:r>
    </w:p>
    <w:p>
      <w:pPr>
        <w:widowControl/>
        <w:spacing w:line="580" w:lineRule="exact"/>
        <w:ind w:left="640" w:firstLine="640" w:firstLineChars="200"/>
        <w:rPr>
          <w:rFonts w:ascii="仿宋" w:hAnsi="仿宋" w:eastAsia="仿宋" w:cs="仿宋"/>
          <w:sz w:val="32"/>
          <w:szCs w:val="32"/>
        </w:rPr>
      </w:pPr>
      <w:r>
        <w:rPr>
          <w:rFonts w:hint="eastAsia" w:ascii="仿宋" w:hAnsi="仿宋" w:eastAsia="仿宋" w:cs="仿宋"/>
          <w:sz w:val="32"/>
          <w:szCs w:val="32"/>
        </w:rPr>
        <w:t>七、其他重要事项的说明</w:t>
      </w:r>
    </w:p>
    <w:p>
      <w:pPr>
        <w:widowControl/>
        <w:spacing w:line="580" w:lineRule="exact"/>
        <w:ind w:firstLine="640" w:firstLineChars="200"/>
        <w:rPr>
          <w:rFonts w:eastAsia="黑体"/>
          <w:sz w:val="32"/>
          <w:szCs w:val="32"/>
        </w:rPr>
      </w:pPr>
      <w:r>
        <w:rPr>
          <w:rFonts w:eastAsia="黑体"/>
          <w:sz w:val="32"/>
          <w:szCs w:val="32"/>
        </w:rPr>
        <w:t>第四部分  名词解释</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br w:type="page"/>
      </w:r>
    </w:p>
    <w:p>
      <w:r>
        <w:rPr>
          <w:rFonts w:hint="eastAsia" w:ascii="宋体" w:hAnsi="宋体" w:cs="ArialUnicodeMS"/>
          <w:color w:val="000000"/>
          <w:kern w:val="0"/>
        </w:rPr>
        <w:drawing>
          <wp:anchor distT="0" distB="0" distL="114300" distR="114300" simplePos="0" relativeHeight="251661312"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7"/>
                    <a:stretch>
                      <a:fillRect/>
                    </a:stretch>
                  </pic:blipFill>
                  <pic:spPr>
                    <a:xfrm>
                      <a:off x="0" y="0"/>
                      <a:ext cx="7585710" cy="10727055"/>
                    </a:xfrm>
                    <a:prstGeom prst="rect">
                      <a:avLst/>
                    </a:prstGeom>
                  </pic:spPr>
                </pic:pic>
              </a:graphicData>
            </a:graphic>
          </wp:anchor>
        </w:drawing>
      </w:r>
      <w:r>
        <w:rPr>
          <w:sz w:val="72"/>
        </w:rPr>
        <w:pict>
          <v:shape id="_x0000_s1030" o:spid="_x0000_s1030" o:spt="202" type="#_x0000_t202" style="position:absolute;left:0pt;margin-left:-97.3pt;margin-top:259.1pt;height:81.7pt;width:613.65pt;z-index:251669504;mso-width-relative:page;mso-height-relative:page;" filled="f" stroked="f" coordsize="21600,21600" o:gfxdata="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">
            <v:path/>
            <v:fill on="f" focussize="0,0"/>
            <v:stroke on="f" weight="0.5pt" joinstyle="miter"/>
            <v:imagedata o:title=""/>
            <o:lock v:ext="edit"/>
            <v:textbox>
              <w:txbxContent>
                <w:p>
                  <w:pPr>
                    <w:widowControl/>
                    <w:jc w:val="center"/>
                    <w:rPr>
                      <w:color w:val="FDEFBE"/>
                      <w:sz w:val="96"/>
                      <w:szCs w:val="96"/>
                    </w:rPr>
                  </w:pPr>
                  <w:r>
                    <w:rPr>
                      <w:rFonts w:hint="eastAsia" w:hAnsi="宋体" w:asciiTheme="minorEastAsia" w:eastAsiaTheme="minorEastAsia"/>
                      <w:color w:val="FDEFBE"/>
                      <w:sz w:val="96"/>
                      <w:szCs w:val="96"/>
                    </w:rPr>
                    <w:t>第一部分  部门概况</w:t>
                  </w:r>
                </w:p>
              </w:txbxContent>
            </v:textbox>
          </v:shape>
        </w:pict>
      </w:r>
    </w:p>
    <w:p/>
    <w:p/>
    <w:p/>
    <w:p/>
    <w:p/>
    <w:p/>
    <w:p/>
    <w:p/>
    <w:p/>
    <w:p/>
    <w:p/>
    <w:p/>
    <w:p/>
    <w:p/>
    <w:p/>
    <w:p>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一、部门职责</w:t>
      </w:r>
    </w:p>
    <w:p>
      <w:pPr>
        <w:ind w:firstLine="560"/>
        <w:rPr>
          <w:rFonts w:ascii="仿宋" w:hAnsi="仿宋" w:eastAsia="仿宋"/>
          <w:sz w:val="32"/>
          <w:szCs w:val="32"/>
        </w:rPr>
      </w:pPr>
      <w:r>
        <w:rPr>
          <w:rFonts w:ascii="仿宋" w:hAnsi="仿宋" w:eastAsia="仿宋"/>
          <w:sz w:val="32"/>
          <w:szCs w:val="32"/>
        </w:rPr>
        <w:t>无极县农林畜牧局是县政府主管全县农业、农村、农机、林业、畜牧工作的职能部门，主要职能是：</w:t>
      </w:r>
    </w:p>
    <w:p>
      <w:pPr>
        <w:ind w:firstLine="720" w:firstLineChars="225"/>
        <w:rPr>
          <w:rFonts w:ascii="仿宋" w:hAnsi="仿宋" w:eastAsia="仿宋"/>
          <w:sz w:val="32"/>
          <w:szCs w:val="32"/>
        </w:rPr>
      </w:pPr>
      <w:r>
        <w:rPr>
          <w:rFonts w:ascii="仿宋" w:hAnsi="仿宋" w:eastAsia="仿宋"/>
          <w:sz w:val="32"/>
          <w:szCs w:val="32"/>
        </w:rPr>
        <w:t>1</w:t>
      </w:r>
      <w:r>
        <w:rPr>
          <w:rFonts w:hint="eastAsia" w:ascii="仿宋" w:hAnsi="仿宋" w:eastAsia="仿宋"/>
          <w:sz w:val="32"/>
          <w:szCs w:val="32"/>
        </w:rPr>
        <w:t>.</w:t>
      </w:r>
      <w:r>
        <w:rPr>
          <w:rFonts w:ascii="仿宋" w:hAnsi="仿宋" w:eastAsia="仿宋"/>
          <w:sz w:val="32"/>
          <w:szCs w:val="32"/>
        </w:rPr>
        <w:t>参与研究拟定全县农业和农村经济的发展规划及农业产业的有关政策。</w:t>
      </w:r>
    </w:p>
    <w:p>
      <w:pPr>
        <w:ind w:firstLine="560"/>
        <w:rPr>
          <w:rFonts w:ascii="仿宋" w:hAnsi="仿宋" w:eastAsia="仿宋"/>
          <w:sz w:val="32"/>
          <w:szCs w:val="32"/>
        </w:rPr>
      </w:pPr>
      <w:r>
        <w:rPr>
          <w:rFonts w:ascii="仿宋" w:eastAsia="仿宋"/>
          <w:sz w:val="32"/>
          <w:szCs w:val="32"/>
        </w:rPr>
        <w:t>  </w:t>
      </w:r>
      <w:r>
        <w:rPr>
          <w:rFonts w:ascii="仿宋" w:hAnsi="仿宋" w:eastAsia="仿宋"/>
          <w:sz w:val="32"/>
          <w:szCs w:val="32"/>
        </w:rPr>
        <w:t>2</w:t>
      </w:r>
      <w:r>
        <w:rPr>
          <w:rFonts w:hint="eastAsia" w:ascii="仿宋" w:hAnsi="仿宋" w:eastAsia="仿宋"/>
          <w:sz w:val="32"/>
          <w:szCs w:val="32"/>
        </w:rPr>
        <w:t>.</w:t>
      </w:r>
      <w:r>
        <w:rPr>
          <w:rFonts w:ascii="仿宋" w:hAnsi="仿宋" w:eastAsia="仿宋"/>
          <w:sz w:val="32"/>
          <w:szCs w:val="32"/>
        </w:rPr>
        <w:t>研究提出全县种植业发展规划及重大技术措施并组织实施；指导农业种植业结构的合理调整和农业资源的合理配置。</w:t>
      </w:r>
    </w:p>
    <w:p>
      <w:pPr>
        <w:ind w:firstLine="560"/>
        <w:rPr>
          <w:rFonts w:ascii="仿宋" w:hAnsi="仿宋" w:eastAsia="仿宋"/>
          <w:sz w:val="32"/>
          <w:szCs w:val="32"/>
        </w:rPr>
      </w:pPr>
      <w:r>
        <w:rPr>
          <w:rFonts w:ascii="仿宋" w:eastAsia="仿宋"/>
          <w:sz w:val="32"/>
          <w:szCs w:val="32"/>
        </w:rPr>
        <w:t>  </w:t>
      </w:r>
      <w:r>
        <w:rPr>
          <w:rFonts w:ascii="仿宋" w:hAnsi="仿宋" w:eastAsia="仿宋"/>
          <w:sz w:val="32"/>
          <w:szCs w:val="32"/>
        </w:rPr>
        <w:t>3</w:t>
      </w:r>
      <w:r>
        <w:rPr>
          <w:rFonts w:hint="eastAsia" w:ascii="仿宋" w:hAnsi="仿宋" w:eastAsia="仿宋"/>
          <w:sz w:val="32"/>
          <w:szCs w:val="32"/>
        </w:rPr>
        <w:t>.</w:t>
      </w:r>
      <w:r>
        <w:rPr>
          <w:rFonts w:ascii="仿宋" w:hAnsi="仿宋" w:eastAsia="仿宋"/>
          <w:sz w:val="32"/>
          <w:szCs w:val="32"/>
        </w:rPr>
        <w:t>参与指导农村经济体制改革，指导农业社会化服务体系建设和乡村集体经济组织、合作经济组织建设；稳定和完善农村基本经营制度和政策，调节农村经济利益关系，指导、监督农民负担和农村财务工作。</w:t>
      </w:r>
    </w:p>
    <w:p>
      <w:pPr>
        <w:ind w:firstLine="560"/>
        <w:rPr>
          <w:rFonts w:ascii="仿宋" w:hAnsi="仿宋" w:eastAsia="仿宋"/>
          <w:sz w:val="32"/>
          <w:szCs w:val="32"/>
        </w:rPr>
      </w:pPr>
      <w:r>
        <w:rPr>
          <w:rFonts w:ascii="仿宋" w:eastAsia="仿宋"/>
          <w:sz w:val="32"/>
          <w:szCs w:val="32"/>
        </w:rPr>
        <w:t> </w:t>
      </w:r>
      <w:r>
        <w:rPr>
          <w:rFonts w:ascii="仿宋" w:hAnsi="仿宋" w:eastAsia="仿宋"/>
          <w:sz w:val="32"/>
          <w:szCs w:val="32"/>
        </w:rPr>
        <w:t>4</w:t>
      </w:r>
      <w:r>
        <w:rPr>
          <w:rFonts w:hint="eastAsia" w:ascii="仿宋" w:hAnsi="仿宋" w:eastAsia="仿宋"/>
          <w:sz w:val="32"/>
          <w:szCs w:val="32"/>
        </w:rPr>
        <w:t>.</w:t>
      </w:r>
      <w:r>
        <w:rPr>
          <w:rFonts w:ascii="仿宋" w:hAnsi="仿宋" w:eastAsia="仿宋"/>
          <w:sz w:val="32"/>
          <w:szCs w:val="32"/>
        </w:rPr>
        <w:t>参与大宗农产品产地批发市场建设和农业信息网络建设，预测、发布农产品及农业生产资料供求情况等农村经济信息。</w:t>
      </w:r>
    </w:p>
    <w:p>
      <w:pPr>
        <w:ind w:firstLine="560"/>
        <w:rPr>
          <w:rFonts w:ascii="仿宋" w:hAnsi="仿宋" w:eastAsia="仿宋"/>
          <w:sz w:val="32"/>
          <w:szCs w:val="32"/>
        </w:rPr>
      </w:pPr>
      <w:r>
        <w:rPr>
          <w:rFonts w:ascii="仿宋" w:eastAsia="仿宋"/>
          <w:sz w:val="32"/>
          <w:szCs w:val="32"/>
        </w:rPr>
        <w:t> </w:t>
      </w:r>
      <w:r>
        <w:rPr>
          <w:rFonts w:ascii="仿宋" w:hAnsi="仿宋" w:eastAsia="仿宋"/>
          <w:sz w:val="32"/>
          <w:szCs w:val="32"/>
        </w:rPr>
        <w:t>5</w:t>
      </w:r>
      <w:r>
        <w:rPr>
          <w:rFonts w:hint="eastAsia" w:ascii="仿宋" w:hAnsi="仿宋" w:eastAsia="仿宋"/>
          <w:sz w:val="32"/>
          <w:szCs w:val="32"/>
        </w:rPr>
        <w:t>.</w:t>
      </w:r>
      <w:r>
        <w:rPr>
          <w:rFonts w:ascii="仿宋" w:hAnsi="仿宋" w:eastAsia="仿宋"/>
          <w:sz w:val="32"/>
          <w:szCs w:val="32"/>
        </w:rPr>
        <w:t>组织实施生态农业和农业环境保护工作；指导农用土地及农村可再生能源开发利用和农业生物物种资源保护与管理，拟定主管产业技术标准并组织实施；对主管产业产品、绿色食品、无公害农产品进行质量监督、组织认证和农业植物品种保护工作。</w:t>
      </w:r>
    </w:p>
    <w:p>
      <w:pPr>
        <w:ind w:firstLine="560"/>
        <w:rPr>
          <w:rFonts w:ascii="仿宋" w:hAnsi="仿宋" w:eastAsia="仿宋"/>
          <w:sz w:val="32"/>
          <w:szCs w:val="32"/>
        </w:rPr>
      </w:pPr>
      <w:r>
        <w:rPr>
          <w:rFonts w:ascii="仿宋" w:eastAsia="仿宋"/>
          <w:sz w:val="32"/>
          <w:szCs w:val="32"/>
        </w:rPr>
        <w:t>  </w:t>
      </w:r>
      <w:r>
        <w:rPr>
          <w:rFonts w:ascii="仿宋" w:hAnsi="仿宋" w:eastAsia="仿宋"/>
          <w:sz w:val="32"/>
          <w:szCs w:val="32"/>
        </w:rPr>
        <w:t>6</w:t>
      </w:r>
      <w:r>
        <w:rPr>
          <w:rFonts w:hint="eastAsia" w:ascii="仿宋" w:hAnsi="仿宋" w:eastAsia="仿宋"/>
          <w:sz w:val="32"/>
          <w:szCs w:val="32"/>
        </w:rPr>
        <w:t>.</w:t>
      </w:r>
      <w:r>
        <w:rPr>
          <w:rFonts w:ascii="仿宋" w:hAnsi="仿宋" w:eastAsia="仿宋"/>
          <w:sz w:val="32"/>
          <w:szCs w:val="32"/>
        </w:rPr>
        <w:t>拟定全县农业科技及其队伍建设的发展规划和相关政策，并组织实施；组织重大农业技术推广项目的筛选和实施；并负责农业科技宣传和培训。</w:t>
      </w:r>
    </w:p>
    <w:p>
      <w:pPr>
        <w:ind w:firstLine="720" w:firstLineChars="225"/>
        <w:rPr>
          <w:rFonts w:ascii="仿宋" w:hAnsi="仿宋" w:eastAsia="仿宋"/>
          <w:sz w:val="32"/>
          <w:szCs w:val="32"/>
        </w:rPr>
      </w:pPr>
      <w:r>
        <w:rPr>
          <w:rFonts w:ascii="仿宋" w:hAnsi="仿宋" w:eastAsia="仿宋"/>
          <w:sz w:val="32"/>
          <w:szCs w:val="32"/>
        </w:rPr>
        <w:t>7</w:t>
      </w:r>
      <w:r>
        <w:rPr>
          <w:rFonts w:hint="eastAsia" w:ascii="仿宋" w:hAnsi="仿宋" w:eastAsia="仿宋"/>
          <w:sz w:val="32"/>
          <w:szCs w:val="32"/>
        </w:rPr>
        <w:t>.</w:t>
      </w:r>
      <w:r>
        <w:rPr>
          <w:rFonts w:ascii="仿宋" w:hAnsi="仿宋" w:eastAsia="仿宋"/>
          <w:sz w:val="32"/>
          <w:szCs w:val="32"/>
        </w:rPr>
        <w:t>组织起草农业产业有关的地方性政策法规草案；指导农业行政执法体系建设和法制宣传教育；组织种子、农药等农业生产资料的质量检测、鉴定和执法监督管理；组织、监督、管理全县植物防疫和检疫工作，发布疫情并组织扑灭。</w:t>
      </w:r>
    </w:p>
    <w:p>
      <w:pPr>
        <w:ind w:firstLine="720" w:firstLineChars="225"/>
        <w:rPr>
          <w:rFonts w:ascii="仿宋" w:hAnsi="仿宋" w:eastAsia="仿宋"/>
          <w:sz w:val="32"/>
          <w:szCs w:val="32"/>
        </w:rPr>
      </w:pPr>
      <w:r>
        <w:rPr>
          <w:rFonts w:ascii="仿宋" w:hAnsi="仿宋" w:eastAsia="仿宋"/>
          <w:sz w:val="32"/>
          <w:szCs w:val="32"/>
        </w:rPr>
        <w:t>8</w:t>
      </w:r>
      <w:r>
        <w:rPr>
          <w:rFonts w:hint="eastAsia" w:ascii="仿宋" w:hAnsi="仿宋" w:eastAsia="仿宋"/>
          <w:sz w:val="32"/>
          <w:szCs w:val="32"/>
        </w:rPr>
        <w:t>.</w:t>
      </w:r>
      <w:r>
        <w:rPr>
          <w:rFonts w:ascii="仿宋" w:hAnsi="仿宋" w:eastAsia="仿宋"/>
          <w:sz w:val="32"/>
          <w:szCs w:val="32"/>
        </w:rPr>
        <w:t>负责全县农业机械装备的监督管理和推广服务。</w:t>
      </w:r>
    </w:p>
    <w:p>
      <w:pPr>
        <w:ind w:firstLine="720" w:firstLineChars="225"/>
        <w:rPr>
          <w:rFonts w:ascii="仿宋" w:hAnsi="仿宋" w:eastAsia="仿宋"/>
          <w:sz w:val="32"/>
          <w:szCs w:val="32"/>
        </w:rPr>
      </w:pPr>
      <w:r>
        <w:rPr>
          <w:rFonts w:ascii="仿宋" w:hAnsi="仿宋" w:eastAsia="仿宋"/>
          <w:sz w:val="32"/>
          <w:szCs w:val="32"/>
        </w:rPr>
        <w:t>9</w:t>
      </w:r>
      <w:r>
        <w:rPr>
          <w:rFonts w:hint="eastAsia" w:ascii="仿宋" w:hAnsi="仿宋" w:eastAsia="仿宋"/>
          <w:sz w:val="32"/>
          <w:szCs w:val="32"/>
        </w:rPr>
        <w:t>.</w:t>
      </w:r>
      <w:r>
        <w:rPr>
          <w:rFonts w:ascii="仿宋" w:hAnsi="仿宋" w:eastAsia="仿宋"/>
          <w:sz w:val="32"/>
          <w:szCs w:val="32"/>
        </w:rPr>
        <w:t>组织兽医医政、兽药药政药检工作。</w:t>
      </w:r>
    </w:p>
    <w:p>
      <w:pPr>
        <w:ind w:firstLine="720" w:firstLineChars="225"/>
        <w:rPr>
          <w:rFonts w:ascii="仿宋" w:hAnsi="仿宋" w:eastAsia="仿宋"/>
          <w:sz w:val="32"/>
          <w:szCs w:val="32"/>
        </w:rPr>
      </w:pPr>
      <w:r>
        <w:rPr>
          <w:rFonts w:ascii="仿宋" w:hAnsi="仿宋" w:eastAsia="仿宋"/>
          <w:sz w:val="32"/>
          <w:szCs w:val="32"/>
        </w:rPr>
        <w:t>10</w:t>
      </w:r>
      <w:r>
        <w:rPr>
          <w:rFonts w:hint="eastAsia" w:ascii="仿宋" w:hAnsi="仿宋" w:eastAsia="仿宋"/>
          <w:sz w:val="32"/>
          <w:szCs w:val="32"/>
        </w:rPr>
        <w:t>.</w:t>
      </w:r>
      <w:r>
        <w:rPr>
          <w:rFonts w:ascii="仿宋" w:hAnsi="仿宋" w:eastAsia="仿宋"/>
          <w:sz w:val="32"/>
          <w:szCs w:val="32"/>
        </w:rPr>
        <w:t>组织农业对外经济技术交流与合作工作，负责主管产业项目的管理工作。</w:t>
      </w:r>
    </w:p>
    <w:p>
      <w:pPr>
        <w:ind w:firstLine="720" w:firstLineChars="225"/>
        <w:rPr>
          <w:rFonts w:ascii="仿宋" w:hAnsi="仿宋" w:eastAsia="仿宋"/>
          <w:sz w:val="32"/>
          <w:szCs w:val="32"/>
        </w:rPr>
      </w:pPr>
      <w:r>
        <w:rPr>
          <w:rFonts w:ascii="仿宋" w:hAnsi="仿宋" w:eastAsia="仿宋"/>
          <w:sz w:val="32"/>
          <w:szCs w:val="32"/>
        </w:rPr>
        <w:t>11</w:t>
      </w:r>
      <w:r>
        <w:rPr>
          <w:rFonts w:hint="eastAsia" w:ascii="仿宋" w:hAnsi="仿宋" w:eastAsia="仿宋"/>
          <w:sz w:val="32"/>
          <w:szCs w:val="32"/>
        </w:rPr>
        <w:t>.</w:t>
      </w:r>
      <w:r>
        <w:rPr>
          <w:rFonts w:ascii="仿宋" w:hAnsi="仿宋" w:eastAsia="仿宋"/>
          <w:sz w:val="32"/>
          <w:szCs w:val="32"/>
        </w:rPr>
        <w:t>贯彻执行国家林业工作方针、政策，依照《森林法》及林业管理的有关法规、规章，行使林政法权，保护我县动植物资源。</w:t>
      </w:r>
    </w:p>
    <w:p>
      <w:pPr>
        <w:ind w:firstLine="800" w:firstLineChars="250"/>
        <w:rPr>
          <w:rFonts w:ascii="仿宋_GB2312" w:eastAsia="仿宋_GB2312" w:cs="ArialUnicodeMS" w:hAnsiTheme="minorHAnsi"/>
          <w:kern w:val="0"/>
          <w:sz w:val="32"/>
          <w:szCs w:val="32"/>
        </w:rPr>
      </w:pPr>
      <w:r>
        <w:rPr>
          <w:rFonts w:ascii="仿宋" w:hAnsi="仿宋" w:eastAsia="仿宋"/>
          <w:sz w:val="32"/>
          <w:szCs w:val="32"/>
        </w:rPr>
        <w:t>12</w:t>
      </w:r>
      <w:r>
        <w:rPr>
          <w:rFonts w:hint="eastAsia" w:ascii="仿宋" w:hAnsi="仿宋" w:eastAsia="仿宋"/>
          <w:sz w:val="32"/>
          <w:szCs w:val="32"/>
        </w:rPr>
        <w:t>.</w:t>
      </w:r>
      <w:r>
        <w:rPr>
          <w:rFonts w:ascii="仿宋" w:hAnsi="仿宋" w:eastAsia="仿宋"/>
          <w:sz w:val="32"/>
          <w:szCs w:val="32"/>
        </w:rPr>
        <w:t>负责局机关及直属单位的组织人事、劳动工资、机构编制工作；负责行业管理，指导有关社团工作</w:t>
      </w:r>
      <w:r>
        <w:rPr>
          <w:rFonts w:hint="eastAsia" w:ascii="仿宋" w:hAnsi="仿宋" w:eastAsia="仿宋"/>
          <w:sz w:val="32"/>
          <w:szCs w:val="32"/>
        </w:rPr>
        <w:t>;</w:t>
      </w:r>
      <w:r>
        <w:rPr>
          <w:rFonts w:ascii="仿宋" w:hAnsi="仿宋" w:eastAsia="仿宋"/>
          <w:sz w:val="32"/>
          <w:szCs w:val="32"/>
        </w:rPr>
        <w:t>承办县政府交办的其它事项。</w:t>
      </w:r>
    </w:p>
    <w:p>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二、机构设置</w:t>
      </w:r>
    </w:p>
    <w:p>
      <w:pPr>
        <w:spacing w:after="0" w:line="560" w:lineRule="exact"/>
        <w:ind w:firstLine="640" w:firstLineChars="200"/>
        <w:rPr>
          <w:rFonts w:ascii="仿宋" w:hAnsi="仿宋" w:eastAsia="仿宋" w:cs="仿宋"/>
          <w:kern w:val="0"/>
          <w:sz w:val="32"/>
          <w:szCs w:val="32"/>
        </w:rPr>
      </w:pPr>
      <w:r>
        <w:rPr>
          <w:rFonts w:hint="eastAsia" w:ascii="仿宋" w:hAnsi="仿宋" w:eastAsia="仿宋" w:cs="仿宋"/>
          <w:kern w:val="0"/>
          <w:sz w:val="32"/>
          <w:szCs w:val="32"/>
        </w:rPr>
        <w:t>从决算编报单位构成看，纳入2018 年度本部门决算汇编范围的独立核算单位（以下简称“单位”）共1 个，具体情况如下：</w:t>
      </w:r>
    </w:p>
    <w:p>
      <w:pPr>
        <w:spacing w:after="0" w:line="560" w:lineRule="exact"/>
        <w:rPr>
          <w:rFonts w:ascii="仿宋_GB2312" w:eastAsia="仿宋_GB2312" w:cs="ArialUnicodeMS" w:hAnsiTheme="minorHAnsi"/>
          <w:kern w:val="0"/>
          <w:sz w:val="32"/>
          <w:szCs w:val="32"/>
        </w:rPr>
      </w:pPr>
    </w:p>
    <w:tbl>
      <w:tblPr>
        <w:tblStyle w:val="12"/>
        <w:tblW w:w="85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827"/>
        <w:gridCol w:w="1134"/>
        <w:gridCol w:w="1276"/>
        <w:gridCol w:w="235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60" w:hRule="atLeast"/>
          <w:tblHeader/>
          <w:jc w:val="center"/>
        </w:trPr>
        <w:tc>
          <w:tcPr>
            <w:tcW w:w="3827" w:type="dxa"/>
            <w:vMerge w:val="restart"/>
            <w:vAlign w:val="center"/>
          </w:tcPr>
          <w:p>
            <w:pPr>
              <w:spacing w:line="300" w:lineRule="exact"/>
              <w:ind w:firstLine="643"/>
              <w:jc w:val="center"/>
              <w:rPr>
                <w:rFonts w:ascii="仿宋_GB2312" w:hAnsi="仿宋_GB2312" w:cs="仿宋_GB2312"/>
                <w:b/>
                <w:szCs w:val="32"/>
              </w:rPr>
            </w:pPr>
            <w:r>
              <w:rPr>
                <w:rFonts w:hint="eastAsia" w:ascii="仿宋_GB2312" w:hAnsi="仿宋_GB2312" w:cs="仿宋_GB2312"/>
                <w:b/>
                <w:szCs w:val="32"/>
              </w:rPr>
              <w:t>单位名称</w:t>
            </w:r>
          </w:p>
        </w:tc>
        <w:tc>
          <w:tcPr>
            <w:tcW w:w="1134" w:type="dxa"/>
            <w:vMerge w:val="restart"/>
            <w:vAlign w:val="center"/>
          </w:tcPr>
          <w:p>
            <w:pPr>
              <w:spacing w:line="300" w:lineRule="exact"/>
              <w:rPr>
                <w:rFonts w:ascii="仿宋_GB2312" w:hAnsi="仿宋_GB2312" w:cs="仿宋_GB2312"/>
                <w:b/>
                <w:szCs w:val="32"/>
              </w:rPr>
            </w:pPr>
            <w:r>
              <w:rPr>
                <w:rFonts w:hint="eastAsia" w:ascii="仿宋_GB2312" w:hAnsi="仿宋_GB2312" w:cs="仿宋_GB2312"/>
                <w:b/>
                <w:szCs w:val="32"/>
              </w:rPr>
              <w:t>单位性质</w:t>
            </w:r>
          </w:p>
        </w:tc>
        <w:tc>
          <w:tcPr>
            <w:tcW w:w="1276" w:type="dxa"/>
            <w:vMerge w:val="restart"/>
            <w:vAlign w:val="center"/>
          </w:tcPr>
          <w:p>
            <w:pPr>
              <w:spacing w:line="300" w:lineRule="exact"/>
              <w:rPr>
                <w:rFonts w:ascii="仿宋_GB2312" w:hAnsi="仿宋_GB2312" w:cs="仿宋_GB2312"/>
                <w:b/>
                <w:szCs w:val="32"/>
              </w:rPr>
            </w:pPr>
            <w:r>
              <w:rPr>
                <w:rFonts w:hint="eastAsia" w:ascii="仿宋_GB2312" w:hAnsi="仿宋_GB2312" w:cs="仿宋_GB2312"/>
                <w:b/>
                <w:szCs w:val="32"/>
              </w:rPr>
              <w:t>单位规格</w:t>
            </w:r>
          </w:p>
        </w:tc>
        <w:tc>
          <w:tcPr>
            <w:tcW w:w="2353" w:type="dxa"/>
            <w:vMerge w:val="restart"/>
            <w:vAlign w:val="center"/>
          </w:tcPr>
          <w:p>
            <w:pPr>
              <w:spacing w:line="300" w:lineRule="exact"/>
              <w:ind w:firstLine="643"/>
              <w:jc w:val="center"/>
              <w:rPr>
                <w:rFonts w:ascii="仿宋_GB2312" w:hAnsi="仿宋_GB2312" w:cs="仿宋_GB2312"/>
                <w:b/>
                <w:szCs w:val="32"/>
              </w:rPr>
            </w:pPr>
            <w:r>
              <w:rPr>
                <w:rFonts w:hint="eastAsia" w:ascii="仿宋_GB2312" w:hAnsi="仿宋_GB2312" w:cs="仿宋_GB2312"/>
                <w:b/>
                <w:szCs w:val="32"/>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60" w:hRule="atLeast"/>
          <w:tblHeader/>
          <w:jc w:val="center"/>
        </w:trPr>
        <w:tc>
          <w:tcPr>
            <w:tcW w:w="3827" w:type="dxa"/>
            <w:vMerge w:val="continue"/>
            <w:vAlign w:val="center"/>
          </w:tcPr>
          <w:p>
            <w:pPr>
              <w:spacing w:line="300" w:lineRule="exact"/>
              <w:ind w:firstLine="640"/>
              <w:jc w:val="left"/>
              <w:outlineLvl w:val="0"/>
              <w:rPr>
                <w:rFonts w:ascii="仿宋_GB2312" w:hAnsi="仿宋_GB2312" w:cs="仿宋_GB2312"/>
                <w:szCs w:val="32"/>
              </w:rPr>
            </w:pPr>
          </w:p>
        </w:tc>
        <w:tc>
          <w:tcPr>
            <w:tcW w:w="1134" w:type="dxa"/>
            <w:vMerge w:val="continue"/>
            <w:vAlign w:val="center"/>
          </w:tcPr>
          <w:p>
            <w:pPr>
              <w:spacing w:line="300" w:lineRule="exact"/>
              <w:ind w:firstLine="640"/>
              <w:jc w:val="left"/>
              <w:outlineLvl w:val="0"/>
              <w:rPr>
                <w:rFonts w:ascii="仿宋_GB2312" w:hAnsi="仿宋_GB2312" w:cs="仿宋_GB2312"/>
                <w:szCs w:val="32"/>
              </w:rPr>
            </w:pPr>
          </w:p>
        </w:tc>
        <w:tc>
          <w:tcPr>
            <w:tcW w:w="1276" w:type="dxa"/>
            <w:vMerge w:val="continue"/>
            <w:vAlign w:val="center"/>
          </w:tcPr>
          <w:p>
            <w:pPr>
              <w:spacing w:line="300" w:lineRule="exact"/>
              <w:ind w:firstLine="640"/>
              <w:jc w:val="left"/>
              <w:outlineLvl w:val="0"/>
              <w:rPr>
                <w:rFonts w:ascii="仿宋_GB2312" w:hAnsi="仿宋_GB2312" w:cs="仿宋_GB2312"/>
                <w:szCs w:val="32"/>
              </w:rPr>
            </w:pPr>
          </w:p>
        </w:tc>
        <w:tc>
          <w:tcPr>
            <w:tcW w:w="2353" w:type="dxa"/>
            <w:vMerge w:val="continue"/>
            <w:vAlign w:val="center"/>
          </w:tcPr>
          <w:p>
            <w:pPr>
              <w:spacing w:line="300" w:lineRule="exact"/>
              <w:ind w:firstLine="640"/>
              <w:jc w:val="left"/>
              <w:outlineLvl w:val="0"/>
              <w:rPr>
                <w:rFonts w:ascii="仿宋_GB2312" w:hAnsi="仿宋_GB2312" w:cs="仿宋_GB2312"/>
                <w:szCs w:val="3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64" w:hRule="atLeast"/>
          <w:jc w:val="center"/>
        </w:trPr>
        <w:tc>
          <w:tcPr>
            <w:tcW w:w="3827" w:type="dxa"/>
            <w:vAlign w:val="center"/>
          </w:tcPr>
          <w:p>
            <w:pPr>
              <w:spacing w:line="300" w:lineRule="exact"/>
              <w:ind w:firstLine="640"/>
              <w:jc w:val="center"/>
              <w:rPr>
                <w:rFonts w:ascii="仿宋" w:hAnsi="仿宋" w:eastAsia="仿宋"/>
                <w:szCs w:val="32"/>
              </w:rPr>
            </w:pPr>
            <w:r>
              <w:rPr>
                <w:rFonts w:hint="eastAsia" w:ascii="仿宋" w:hAnsi="仿宋" w:eastAsia="仿宋"/>
                <w:szCs w:val="32"/>
              </w:rPr>
              <w:t>无极县农林畜牧局</w:t>
            </w:r>
          </w:p>
        </w:tc>
        <w:tc>
          <w:tcPr>
            <w:tcW w:w="1134" w:type="dxa"/>
            <w:vAlign w:val="center"/>
          </w:tcPr>
          <w:p>
            <w:pPr>
              <w:spacing w:line="300" w:lineRule="exact"/>
              <w:jc w:val="center"/>
              <w:rPr>
                <w:rFonts w:ascii="仿宋" w:hAnsi="仿宋" w:eastAsia="仿宋"/>
                <w:szCs w:val="32"/>
              </w:rPr>
            </w:pPr>
            <w:r>
              <w:rPr>
                <w:rFonts w:hint="eastAsia" w:ascii="仿宋" w:hAnsi="仿宋" w:eastAsia="仿宋"/>
                <w:szCs w:val="32"/>
              </w:rPr>
              <w:t>行政</w:t>
            </w:r>
          </w:p>
        </w:tc>
        <w:tc>
          <w:tcPr>
            <w:tcW w:w="1276" w:type="dxa"/>
            <w:vAlign w:val="center"/>
          </w:tcPr>
          <w:p>
            <w:pPr>
              <w:spacing w:line="300" w:lineRule="exact"/>
              <w:rPr>
                <w:rFonts w:ascii="仿宋" w:hAnsi="仿宋" w:eastAsia="仿宋"/>
                <w:szCs w:val="32"/>
              </w:rPr>
            </w:pPr>
            <w:r>
              <w:rPr>
                <w:rFonts w:hint="eastAsia" w:ascii="仿宋" w:hAnsi="仿宋" w:eastAsia="仿宋"/>
                <w:szCs w:val="32"/>
              </w:rPr>
              <w:t>正科级</w:t>
            </w:r>
          </w:p>
        </w:tc>
        <w:tc>
          <w:tcPr>
            <w:tcW w:w="2353" w:type="dxa"/>
            <w:vAlign w:val="center"/>
          </w:tcPr>
          <w:p>
            <w:pPr>
              <w:spacing w:line="300" w:lineRule="exact"/>
              <w:ind w:firstLine="640"/>
              <w:jc w:val="center"/>
              <w:rPr>
                <w:rFonts w:ascii="仿宋" w:hAnsi="仿宋" w:eastAsia="仿宋"/>
                <w:szCs w:val="32"/>
              </w:rPr>
            </w:pPr>
            <w:r>
              <w:rPr>
                <w:rFonts w:hint="eastAsia" w:ascii="仿宋" w:hAnsi="仿宋" w:eastAsia="仿宋"/>
                <w:szCs w:val="32"/>
              </w:rPr>
              <w:t>财政拨款</w:t>
            </w:r>
          </w:p>
        </w:tc>
      </w:tr>
    </w:tbl>
    <w:p>
      <w:pPr>
        <w:widowControl/>
        <w:spacing w:line="560" w:lineRule="exact"/>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sectPr>
          <w:pgSz w:w="11906" w:h="16838"/>
          <w:pgMar w:top="2098" w:right="1474" w:bottom="1984" w:left="1588" w:header="851" w:footer="992" w:gutter="0"/>
          <w:cols w:space="0" w:num="1"/>
          <w:docGrid w:type="lines" w:linePitch="312" w:charSpace="0"/>
        </w:sectPr>
      </w:pPr>
    </w:p>
    <w:p>
      <w:pPr>
        <w:widowControl/>
        <w:spacing w:line="560" w:lineRule="exact"/>
        <w:jc w:val="center"/>
        <w:rPr>
          <w:rFonts w:ascii="黑体" w:eastAsia="黑体" w:cs="MS-UIGothic,Bold" w:hAnsiTheme="minorHAnsi"/>
          <w:bCs/>
          <w:kern w:val="0"/>
          <w:sz w:val="52"/>
          <w:szCs w:val="52"/>
        </w:rPr>
      </w:pPr>
      <w:r>
        <w:rPr>
          <w:rFonts w:hint="eastAsia" w:ascii="宋体" w:hAnsi="宋体" w:cs="ArialUnicodeMS"/>
          <w:color w:val="000000"/>
          <w:kern w:val="0"/>
        </w:rPr>
        <w:drawing>
          <wp:anchor distT="0" distB="0" distL="114300" distR="114300" simplePos="0" relativeHeight="251663360" behindDoc="1" locked="0" layoutInCell="1" allowOverlap="1">
            <wp:simplePos x="0" y="0"/>
            <wp:positionH relativeFrom="column">
              <wp:posOffset>-1023620</wp:posOffset>
            </wp:positionH>
            <wp:positionV relativeFrom="paragraph">
              <wp:posOffset>-1327150</wp:posOffset>
            </wp:positionV>
            <wp:extent cx="7571105" cy="10680065"/>
            <wp:effectExtent l="0" t="0" r="10795" b="6985"/>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7"/>
                    <a:stretch>
                      <a:fillRect/>
                    </a:stretch>
                  </pic:blipFill>
                  <pic:spPr>
                    <a:xfrm>
                      <a:off x="0" y="0"/>
                      <a:ext cx="7571105" cy="10680065"/>
                    </a:xfrm>
                    <a:prstGeom prst="rect">
                      <a:avLst/>
                    </a:prstGeom>
                  </pic:spPr>
                </pic:pic>
              </a:graphicData>
            </a:graphic>
          </wp:anchor>
        </w:drawing>
      </w:r>
    </w:p>
    <w:p>
      <w:pPr>
        <w:widowControl/>
        <w:spacing w:line="560" w:lineRule="exact"/>
        <w:jc w:val="center"/>
        <w:rPr>
          <w:rFonts w:ascii="黑体" w:eastAsia="黑体" w:cs="MS-UIGothic,Bold" w:hAnsiTheme="minorHAnsi"/>
          <w:bCs/>
          <w:kern w:val="0"/>
          <w:sz w:val="52"/>
          <w:szCs w:val="52"/>
        </w:rPr>
      </w:pPr>
    </w:p>
    <w:p>
      <w:pPr>
        <w:rPr>
          <w:rFonts w:ascii="宋体" w:hAnsi="宋体" w:cs="ArialUnicodeMS"/>
          <w:color w:val="000000"/>
          <w:kern w:val="0"/>
        </w:r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sz w:val="72"/>
        </w:rPr>
        <w:pict>
          <v:shape id="_x0000_s1029" o:spid="_x0000_s1029" o:spt="202" type="#_x0000_t202" style="position:absolute;left:0pt;margin-left:-74.2pt;margin-top:120.3pt;height:159.1pt;width:596.2pt;z-index:251662336;mso-width-relative:page;mso-height-relative:page;" filled="f" stroked="f" coordsize="21600,21600" o:gfxdata="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E5rPdDcAAAADQEAAA8AAAAAAAAAAQAgAAAAIgAA&#10;AGRycy9kb3ducmV2LnhtbFBLAQIUABQAAAAIAIdO4kAGUZfgPQIAAGkEAAAOAAAAAAAAAAEAIAAA&#10;ACsBAABkcnMvZTJvRG9jLnhtbFBLBQYAAAAABgAGAFkBAADaBQ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第二部分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2018年度部门决算报表</w:t>
                  </w:r>
                </w:p>
              </w:txbxContent>
            </v:textbox>
          </v:shape>
        </w:pict>
      </w:r>
    </w:p>
    <w:tbl>
      <w:tblPr>
        <w:tblStyle w:val="12"/>
        <w:tblW w:w="9300" w:type="dxa"/>
        <w:jc w:val="center"/>
        <w:tblLayout w:type="fixed"/>
        <w:tblCellMar>
          <w:top w:w="0" w:type="dxa"/>
          <w:left w:w="0" w:type="dxa"/>
          <w:bottom w:w="0" w:type="dxa"/>
          <w:right w:w="0" w:type="dxa"/>
        </w:tblCellMar>
      </w:tblPr>
      <w:tblGrid>
        <w:gridCol w:w="2700"/>
        <w:gridCol w:w="567"/>
        <w:gridCol w:w="1336"/>
        <w:gridCol w:w="2700"/>
        <w:gridCol w:w="567"/>
        <w:gridCol w:w="1430"/>
      </w:tblGrid>
      <w:tr>
        <w:tblPrEx>
          <w:tblCellMar>
            <w:top w:w="0" w:type="dxa"/>
            <w:left w:w="0" w:type="dxa"/>
            <w:bottom w:w="0" w:type="dxa"/>
            <w:right w:w="0" w:type="dxa"/>
          </w:tblCellMar>
        </w:tblPrEx>
        <w:trPr>
          <w:trHeight w:val="56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440" w:lineRule="exac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收入支出决算总表</w:t>
            </w:r>
          </w:p>
        </w:tc>
      </w:tr>
      <w:tr>
        <w:tblPrEx>
          <w:tblCellMar>
            <w:top w:w="0" w:type="dxa"/>
            <w:left w:w="0" w:type="dxa"/>
            <w:bottom w:w="0" w:type="dxa"/>
            <w:right w:w="0" w:type="dxa"/>
          </w:tblCellMar>
        </w:tblPrEx>
        <w:trPr>
          <w:trHeight w:val="321"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336"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43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公开01表</w:t>
            </w:r>
          </w:p>
        </w:tc>
      </w:tr>
      <w:tr>
        <w:tblPrEx>
          <w:tblCellMar>
            <w:top w:w="0" w:type="dxa"/>
            <w:left w:w="0" w:type="dxa"/>
            <w:bottom w:w="0" w:type="dxa"/>
            <w:right w:w="0" w:type="dxa"/>
          </w:tblCellMar>
        </w:tblPrEx>
        <w:trPr>
          <w:trHeight w:val="418"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部门：</w:t>
            </w: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336"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43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295" w:hRule="atLeast"/>
          <w:jc w:val="center"/>
        </w:trPr>
        <w:tc>
          <w:tcPr>
            <w:tcW w:w="460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收入</w:t>
            </w:r>
          </w:p>
        </w:tc>
        <w:tc>
          <w:tcPr>
            <w:tcW w:w="469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支出</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r>
      <w:tr>
        <w:tblPrEx>
          <w:tblCellMar>
            <w:top w:w="0" w:type="dxa"/>
            <w:left w:w="0" w:type="dxa"/>
            <w:bottom w:w="0" w:type="dxa"/>
            <w:right w:w="0" w:type="dxa"/>
          </w:tblCellMar>
        </w:tblPrEx>
        <w:trPr>
          <w:trHeight w:val="36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一、财政拨款收入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42132.75</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一、一般公共服务支出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二、上级补助收入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二、外交支出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三、事业收入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三、国防支出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四、经营收入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四、公共安全支出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五、附属单位上缴收入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五、教育支出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六、其他收入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6</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六、科学技术支出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560</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7</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七、文化体育与传媒支出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8</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八、社会保障和就业支出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35</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44.80</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9</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九、医疗卫生与计划生育支出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36</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118.83</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10</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十、节能环保支出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37</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23161.05</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11</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十一、城乡社区支出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96.49</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12</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十二、农林水支出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5802.56</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13</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十三、交通运输支出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14</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十四、资源勘探信息等支出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15</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十五、商业服务业等支出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16</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十六、金融支出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17</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十七、援助其他地区支出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18</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十八、国土海洋气象等支出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45</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19</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十九、住房保障支出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46</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20</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二十、粮油物资储备支出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47</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21</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二十一、其他支出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22</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二十二、债务还本支出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23</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二十三、债务付息支出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24</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42132.75</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本年支出合计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29783.73</w:t>
            </w:r>
          </w:p>
        </w:tc>
      </w:tr>
      <w:tr>
        <w:tblPrEx>
          <w:tblCellMar>
            <w:top w:w="0" w:type="dxa"/>
            <w:left w:w="0" w:type="dxa"/>
            <w:bottom w:w="0" w:type="dxa"/>
            <w:right w:w="0" w:type="dxa"/>
          </w:tblCellMar>
        </w:tblPrEx>
        <w:trPr>
          <w:trHeight w:val="38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用事业基金弥补收支差额</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25</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18"/>
                <w:szCs w:val="18"/>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结余分配</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年初结转和结余</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26</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1225.2</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年末结转和结余</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13574.22</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27</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43357.95</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43357.95</w:t>
            </w:r>
          </w:p>
        </w:tc>
      </w:tr>
      <w:tr>
        <w:tblPrEx>
          <w:tblCellMar>
            <w:top w:w="0" w:type="dxa"/>
            <w:left w:w="0" w:type="dxa"/>
            <w:bottom w:w="0" w:type="dxa"/>
            <w:right w:w="0" w:type="dxa"/>
          </w:tblCellMar>
        </w:tblPrEx>
        <w:trPr>
          <w:trHeight w:val="41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Cs w:val="21"/>
              </w:rPr>
            </w:pPr>
            <w:r>
              <w:rPr>
                <w:rFonts w:hint="eastAsia" w:ascii="宋体" w:hAnsi="宋体" w:cs="宋体"/>
                <w:color w:val="000000"/>
                <w:kern w:val="0"/>
                <w:szCs w:val="21"/>
              </w:rPr>
              <w:t>注：本表反映部门本年度的总收支和年末结转结余情况。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jc w:val="center"/>
        <w:tblLayout w:type="fixed"/>
        <w:tblCellMar>
          <w:top w:w="0" w:type="dxa"/>
          <w:left w:w="0" w:type="dxa"/>
          <w:bottom w:w="0" w:type="dxa"/>
          <w:right w:w="0" w:type="dxa"/>
        </w:tblCellMar>
      </w:tblPr>
      <w:tblGrid>
        <w:gridCol w:w="335"/>
        <w:gridCol w:w="179"/>
        <w:gridCol w:w="520"/>
        <w:gridCol w:w="1479"/>
        <w:gridCol w:w="372"/>
        <w:gridCol w:w="498"/>
        <w:gridCol w:w="577"/>
        <w:gridCol w:w="232"/>
        <w:gridCol w:w="584"/>
        <w:gridCol w:w="337"/>
        <w:gridCol w:w="478"/>
        <w:gridCol w:w="442"/>
        <w:gridCol w:w="373"/>
        <w:gridCol w:w="548"/>
        <w:gridCol w:w="920"/>
        <w:gridCol w:w="926"/>
      </w:tblGrid>
      <w:tr>
        <w:tblPrEx>
          <w:tblCellMar>
            <w:top w:w="0" w:type="dxa"/>
            <w:left w:w="0" w:type="dxa"/>
            <w:bottom w:w="0" w:type="dxa"/>
            <w:right w:w="0" w:type="dxa"/>
          </w:tblCellMar>
        </w:tblPrEx>
        <w:trPr>
          <w:trHeight w:val="770" w:hRule="atLeast"/>
          <w:jc w:val="center"/>
        </w:trPr>
        <w:tc>
          <w:tcPr>
            <w:tcW w:w="8800" w:type="dxa"/>
            <w:gridSpan w:val="16"/>
            <w:tcBorders>
              <w:top w:val="nil"/>
              <w:left w:val="nil"/>
              <w:bottom w:val="nil"/>
              <w:right w:val="nil"/>
            </w:tcBorders>
            <w:shd w:val="clear" w:color="auto" w:fill="auto"/>
            <w:noWrap/>
            <w:tcMar>
              <w:top w:w="15" w:type="dxa"/>
              <w:left w:w="15" w:type="dxa"/>
              <w:right w:w="15" w:type="dxa"/>
            </w:tcMar>
            <w:vAlign w:val="bottom"/>
          </w:tcPr>
          <w:p>
            <w:pPr>
              <w:widowControl/>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收入决算表</w:t>
            </w:r>
          </w:p>
        </w:tc>
      </w:tr>
      <w:tr>
        <w:tblPrEx>
          <w:tblCellMar>
            <w:top w:w="0" w:type="dxa"/>
            <w:left w:w="0" w:type="dxa"/>
            <w:bottom w:w="0" w:type="dxa"/>
            <w:right w:w="0" w:type="dxa"/>
          </w:tblCellMar>
        </w:tblPrEx>
        <w:trPr>
          <w:trHeight w:val="362" w:hRule="atLeast"/>
          <w:jc w:val="center"/>
        </w:trPr>
        <w:tc>
          <w:tcPr>
            <w:tcW w:w="33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7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52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47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72"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498"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57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公开02表</w:t>
            </w:r>
          </w:p>
        </w:tc>
      </w:tr>
      <w:tr>
        <w:tblPrEx>
          <w:tblCellMar>
            <w:top w:w="0" w:type="dxa"/>
            <w:left w:w="0" w:type="dxa"/>
            <w:bottom w:w="0" w:type="dxa"/>
            <w:right w:w="0" w:type="dxa"/>
          </w:tblCellMar>
        </w:tblPrEx>
        <w:trPr>
          <w:trHeight w:val="362" w:hRule="atLeast"/>
          <w:jc w:val="center"/>
        </w:trPr>
        <w:tc>
          <w:tcPr>
            <w:tcW w:w="2885"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p>
        </w:tc>
        <w:tc>
          <w:tcPr>
            <w:tcW w:w="498"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57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5" w:hRule="atLeast"/>
          <w:jc w:val="center"/>
        </w:trPr>
        <w:tc>
          <w:tcPr>
            <w:tcW w:w="2513" w:type="dxa"/>
            <w:gridSpan w:val="4"/>
            <w:tcBorders>
              <w:top w:val="single" w:color="000000" w:sz="4" w:space="0"/>
              <w:left w:val="single" w:color="000000" w:sz="4" w:space="0"/>
              <w:bottom w:val="single" w:color="000000"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项目</w:t>
            </w:r>
          </w:p>
        </w:tc>
        <w:tc>
          <w:tcPr>
            <w:tcW w:w="870" w:type="dxa"/>
            <w:gridSpan w:val="2"/>
            <w:vMerge w:val="restart"/>
            <w:tcBorders>
              <w:top w:val="single" w:color="auto" w:sz="4" w:space="0"/>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809"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财政拨款收入</w:t>
            </w:r>
          </w:p>
        </w:tc>
        <w:tc>
          <w:tcPr>
            <w:tcW w:w="921"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上级补助收入</w:t>
            </w:r>
          </w:p>
        </w:tc>
        <w:tc>
          <w:tcPr>
            <w:tcW w:w="920"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事业收入</w:t>
            </w:r>
          </w:p>
        </w:tc>
        <w:tc>
          <w:tcPr>
            <w:tcW w:w="921"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经营收入</w:t>
            </w:r>
          </w:p>
        </w:tc>
        <w:tc>
          <w:tcPr>
            <w:tcW w:w="920" w:type="dxa"/>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附属单位上缴收入</w:t>
            </w:r>
          </w:p>
        </w:tc>
        <w:tc>
          <w:tcPr>
            <w:tcW w:w="926" w:type="dxa"/>
            <w:vMerge w:val="restart"/>
            <w:tcBorders>
              <w:top w:val="single" w:color="auto" w:sz="4" w:space="0"/>
              <w:left w:val="nil"/>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其他收入</w:t>
            </w:r>
          </w:p>
        </w:tc>
      </w:tr>
      <w:tr>
        <w:tblPrEx>
          <w:tblCellMar>
            <w:top w:w="0" w:type="dxa"/>
            <w:left w:w="0" w:type="dxa"/>
            <w:bottom w:w="0" w:type="dxa"/>
            <w:right w:w="0" w:type="dxa"/>
          </w:tblCellMar>
        </w:tblPrEx>
        <w:trPr>
          <w:trHeight w:val="626"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功能分类科目编码</w:t>
            </w:r>
          </w:p>
        </w:tc>
        <w:tc>
          <w:tcPr>
            <w:tcW w:w="1479" w:type="dxa"/>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科目名称</w:t>
            </w:r>
          </w:p>
        </w:tc>
        <w:tc>
          <w:tcPr>
            <w:tcW w:w="870" w:type="dxa"/>
            <w:gridSpan w:val="2"/>
            <w:vMerge w:val="continue"/>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809"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1"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1"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6" w:type="dxa"/>
            <w:vMerge w:val="continue"/>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r>
      <w:tr>
        <w:tblPrEx>
          <w:tblCellMar>
            <w:top w:w="0" w:type="dxa"/>
            <w:left w:w="0" w:type="dxa"/>
            <w:bottom w:w="0" w:type="dxa"/>
            <w:right w:w="0" w:type="dxa"/>
          </w:tblCellMar>
        </w:tblPrEx>
        <w:trPr>
          <w:trHeight w:val="164" w:hRule="atLeast"/>
          <w:jc w:val="center"/>
        </w:trPr>
        <w:tc>
          <w:tcPr>
            <w:tcW w:w="251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87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80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92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92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9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r>
      <w:tr>
        <w:tblPrEx>
          <w:tblCellMar>
            <w:top w:w="0" w:type="dxa"/>
            <w:left w:w="0" w:type="dxa"/>
            <w:bottom w:w="0" w:type="dxa"/>
            <w:right w:w="0" w:type="dxa"/>
          </w:tblCellMar>
        </w:tblPrEx>
        <w:trPr>
          <w:trHeight w:val="164" w:hRule="atLeast"/>
          <w:jc w:val="center"/>
        </w:trPr>
        <w:tc>
          <w:tcPr>
            <w:tcW w:w="251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870"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r>
              <w:rPr>
                <w:rFonts w:hint="eastAsia" w:ascii="宋体" w:hAnsi="宋体" w:cs="宋体"/>
                <w:b/>
                <w:color w:val="000000"/>
                <w:sz w:val="18"/>
                <w:szCs w:val="18"/>
              </w:rPr>
              <w:t>42132.75</w:t>
            </w:r>
          </w:p>
        </w:tc>
        <w:tc>
          <w:tcPr>
            <w:tcW w:w="809"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r>
              <w:rPr>
                <w:rFonts w:hint="eastAsia" w:ascii="宋体" w:hAnsi="宋体" w:cs="宋体"/>
                <w:b/>
                <w:color w:val="000000"/>
                <w:sz w:val="18"/>
                <w:szCs w:val="18"/>
              </w:rPr>
              <w:t>42132.75</w:t>
            </w:r>
          </w:p>
        </w:tc>
        <w:tc>
          <w:tcPr>
            <w:tcW w:w="92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0"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0"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6"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r>
      <w:tr>
        <w:tblPrEx>
          <w:tblCellMar>
            <w:top w:w="0" w:type="dxa"/>
            <w:left w:w="0" w:type="dxa"/>
            <w:bottom w:w="0" w:type="dxa"/>
            <w:right w:w="0" w:type="dxa"/>
          </w:tblCellMar>
        </w:tblPrEx>
        <w:trPr>
          <w:trHeight w:val="164"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2060404</w:t>
            </w:r>
          </w:p>
        </w:tc>
        <w:tc>
          <w:tcPr>
            <w:tcW w:w="14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3"/>
                <w:szCs w:val="13"/>
              </w:rPr>
              <w:t>科技成果转化与扩散</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700</w:t>
            </w:r>
          </w:p>
        </w:tc>
        <w:tc>
          <w:tcPr>
            <w:tcW w:w="8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164"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2080801</w:t>
            </w:r>
          </w:p>
        </w:tc>
        <w:tc>
          <w:tcPr>
            <w:tcW w:w="14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死亡抚恤</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44.17</w:t>
            </w:r>
          </w:p>
        </w:tc>
        <w:tc>
          <w:tcPr>
            <w:tcW w:w="8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44.17</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164"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2100717</w:t>
            </w:r>
          </w:p>
        </w:tc>
        <w:tc>
          <w:tcPr>
            <w:tcW w:w="14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计划生育服务</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0.6</w:t>
            </w:r>
          </w:p>
        </w:tc>
        <w:tc>
          <w:tcPr>
            <w:tcW w:w="8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0.6</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164"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2101102</w:t>
            </w:r>
          </w:p>
        </w:tc>
        <w:tc>
          <w:tcPr>
            <w:tcW w:w="14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事业单位医疗</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118.23</w:t>
            </w:r>
          </w:p>
        </w:tc>
        <w:tc>
          <w:tcPr>
            <w:tcW w:w="8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118.23</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164"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2110301</w:t>
            </w:r>
          </w:p>
        </w:tc>
        <w:tc>
          <w:tcPr>
            <w:tcW w:w="14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大气</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34155</w:t>
            </w:r>
          </w:p>
        </w:tc>
        <w:tc>
          <w:tcPr>
            <w:tcW w:w="8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34155</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164"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2110399</w:t>
            </w:r>
          </w:p>
        </w:tc>
        <w:tc>
          <w:tcPr>
            <w:tcW w:w="14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3"/>
                <w:szCs w:val="13"/>
              </w:rPr>
              <w:t>其他污染防治支出</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51</w:t>
            </w:r>
          </w:p>
        </w:tc>
        <w:tc>
          <w:tcPr>
            <w:tcW w:w="8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51</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164"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2120801</w:t>
            </w:r>
          </w:p>
        </w:tc>
        <w:tc>
          <w:tcPr>
            <w:tcW w:w="14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3"/>
                <w:szCs w:val="13"/>
              </w:rPr>
              <w:t>征地和拆迁补偿支出</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22.68</w:t>
            </w:r>
          </w:p>
        </w:tc>
        <w:tc>
          <w:tcPr>
            <w:tcW w:w="8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22.68</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164"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2120809</w:t>
            </w:r>
          </w:p>
        </w:tc>
        <w:tc>
          <w:tcPr>
            <w:tcW w:w="14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0"/>
                <w:szCs w:val="10"/>
              </w:rPr>
              <w:t>支付破产或改制企业职工安置费</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73.81</w:t>
            </w:r>
          </w:p>
        </w:tc>
        <w:tc>
          <w:tcPr>
            <w:tcW w:w="8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73.81</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164"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2130101</w:t>
            </w:r>
          </w:p>
        </w:tc>
        <w:tc>
          <w:tcPr>
            <w:tcW w:w="14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行政运行</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878.64</w:t>
            </w:r>
          </w:p>
        </w:tc>
        <w:tc>
          <w:tcPr>
            <w:tcW w:w="8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878.64</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164"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2130104</w:t>
            </w:r>
          </w:p>
        </w:tc>
        <w:tc>
          <w:tcPr>
            <w:tcW w:w="14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事业运行</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71.17</w:t>
            </w:r>
          </w:p>
        </w:tc>
        <w:tc>
          <w:tcPr>
            <w:tcW w:w="8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71.17</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164"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2130105</w:t>
            </w:r>
          </w:p>
        </w:tc>
        <w:tc>
          <w:tcPr>
            <w:tcW w:w="14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农垦运行</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105</w:t>
            </w:r>
          </w:p>
        </w:tc>
        <w:tc>
          <w:tcPr>
            <w:tcW w:w="8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105</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164"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2130106</w:t>
            </w:r>
          </w:p>
        </w:tc>
        <w:tc>
          <w:tcPr>
            <w:tcW w:w="14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6"/>
                <w:szCs w:val="16"/>
              </w:rPr>
              <w:t>科技转化与推广服务</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795.90</w:t>
            </w:r>
          </w:p>
        </w:tc>
        <w:tc>
          <w:tcPr>
            <w:tcW w:w="8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795.90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164"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2130108</w:t>
            </w:r>
          </w:p>
        </w:tc>
        <w:tc>
          <w:tcPr>
            <w:tcW w:w="14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病虫害控制</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528.94</w:t>
            </w:r>
          </w:p>
        </w:tc>
        <w:tc>
          <w:tcPr>
            <w:tcW w:w="8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528.94</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164"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2130109</w:t>
            </w:r>
          </w:p>
        </w:tc>
        <w:tc>
          <w:tcPr>
            <w:tcW w:w="14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8"/>
                <w:szCs w:val="18"/>
              </w:rPr>
              <w:t>农产品质量安全</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162.97</w:t>
            </w:r>
          </w:p>
        </w:tc>
        <w:tc>
          <w:tcPr>
            <w:tcW w:w="8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162.97</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164"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2130110</w:t>
            </w:r>
          </w:p>
        </w:tc>
        <w:tc>
          <w:tcPr>
            <w:tcW w:w="14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执法监管</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w:t>
            </w:r>
          </w:p>
        </w:tc>
        <w:tc>
          <w:tcPr>
            <w:tcW w:w="8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164"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2130111</w:t>
            </w:r>
          </w:p>
        </w:tc>
        <w:tc>
          <w:tcPr>
            <w:tcW w:w="14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6"/>
                <w:szCs w:val="16"/>
              </w:rPr>
              <w:t>统计监测与信息服务</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6.8</w:t>
            </w:r>
          </w:p>
        </w:tc>
        <w:tc>
          <w:tcPr>
            <w:tcW w:w="8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6.8</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164"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2130112</w:t>
            </w:r>
          </w:p>
        </w:tc>
        <w:tc>
          <w:tcPr>
            <w:tcW w:w="14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8"/>
                <w:szCs w:val="18"/>
              </w:rPr>
              <w:t>农业行业业务管理</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4.83</w:t>
            </w:r>
          </w:p>
        </w:tc>
        <w:tc>
          <w:tcPr>
            <w:tcW w:w="8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4.83</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164"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2130121</w:t>
            </w:r>
          </w:p>
        </w:tc>
        <w:tc>
          <w:tcPr>
            <w:tcW w:w="14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8"/>
                <w:szCs w:val="18"/>
              </w:rPr>
              <w:t>农业结构调整补贴</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315</w:t>
            </w:r>
          </w:p>
        </w:tc>
        <w:tc>
          <w:tcPr>
            <w:tcW w:w="8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315</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164"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2130122</w:t>
            </w:r>
          </w:p>
        </w:tc>
        <w:tc>
          <w:tcPr>
            <w:tcW w:w="14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8"/>
                <w:szCs w:val="18"/>
              </w:rPr>
              <w:t>农业生产支持补贴</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1676.49</w:t>
            </w:r>
          </w:p>
        </w:tc>
        <w:tc>
          <w:tcPr>
            <w:tcW w:w="8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1676.49</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164"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2130124</w:t>
            </w:r>
          </w:p>
        </w:tc>
        <w:tc>
          <w:tcPr>
            <w:tcW w:w="14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3"/>
                <w:szCs w:val="13"/>
              </w:rPr>
              <w:t>农业组织化与产业化经营</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w:t>
            </w:r>
          </w:p>
        </w:tc>
        <w:tc>
          <w:tcPr>
            <w:tcW w:w="8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164"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2130135</w:t>
            </w:r>
          </w:p>
        </w:tc>
        <w:tc>
          <w:tcPr>
            <w:tcW w:w="14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3"/>
                <w:szCs w:val="13"/>
              </w:rPr>
              <w:t>农业资源保护修复与利用</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w:t>
            </w:r>
          </w:p>
        </w:tc>
        <w:tc>
          <w:tcPr>
            <w:tcW w:w="8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164"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2130199</w:t>
            </w:r>
          </w:p>
        </w:tc>
        <w:tc>
          <w:tcPr>
            <w:tcW w:w="14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其他农业支出</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373.42</w:t>
            </w:r>
          </w:p>
        </w:tc>
        <w:tc>
          <w:tcPr>
            <w:tcW w:w="8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373.42</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164"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2130803</w:t>
            </w:r>
          </w:p>
        </w:tc>
        <w:tc>
          <w:tcPr>
            <w:tcW w:w="14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8"/>
                <w:szCs w:val="18"/>
              </w:rPr>
              <w:t>农业保险保费补贴</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1993.10</w:t>
            </w:r>
          </w:p>
        </w:tc>
        <w:tc>
          <w:tcPr>
            <w:tcW w:w="8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1993.10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164"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2139999</w:t>
            </w:r>
          </w:p>
        </w:tc>
        <w:tc>
          <w:tcPr>
            <w:tcW w:w="14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20"/>
                <w:szCs w:val="20"/>
              </w:rPr>
              <w:t>其他农林水支出</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33</w:t>
            </w:r>
          </w:p>
        </w:tc>
        <w:tc>
          <w:tcPr>
            <w:tcW w:w="8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33</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81" w:hRule="atLeast"/>
          <w:jc w:val="center"/>
        </w:trPr>
        <w:tc>
          <w:tcPr>
            <w:tcW w:w="8800" w:type="dxa"/>
            <w:gridSpan w:val="16"/>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注：本表反映部门本年度取得的各项收入情况。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000" w:type="dxa"/>
        <w:tblInd w:w="0" w:type="dxa"/>
        <w:tblLayout w:type="fixed"/>
        <w:tblCellMar>
          <w:top w:w="0" w:type="dxa"/>
          <w:left w:w="0" w:type="dxa"/>
          <w:bottom w:w="0" w:type="dxa"/>
          <w:right w:w="0" w:type="dxa"/>
        </w:tblCellMar>
      </w:tblPr>
      <w:tblGrid>
        <w:gridCol w:w="290"/>
        <w:gridCol w:w="289"/>
        <w:gridCol w:w="803"/>
        <w:gridCol w:w="1498"/>
        <w:gridCol w:w="266"/>
        <w:gridCol w:w="799"/>
        <w:gridCol w:w="319"/>
        <w:gridCol w:w="611"/>
        <w:gridCol w:w="509"/>
        <w:gridCol w:w="601"/>
        <w:gridCol w:w="517"/>
        <w:gridCol w:w="353"/>
        <w:gridCol w:w="767"/>
        <w:gridCol w:w="88"/>
        <w:gridCol w:w="1290"/>
      </w:tblGrid>
      <w:tr>
        <w:tblPrEx>
          <w:tblCellMar>
            <w:top w:w="0" w:type="dxa"/>
            <w:left w:w="0" w:type="dxa"/>
            <w:bottom w:w="0" w:type="dxa"/>
            <w:right w:w="0" w:type="dxa"/>
          </w:tblCellMar>
        </w:tblPrEx>
        <w:trPr>
          <w:trHeight w:val="588" w:hRule="atLeast"/>
        </w:trPr>
        <w:tc>
          <w:tcPr>
            <w:tcW w:w="9000" w:type="dxa"/>
            <w:gridSpan w:val="1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center"/>
              <w:rPr>
                <w:rFonts w:ascii="黑体" w:hAnsi="宋体" w:eastAsia="黑体" w:cs="黑体"/>
                <w:color w:val="000000"/>
                <w:sz w:val="40"/>
                <w:szCs w:val="40"/>
              </w:rPr>
            </w:pPr>
            <w:r>
              <w:rPr>
                <w:rFonts w:hint="eastAsia" w:ascii="黑体" w:hAnsi="宋体" w:eastAsia="黑体" w:cs="黑体"/>
                <w:color w:val="000000"/>
                <w:kern w:val="0"/>
                <w:sz w:val="40"/>
                <w:szCs w:val="40"/>
              </w:rPr>
              <w:t>支出决算表</w:t>
            </w:r>
          </w:p>
        </w:tc>
      </w:tr>
      <w:tr>
        <w:tblPrEx>
          <w:tblCellMar>
            <w:top w:w="0" w:type="dxa"/>
            <w:left w:w="0" w:type="dxa"/>
            <w:bottom w:w="0" w:type="dxa"/>
            <w:right w:w="0" w:type="dxa"/>
          </w:tblCellMar>
        </w:tblPrEx>
        <w:trPr>
          <w:trHeight w:val="404" w:hRule="atLeast"/>
        </w:trPr>
        <w:tc>
          <w:tcPr>
            <w:tcW w:w="29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8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03"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498"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66"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37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公开03表</w:t>
            </w:r>
          </w:p>
        </w:tc>
      </w:tr>
      <w:tr>
        <w:tblPrEx>
          <w:tblCellMar>
            <w:top w:w="0" w:type="dxa"/>
            <w:left w:w="0" w:type="dxa"/>
            <w:bottom w:w="0" w:type="dxa"/>
            <w:right w:w="0" w:type="dxa"/>
          </w:tblCellMar>
        </w:tblPrEx>
        <w:trPr>
          <w:trHeight w:val="380" w:hRule="atLeast"/>
        </w:trPr>
        <w:tc>
          <w:tcPr>
            <w:tcW w:w="3146"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498" w:type="dxa"/>
            <w:gridSpan w:val="4"/>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837" w:hRule="atLeast"/>
        </w:trPr>
        <w:tc>
          <w:tcPr>
            <w:tcW w:w="2880"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1065"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本年支出合计</w:t>
            </w:r>
          </w:p>
        </w:tc>
        <w:tc>
          <w:tcPr>
            <w:tcW w:w="930"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110"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870"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上缴上级支出</w:t>
            </w:r>
          </w:p>
        </w:tc>
        <w:tc>
          <w:tcPr>
            <w:tcW w:w="855"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经营支出</w:t>
            </w:r>
          </w:p>
        </w:tc>
        <w:tc>
          <w:tcPr>
            <w:tcW w:w="1290" w:type="dxa"/>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对附属单位补助支出</w:t>
            </w:r>
          </w:p>
        </w:tc>
      </w:tr>
      <w:tr>
        <w:tblPrEx>
          <w:tblCellMar>
            <w:top w:w="0" w:type="dxa"/>
            <w:left w:w="0" w:type="dxa"/>
            <w:bottom w:w="0" w:type="dxa"/>
            <w:right w:w="0" w:type="dxa"/>
          </w:tblCellMar>
        </w:tblPrEx>
        <w:trPr>
          <w:trHeight w:val="782"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14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065"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30"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110"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870"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855"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290" w:type="dxa"/>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95" w:hRule="atLeast"/>
        </w:trPr>
        <w:tc>
          <w:tcPr>
            <w:tcW w:w="288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06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93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1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c>
          <w:tcPr>
            <w:tcW w:w="87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4</w:t>
            </w:r>
          </w:p>
        </w:tc>
        <w:tc>
          <w:tcPr>
            <w:tcW w:w="85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159" w:hRule="atLeast"/>
        </w:trPr>
        <w:tc>
          <w:tcPr>
            <w:tcW w:w="288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06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29783.74</w:t>
            </w:r>
          </w:p>
        </w:tc>
        <w:tc>
          <w:tcPr>
            <w:tcW w:w="93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1227.26</w:t>
            </w:r>
          </w:p>
        </w:tc>
        <w:tc>
          <w:tcPr>
            <w:tcW w:w="11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28556.48</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12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r>
      <w:tr>
        <w:tblPrEx>
          <w:tblCellMar>
            <w:top w:w="0" w:type="dxa"/>
            <w:left w:w="0" w:type="dxa"/>
            <w:bottom w:w="0" w:type="dxa"/>
            <w:right w:w="0" w:type="dxa"/>
          </w:tblCellMar>
        </w:tblPrEx>
        <w:trPr>
          <w:trHeight w:val="159"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2060404</w:t>
            </w:r>
          </w:p>
        </w:tc>
        <w:tc>
          <w:tcPr>
            <w:tcW w:w="14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3"/>
                <w:szCs w:val="13"/>
              </w:rPr>
              <w:t>科技成果转化与扩散</w:t>
            </w:r>
          </w:p>
        </w:tc>
        <w:tc>
          <w:tcPr>
            <w:tcW w:w="106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560</w:t>
            </w:r>
          </w:p>
        </w:tc>
        <w:tc>
          <w:tcPr>
            <w:tcW w:w="93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560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2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159"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2080801</w:t>
            </w:r>
          </w:p>
        </w:tc>
        <w:tc>
          <w:tcPr>
            <w:tcW w:w="14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死亡抚恤</w:t>
            </w:r>
          </w:p>
        </w:tc>
        <w:tc>
          <w:tcPr>
            <w:tcW w:w="106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0.64</w:t>
            </w:r>
          </w:p>
        </w:tc>
        <w:tc>
          <w:tcPr>
            <w:tcW w:w="93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0.64</w:t>
            </w:r>
          </w:p>
        </w:tc>
        <w:tc>
          <w:tcPr>
            <w:tcW w:w="11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2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159"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2080805</w:t>
            </w:r>
          </w:p>
        </w:tc>
        <w:tc>
          <w:tcPr>
            <w:tcW w:w="14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8"/>
                <w:szCs w:val="8"/>
              </w:rPr>
              <w:t>机关事业单位基本养老保险缴费支出</w:t>
            </w:r>
          </w:p>
        </w:tc>
        <w:tc>
          <w:tcPr>
            <w:tcW w:w="106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44.17</w:t>
            </w:r>
          </w:p>
        </w:tc>
        <w:tc>
          <w:tcPr>
            <w:tcW w:w="93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44.17</w:t>
            </w:r>
          </w:p>
        </w:tc>
        <w:tc>
          <w:tcPr>
            <w:tcW w:w="11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2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159"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2100717</w:t>
            </w:r>
          </w:p>
        </w:tc>
        <w:tc>
          <w:tcPr>
            <w:tcW w:w="14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计划生育服务</w:t>
            </w:r>
          </w:p>
        </w:tc>
        <w:tc>
          <w:tcPr>
            <w:tcW w:w="106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0.6</w:t>
            </w:r>
          </w:p>
        </w:tc>
        <w:tc>
          <w:tcPr>
            <w:tcW w:w="93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0.6</w:t>
            </w:r>
          </w:p>
        </w:tc>
        <w:tc>
          <w:tcPr>
            <w:tcW w:w="11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2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159"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2101102</w:t>
            </w:r>
          </w:p>
        </w:tc>
        <w:tc>
          <w:tcPr>
            <w:tcW w:w="14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事业单位医疗</w:t>
            </w:r>
          </w:p>
        </w:tc>
        <w:tc>
          <w:tcPr>
            <w:tcW w:w="106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118.23</w:t>
            </w:r>
          </w:p>
        </w:tc>
        <w:tc>
          <w:tcPr>
            <w:tcW w:w="93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118.23</w:t>
            </w:r>
          </w:p>
        </w:tc>
        <w:tc>
          <w:tcPr>
            <w:tcW w:w="11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2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159"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2110301</w:t>
            </w:r>
          </w:p>
        </w:tc>
        <w:tc>
          <w:tcPr>
            <w:tcW w:w="14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大气</w:t>
            </w:r>
          </w:p>
        </w:tc>
        <w:tc>
          <w:tcPr>
            <w:tcW w:w="106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23010.05</w:t>
            </w:r>
          </w:p>
        </w:tc>
        <w:tc>
          <w:tcPr>
            <w:tcW w:w="93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23010.05</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2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159"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2110399</w:t>
            </w:r>
          </w:p>
        </w:tc>
        <w:tc>
          <w:tcPr>
            <w:tcW w:w="14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3"/>
                <w:szCs w:val="13"/>
              </w:rPr>
              <w:t>其他污染防治支出</w:t>
            </w:r>
          </w:p>
        </w:tc>
        <w:tc>
          <w:tcPr>
            <w:tcW w:w="106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51</w:t>
            </w:r>
          </w:p>
        </w:tc>
        <w:tc>
          <w:tcPr>
            <w:tcW w:w="93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51</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2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159"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2111199</w:t>
            </w:r>
          </w:p>
        </w:tc>
        <w:tc>
          <w:tcPr>
            <w:tcW w:w="14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3"/>
                <w:szCs w:val="13"/>
              </w:rPr>
            </w:pPr>
            <w:r>
              <w:rPr>
                <w:rFonts w:hint="eastAsia" w:ascii="宋体" w:hAnsi="宋体" w:cs="宋体"/>
                <w:color w:val="000000"/>
                <w:sz w:val="13"/>
                <w:szCs w:val="13"/>
              </w:rPr>
              <w:t>其他污染减排支出</w:t>
            </w:r>
          </w:p>
        </w:tc>
        <w:tc>
          <w:tcPr>
            <w:tcW w:w="106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100</w:t>
            </w:r>
          </w:p>
        </w:tc>
        <w:tc>
          <w:tcPr>
            <w:tcW w:w="93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2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159"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2120801</w:t>
            </w:r>
          </w:p>
        </w:tc>
        <w:tc>
          <w:tcPr>
            <w:tcW w:w="14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3"/>
                <w:szCs w:val="13"/>
              </w:rPr>
              <w:t>征地和拆迁补偿支出</w:t>
            </w:r>
          </w:p>
        </w:tc>
        <w:tc>
          <w:tcPr>
            <w:tcW w:w="106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22.68</w:t>
            </w:r>
          </w:p>
        </w:tc>
        <w:tc>
          <w:tcPr>
            <w:tcW w:w="93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22.68</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2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159"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2120809</w:t>
            </w:r>
          </w:p>
        </w:tc>
        <w:tc>
          <w:tcPr>
            <w:tcW w:w="14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0"/>
                <w:szCs w:val="10"/>
              </w:rPr>
              <w:t>支付破产或改制企业职工安置费</w:t>
            </w:r>
          </w:p>
        </w:tc>
        <w:tc>
          <w:tcPr>
            <w:tcW w:w="106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73.81</w:t>
            </w:r>
          </w:p>
        </w:tc>
        <w:tc>
          <w:tcPr>
            <w:tcW w:w="93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73.81</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2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159"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2130101</w:t>
            </w:r>
          </w:p>
        </w:tc>
        <w:tc>
          <w:tcPr>
            <w:tcW w:w="14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行政运行</w:t>
            </w:r>
          </w:p>
        </w:tc>
        <w:tc>
          <w:tcPr>
            <w:tcW w:w="106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878.64</w:t>
            </w:r>
          </w:p>
        </w:tc>
        <w:tc>
          <w:tcPr>
            <w:tcW w:w="93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878.64</w:t>
            </w:r>
          </w:p>
        </w:tc>
        <w:tc>
          <w:tcPr>
            <w:tcW w:w="11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2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159"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2130104</w:t>
            </w:r>
          </w:p>
        </w:tc>
        <w:tc>
          <w:tcPr>
            <w:tcW w:w="14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事业运行</w:t>
            </w:r>
          </w:p>
        </w:tc>
        <w:tc>
          <w:tcPr>
            <w:tcW w:w="106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71.17</w:t>
            </w:r>
          </w:p>
        </w:tc>
        <w:tc>
          <w:tcPr>
            <w:tcW w:w="93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71.17</w:t>
            </w:r>
          </w:p>
        </w:tc>
        <w:tc>
          <w:tcPr>
            <w:tcW w:w="11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2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159"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2130105</w:t>
            </w:r>
          </w:p>
        </w:tc>
        <w:tc>
          <w:tcPr>
            <w:tcW w:w="14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农垦运行</w:t>
            </w:r>
          </w:p>
        </w:tc>
        <w:tc>
          <w:tcPr>
            <w:tcW w:w="106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105</w:t>
            </w:r>
          </w:p>
        </w:tc>
        <w:tc>
          <w:tcPr>
            <w:tcW w:w="93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105</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2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159"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2130106</w:t>
            </w:r>
          </w:p>
        </w:tc>
        <w:tc>
          <w:tcPr>
            <w:tcW w:w="14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6"/>
                <w:szCs w:val="16"/>
              </w:rPr>
              <w:t>科技转化与推广服务</w:t>
            </w:r>
          </w:p>
        </w:tc>
        <w:tc>
          <w:tcPr>
            <w:tcW w:w="106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696.85</w:t>
            </w:r>
          </w:p>
        </w:tc>
        <w:tc>
          <w:tcPr>
            <w:tcW w:w="93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696.85</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2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159"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2130108</w:t>
            </w:r>
          </w:p>
        </w:tc>
        <w:tc>
          <w:tcPr>
            <w:tcW w:w="14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病虫害控制</w:t>
            </w:r>
          </w:p>
        </w:tc>
        <w:tc>
          <w:tcPr>
            <w:tcW w:w="106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371.36</w:t>
            </w:r>
          </w:p>
        </w:tc>
        <w:tc>
          <w:tcPr>
            <w:tcW w:w="93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371.36</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2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159"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2130109</w:t>
            </w:r>
          </w:p>
        </w:tc>
        <w:tc>
          <w:tcPr>
            <w:tcW w:w="14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8"/>
                <w:szCs w:val="18"/>
              </w:rPr>
              <w:t>农产品质量安全</w:t>
            </w:r>
          </w:p>
        </w:tc>
        <w:tc>
          <w:tcPr>
            <w:tcW w:w="106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192.06</w:t>
            </w:r>
          </w:p>
        </w:tc>
        <w:tc>
          <w:tcPr>
            <w:tcW w:w="93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192.06</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2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159"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2130110</w:t>
            </w:r>
          </w:p>
        </w:tc>
        <w:tc>
          <w:tcPr>
            <w:tcW w:w="14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执法监管</w:t>
            </w:r>
          </w:p>
        </w:tc>
        <w:tc>
          <w:tcPr>
            <w:tcW w:w="106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8.4</w:t>
            </w:r>
          </w:p>
        </w:tc>
        <w:tc>
          <w:tcPr>
            <w:tcW w:w="93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8.4</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2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159"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2130111</w:t>
            </w:r>
          </w:p>
        </w:tc>
        <w:tc>
          <w:tcPr>
            <w:tcW w:w="14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6"/>
                <w:szCs w:val="16"/>
              </w:rPr>
              <w:t>统计监测与信息服务</w:t>
            </w:r>
          </w:p>
        </w:tc>
        <w:tc>
          <w:tcPr>
            <w:tcW w:w="106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27.18</w:t>
            </w:r>
          </w:p>
        </w:tc>
        <w:tc>
          <w:tcPr>
            <w:tcW w:w="93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27.18</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2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159"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2130112</w:t>
            </w:r>
          </w:p>
        </w:tc>
        <w:tc>
          <w:tcPr>
            <w:tcW w:w="14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8"/>
                <w:szCs w:val="18"/>
              </w:rPr>
              <w:t>农业行业业务管理</w:t>
            </w:r>
          </w:p>
        </w:tc>
        <w:tc>
          <w:tcPr>
            <w:tcW w:w="106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9.55</w:t>
            </w:r>
          </w:p>
        </w:tc>
        <w:tc>
          <w:tcPr>
            <w:tcW w:w="93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9.55</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2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159"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2130122</w:t>
            </w:r>
          </w:p>
        </w:tc>
        <w:tc>
          <w:tcPr>
            <w:tcW w:w="14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8"/>
                <w:szCs w:val="18"/>
              </w:rPr>
              <w:t>农业生产支持补贴</w:t>
            </w:r>
          </w:p>
        </w:tc>
        <w:tc>
          <w:tcPr>
            <w:tcW w:w="106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1225.33</w:t>
            </w:r>
          </w:p>
        </w:tc>
        <w:tc>
          <w:tcPr>
            <w:tcW w:w="93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1225.33</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2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159"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2130135</w:t>
            </w:r>
          </w:p>
        </w:tc>
        <w:tc>
          <w:tcPr>
            <w:tcW w:w="14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3"/>
                <w:szCs w:val="13"/>
              </w:rPr>
              <w:t>农业资源保护修复与利用</w:t>
            </w:r>
          </w:p>
        </w:tc>
        <w:tc>
          <w:tcPr>
            <w:tcW w:w="106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5.6</w:t>
            </w:r>
          </w:p>
        </w:tc>
        <w:tc>
          <w:tcPr>
            <w:tcW w:w="93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5.6</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2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159"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2130199</w:t>
            </w:r>
          </w:p>
        </w:tc>
        <w:tc>
          <w:tcPr>
            <w:tcW w:w="14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其他农业支出</w:t>
            </w:r>
          </w:p>
        </w:tc>
        <w:tc>
          <w:tcPr>
            <w:tcW w:w="106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180.23</w:t>
            </w:r>
          </w:p>
        </w:tc>
        <w:tc>
          <w:tcPr>
            <w:tcW w:w="93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180.23</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2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159"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2130803</w:t>
            </w:r>
          </w:p>
        </w:tc>
        <w:tc>
          <w:tcPr>
            <w:tcW w:w="14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8"/>
                <w:szCs w:val="18"/>
              </w:rPr>
              <w:t>农业保险保费补贴</w:t>
            </w:r>
          </w:p>
        </w:tc>
        <w:tc>
          <w:tcPr>
            <w:tcW w:w="106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1993.1</w:t>
            </w:r>
          </w:p>
        </w:tc>
        <w:tc>
          <w:tcPr>
            <w:tcW w:w="93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1993.1</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2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159"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2139999</w:t>
            </w:r>
          </w:p>
        </w:tc>
        <w:tc>
          <w:tcPr>
            <w:tcW w:w="14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20"/>
                <w:szCs w:val="20"/>
              </w:rPr>
              <w:t>其他农林水支出</w:t>
            </w:r>
          </w:p>
        </w:tc>
        <w:tc>
          <w:tcPr>
            <w:tcW w:w="106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38.11</w:t>
            </w:r>
          </w:p>
        </w:tc>
        <w:tc>
          <w:tcPr>
            <w:tcW w:w="93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38.11</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2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748" w:hRule="atLeast"/>
        </w:trPr>
        <w:tc>
          <w:tcPr>
            <w:tcW w:w="9000" w:type="dxa"/>
            <w:gridSpan w:val="1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注：本表反映部门本年度各项支出情况。</w:t>
            </w:r>
          </w:p>
        </w:tc>
      </w:tr>
    </w:tbl>
    <w:p>
      <w:pPr>
        <w:widowControl/>
        <w:spacing w:after="0" w:line="560" w:lineRule="exact"/>
        <w:ind w:firstLine="562" w:firstLineChars="200"/>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940" w:type="dxa"/>
        <w:tblInd w:w="0" w:type="dxa"/>
        <w:tblLayout w:type="fixed"/>
        <w:tblCellMar>
          <w:top w:w="0" w:type="dxa"/>
          <w:left w:w="0" w:type="dxa"/>
          <w:bottom w:w="0" w:type="dxa"/>
          <w:right w:w="0" w:type="dxa"/>
        </w:tblCellMar>
      </w:tblPr>
      <w:tblGrid>
        <w:gridCol w:w="1717"/>
        <w:gridCol w:w="745"/>
        <w:gridCol w:w="325"/>
        <w:gridCol w:w="850"/>
        <w:gridCol w:w="2124"/>
        <w:gridCol w:w="191"/>
        <w:gridCol w:w="360"/>
        <w:gridCol w:w="650"/>
        <w:gridCol w:w="226"/>
        <w:gridCol w:w="599"/>
        <w:gridCol w:w="277"/>
        <w:gridCol w:w="876"/>
      </w:tblGrid>
      <w:tr>
        <w:tblPrEx>
          <w:tblCellMar>
            <w:top w:w="0" w:type="dxa"/>
            <w:left w:w="0" w:type="dxa"/>
            <w:bottom w:w="0" w:type="dxa"/>
            <w:right w:w="0" w:type="dxa"/>
          </w:tblCellMar>
        </w:tblPrEx>
        <w:trPr>
          <w:trHeight w:val="152" w:hRule="atLeast"/>
        </w:trPr>
        <w:tc>
          <w:tcPr>
            <w:tcW w:w="8940" w:type="dxa"/>
            <w:gridSpan w:val="1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财政拨款收入支出决算总表</w:t>
            </w:r>
          </w:p>
        </w:tc>
      </w:tr>
      <w:tr>
        <w:tblPrEx>
          <w:tblCellMar>
            <w:top w:w="0" w:type="dxa"/>
            <w:left w:w="0" w:type="dxa"/>
            <w:bottom w:w="0" w:type="dxa"/>
            <w:right w:w="0" w:type="dxa"/>
          </w:tblCellMar>
        </w:tblPrEx>
        <w:trPr>
          <w:trHeight w:val="90" w:hRule="atLeast"/>
        </w:trPr>
        <w:tc>
          <w:tcPr>
            <w:tcW w:w="171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74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32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2974"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551"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65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82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153"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公开04表</w:t>
            </w:r>
          </w:p>
        </w:tc>
      </w:tr>
      <w:tr>
        <w:tblPrEx>
          <w:tblCellMar>
            <w:top w:w="0" w:type="dxa"/>
            <w:left w:w="0" w:type="dxa"/>
            <w:bottom w:w="0" w:type="dxa"/>
            <w:right w:w="0" w:type="dxa"/>
          </w:tblCellMar>
        </w:tblPrEx>
        <w:trPr>
          <w:trHeight w:val="152" w:hRule="atLeast"/>
        </w:trPr>
        <w:tc>
          <w:tcPr>
            <w:tcW w:w="6312" w:type="dxa"/>
            <w:gridSpan w:val="7"/>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20"/>
                <w:szCs w:val="20"/>
              </w:rPr>
            </w:pPr>
            <w:r>
              <w:rPr>
                <w:rFonts w:hint="eastAsia" w:ascii="宋体" w:hAnsi="宋体" w:cs="宋体"/>
                <w:color w:val="000000"/>
                <w:kern w:val="0"/>
                <w:sz w:val="20"/>
                <w:szCs w:val="20"/>
              </w:rPr>
              <w:t>部门：</w:t>
            </w:r>
          </w:p>
        </w:tc>
        <w:tc>
          <w:tcPr>
            <w:tcW w:w="65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978" w:type="dxa"/>
            <w:gridSpan w:val="4"/>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90" w:hRule="atLeast"/>
        </w:trPr>
        <w:tc>
          <w:tcPr>
            <w:tcW w:w="278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收     入</w:t>
            </w:r>
          </w:p>
        </w:tc>
        <w:tc>
          <w:tcPr>
            <w:tcW w:w="6153" w:type="dxa"/>
            <w:gridSpan w:val="9"/>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支     出</w:t>
            </w:r>
          </w:p>
        </w:tc>
      </w:tr>
      <w:tr>
        <w:tblPrEx>
          <w:tblCellMar>
            <w:top w:w="0" w:type="dxa"/>
            <w:left w:w="0" w:type="dxa"/>
            <w:bottom w:w="0" w:type="dxa"/>
            <w:right w:w="0" w:type="dxa"/>
          </w:tblCellMar>
        </w:tblPrEx>
        <w:trPr>
          <w:trHeight w:val="17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金额</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一般公共预算财政拨款</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政府性基金预算财政拨款</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42036.26</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一、一般公共服务支出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二、政府性基金预算财政拨款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96.49</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二、外交支出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三、国防支出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四、公共安全支出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五、教育支出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六、科学技术支出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20"/>
                <w:szCs w:val="20"/>
              </w:rPr>
              <w:t>560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20"/>
                <w:szCs w:val="20"/>
              </w:rPr>
              <w:t>560</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七、文化体育与传媒支出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8</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八、社会保障和就业支出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20"/>
                <w:szCs w:val="20"/>
              </w:rPr>
              <w:t>44.80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20"/>
                <w:szCs w:val="20"/>
              </w:rPr>
              <w:t>44.80</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9</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6"/>
                <w:szCs w:val="16"/>
              </w:rPr>
              <w:t>九、医疗卫生与计划生育支出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37</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20"/>
                <w:szCs w:val="20"/>
              </w:rPr>
              <w:t>118.83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20"/>
                <w:szCs w:val="20"/>
              </w:rPr>
              <w:t>118.83</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10</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十、节能环保支出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38</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20"/>
                <w:szCs w:val="20"/>
              </w:rPr>
              <w:t>23161.05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20"/>
                <w:szCs w:val="20"/>
              </w:rPr>
              <w:t>23161.05</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11</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十一、城乡社区支出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20"/>
                <w:szCs w:val="20"/>
              </w:rPr>
              <w:t>96.49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96.49</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12</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十二、农林水支出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20"/>
                <w:szCs w:val="20"/>
              </w:rPr>
              <w:t>5802.56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20"/>
                <w:szCs w:val="20"/>
              </w:rPr>
              <w:t>5802.56</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13</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十三、交通运输支出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14</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十四、资源勘探信息等支出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15</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十五、商业服务业等支出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16</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十六、金融支出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17</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十七、援助其他地区支出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18</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十八、国土海洋气象等支出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19</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十九、住房保障支出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47</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20</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二十、粮油物资储备支出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48</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21</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二十一、其他支出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22</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二十二、债务还本支出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23</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二十三、债务付息支出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本年收入合计</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24</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42132.75</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本年支出合计</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29783.73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29687.24</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96.49</w:t>
            </w: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年初财政拨款结转和结余</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25</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1225.20</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年末财政拨款结转和结余</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13574.22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13574.22</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一般公共预算财政拨款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26</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1225.20</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政府性基金预算财政拨款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27</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28</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43357.95</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43357.95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43261.46</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96.49</w:t>
            </w:r>
          </w:p>
        </w:tc>
      </w:tr>
      <w:tr>
        <w:tblPrEx>
          <w:tblCellMar>
            <w:top w:w="0" w:type="dxa"/>
            <w:left w:w="0" w:type="dxa"/>
            <w:bottom w:w="0" w:type="dxa"/>
            <w:right w:w="0" w:type="dxa"/>
          </w:tblCellMar>
        </w:tblPrEx>
        <w:trPr>
          <w:trHeight w:val="155" w:hRule="atLeast"/>
        </w:trPr>
        <w:tc>
          <w:tcPr>
            <w:tcW w:w="8940" w:type="dxa"/>
            <w:gridSpan w:val="1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注：本表反映部门本年度一般公共预算财政拨款和政府性基金预算财政拨款的总收支和年末结转结余情况。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60" w:type="dxa"/>
        <w:tblInd w:w="0" w:type="dxa"/>
        <w:tblLayout w:type="fixed"/>
        <w:tblCellMar>
          <w:top w:w="0" w:type="dxa"/>
          <w:left w:w="0" w:type="dxa"/>
          <w:bottom w:w="0" w:type="dxa"/>
          <w:right w:w="0" w:type="dxa"/>
        </w:tblCellMar>
      </w:tblPr>
      <w:tblGrid>
        <w:gridCol w:w="317"/>
        <w:gridCol w:w="319"/>
        <w:gridCol w:w="357"/>
        <w:gridCol w:w="2109"/>
        <w:gridCol w:w="745"/>
        <w:gridCol w:w="1174"/>
        <w:gridCol w:w="718"/>
        <w:gridCol w:w="1201"/>
        <w:gridCol w:w="1920"/>
      </w:tblGrid>
      <w:tr>
        <w:tblPrEx>
          <w:tblCellMar>
            <w:top w:w="0" w:type="dxa"/>
            <w:left w:w="0" w:type="dxa"/>
            <w:bottom w:w="0" w:type="dxa"/>
            <w:right w:w="0" w:type="dxa"/>
          </w:tblCellMar>
        </w:tblPrEx>
        <w:trPr>
          <w:trHeight w:val="600" w:hRule="atLeast"/>
        </w:trPr>
        <w:tc>
          <w:tcPr>
            <w:tcW w:w="8860" w:type="dxa"/>
            <w:gridSpan w:val="9"/>
            <w:tcBorders>
              <w:top w:val="nil"/>
              <w:left w:val="nil"/>
              <w:bottom w:val="nil"/>
              <w:right w:val="nil"/>
            </w:tcBorders>
            <w:shd w:val="clear" w:color="auto" w:fill="auto"/>
            <w:noWrap/>
            <w:tcMar>
              <w:top w:w="15" w:type="dxa"/>
              <w:left w:w="15" w:type="dxa"/>
              <w:right w:w="15" w:type="dxa"/>
            </w:tcMar>
            <w:vAlign w:val="bottom"/>
          </w:tcPr>
          <w:p>
            <w:pPr>
              <w:widowControl/>
              <w:spacing w:after="0" w:line="240" w:lineRule="auto"/>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一般公共预算财政拨款支出决算表</w:t>
            </w:r>
          </w:p>
        </w:tc>
      </w:tr>
      <w:tr>
        <w:tblPrEx>
          <w:tblCellMar>
            <w:top w:w="0" w:type="dxa"/>
            <w:left w:w="0" w:type="dxa"/>
            <w:bottom w:w="0" w:type="dxa"/>
            <w:right w:w="0" w:type="dxa"/>
          </w:tblCellMar>
        </w:tblPrEx>
        <w:trPr>
          <w:trHeight w:val="334" w:hRule="atLeast"/>
        </w:trPr>
        <w:tc>
          <w:tcPr>
            <w:tcW w:w="31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1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5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10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74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892"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公开05表</w:t>
            </w:r>
          </w:p>
        </w:tc>
      </w:tr>
      <w:tr>
        <w:tblPrEx>
          <w:tblCellMar>
            <w:top w:w="0" w:type="dxa"/>
            <w:left w:w="0" w:type="dxa"/>
            <w:bottom w:w="0" w:type="dxa"/>
            <w:right w:w="0" w:type="dxa"/>
          </w:tblCellMar>
        </w:tblPrEx>
        <w:trPr>
          <w:trHeight w:val="334" w:hRule="atLeast"/>
        </w:trPr>
        <w:tc>
          <w:tcPr>
            <w:tcW w:w="3847"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p>
        </w:tc>
        <w:tc>
          <w:tcPr>
            <w:tcW w:w="1892"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51" w:hRule="atLeast"/>
        </w:trPr>
        <w:tc>
          <w:tcPr>
            <w:tcW w:w="3102"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5758"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w:t>
            </w:r>
          </w:p>
        </w:tc>
      </w:tr>
      <w:tr>
        <w:tblPrEx>
          <w:tblCellMar>
            <w:top w:w="0" w:type="dxa"/>
            <w:left w:w="0" w:type="dxa"/>
            <w:bottom w:w="0" w:type="dxa"/>
            <w:right w:w="0" w:type="dxa"/>
          </w:tblCellMar>
        </w:tblPrEx>
        <w:trPr>
          <w:trHeight w:val="334" w:hRule="atLeast"/>
        </w:trPr>
        <w:tc>
          <w:tcPr>
            <w:tcW w:w="993"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2109"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92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r>
      <w:tr>
        <w:tblPrEx>
          <w:tblCellMar>
            <w:top w:w="0" w:type="dxa"/>
            <w:left w:w="0" w:type="dxa"/>
            <w:bottom w:w="0" w:type="dxa"/>
            <w:right w:w="0" w:type="dxa"/>
          </w:tblCellMar>
        </w:tblPrEx>
        <w:trPr>
          <w:trHeight w:val="334"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r>
      <w:tr>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29687.25</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1153.45</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28533.80</w:t>
            </w:r>
          </w:p>
        </w:tc>
      </w:tr>
      <w:tr>
        <w:tblPrEx>
          <w:tblCellMar>
            <w:top w:w="0" w:type="dxa"/>
            <w:left w:w="0" w:type="dxa"/>
            <w:bottom w:w="0" w:type="dxa"/>
            <w:right w:w="0" w:type="dxa"/>
          </w:tblCellMar>
        </w:tblPrEx>
        <w:trPr>
          <w:trHeight w:val="90"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2060404</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3"/>
                <w:szCs w:val="13"/>
              </w:rPr>
              <w:t>科技成果转化与扩散</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560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560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死亡抚恤</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0.64</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0.64</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2080805</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8"/>
                <w:szCs w:val="8"/>
              </w:rPr>
              <w:t>机关事业单位基本养老保险缴费支出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44.17</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44.17</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2100717</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计划生育服务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0.6</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0.6</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2101102</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事业单位医疗</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118.23</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118.23</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2110301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大气</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23010.05</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23010.05</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2110399</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3"/>
                <w:szCs w:val="13"/>
              </w:rPr>
              <w:t>其他污染防治支出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51</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51</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2111199</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3"/>
                <w:szCs w:val="13"/>
              </w:rPr>
              <w:t>其他污染减排支出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2130101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行政运行</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878.64</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878.64</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2130104</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事业运行</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71.17</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71.17</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2130105</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农垦运行</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105</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105</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2130106</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6"/>
                <w:szCs w:val="16"/>
              </w:rPr>
              <w:t>科技转化与推广服务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696.85</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696.85</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2130108</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病虫害控制</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371.36</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371.36</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2130109</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8"/>
                <w:szCs w:val="18"/>
              </w:rPr>
              <w:t>农产品质量安全</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192.06</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192.06</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2130110</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执法监管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8.4</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8.4</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2130111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6"/>
                <w:szCs w:val="16"/>
              </w:rPr>
              <w:t>统计监测与信息服务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27.18</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27.18</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2130112</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8"/>
                <w:szCs w:val="18"/>
              </w:rPr>
              <w:t>农业行业业务管理</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9.55</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9.55</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2130122</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8"/>
                <w:szCs w:val="18"/>
              </w:rPr>
              <w:t>农业生产支持补贴</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1225.33</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1225.33</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2130135</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3"/>
                <w:szCs w:val="13"/>
              </w:rPr>
              <w:t>农业资源保护修复与利用</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5.6</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5.6</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2130199</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其他农业支出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180.23</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140.23</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2130803</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8"/>
                <w:szCs w:val="18"/>
              </w:rPr>
              <w:t>农业保险保费补贴</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1993.1</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1993.1</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2139999</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20"/>
                <w:szCs w:val="20"/>
              </w:rPr>
              <w:t>其他农林水支出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38.11</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38.11</w:t>
            </w:r>
          </w:p>
        </w:tc>
      </w:tr>
      <w:tr>
        <w:tblPrEx>
          <w:tblCellMar>
            <w:top w:w="0" w:type="dxa"/>
            <w:left w:w="0" w:type="dxa"/>
            <w:bottom w:w="0" w:type="dxa"/>
            <w:right w:w="0" w:type="dxa"/>
          </w:tblCellMar>
        </w:tblPrEx>
        <w:trPr>
          <w:trHeight w:val="368" w:hRule="atLeast"/>
        </w:trPr>
        <w:tc>
          <w:tcPr>
            <w:tcW w:w="8860" w:type="dxa"/>
            <w:gridSpan w:val="9"/>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注：本表反映部门本年度一般公共预算财政拨款收入及支出情况。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180" w:type="dxa"/>
        <w:jc w:val="center"/>
        <w:tblLayout w:type="fixed"/>
        <w:tblCellMar>
          <w:top w:w="0" w:type="dxa"/>
          <w:left w:w="0" w:type="dxa"/>
          <w:bottom w:w="0" w:type="dxa"/>
          <w:right w:w="0" w:type="dxa"/>
        </w:tblCellMar>
      </w:tblPr>
      <w:tblGrid>
        <w:gridCol w:w="558"/>
        <w:gridCol w:w="1597"/>
        <w:gridCol w:w="840"/>
        <w:gridCol w:w="477"/>
        <w:gridCol w:w="1763"/>
        <w:gridCol w:w="740"/>
        <w:gridCol w:w="560"/>
        <w:gridCol w:w="1788"/>
        <w:gridCol w:w="857"/>
      </w:tblGrid>
      <w:tr>
        <w:tblPrEx>
          <w:tblCellMar>
            <w:top w:w="0" w:type="dxa"/>
            <w:left w:w="0" w:type="dxa"/>
            <w:bottom w:w="0" w:type="dxa"/>
            <w:right w:w="0" w:type="dxa"/>
          </w:tblCellMar>
        </w:tblPrEx>
        <w:trPr>
          <w:trHeight w:val="526" w:hRule="atLeast"/>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一般公共预算财政拨款基本支出决算表</w:t>
            </w:r>
          </w:p>
        </w:tc>
      </w:tr>
      <w:tr>
        <w:tblPrEx>
          <w:tblCellMar>
            <w:top w:w="0" w:type="dxa"/>
            <w:left w:w="0" w:type="dxa"/>
            <w:bottom w:w="0" w:type="dxa"/>
            <w:right w:w="0" w:type="dxa"/>
          </w:tblCellMar>
        </w:tblPrEx>
        <w:trPr>
          <w:trHeight w:val="269" w:hRule="atLeast"/>
          <w:jc w:val="center"/>
        </w:trPr>
        <w:tc>
          <w:tcPr>
            <w:tcW w:w="558"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59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84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47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763"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74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公开06表</w:t>
            </w:r>
          </w:p>
        </w:tc>
      </w:tr>
      <w:tr>
        <w:tblPrEx>
          <w:tblCellMar>
            <w:top w:w="0" w:type="dxa"/>
            <w:left w:w="0" w:type="dxa"/>
            <w:bottom w:w="0" w:type="dxa"/>
            <w:right w:w="0" w:type="dxa"/>
          </w:tblCellMar>
        </w:tblPrEx>
        <w:trPr>
          <w:trHeight w:val="269" w:hRule="atLeast"/>
          <w:jc w:val="center"/>
        </w:trPr>
        <w:tc>
          <w:tcPr>
            <w:tcW w:w="5235"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部门：</w:t>
            </w:r>
          </w:p>
        </w:tc>
        <w:tc>
          <w:tcPr>
            <w:tcW w:w="74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277" w:hRule="atLeast"/>
          <w:jc w:val="center"/>
        </w:trPr>
        <w:tc>
          <w:tcPr>
            <w:tcW w:w="299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人员经费</w:t>
            </w:r>
          </w:p>
        </w:tc>
        <w:tc>
          <w:tcPr>
            <w:tcW w:w="6185" w:type="dxa"/>
            <w:gridSpan w:val="6"/>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公用经费</w:t>
            </w:r>
          </w:p>
        </w:tc>
      </w:tr>
      <w:tr>
        <w:tblPrEx>
          <w:tblCellMar>
            <w:top w:w="0" w:type="dxa"/>
            <w:left w:w="0" w:type="dxa"/>
            <w:bottom w:w="0" w:type="dxa"/>
            <w:right w:w="0" w:type="dxa"/>
          </w:tblCellMar>
        </w:tblPrEx>
        <w:trPr>
          <w:trHeight w:val="312" w:hRule="atLeast"/>
          <w:jc w:val="center"/>
        </w:trPr>
        <w:tc>
          <w:tcPr>
            <w:tcW w:w="558"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59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47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6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7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56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8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5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312" w:hRule="atLeast"/>
          <w:jc w:val="center"/>
        </w:trPr>
        <w:tc>
          <w:tcPr>
            <w:tcW w:w="558"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59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47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6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7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56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8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5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工资福利支出</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914.85</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商品和服务支出</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53.03</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债务利息及费用支出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基本工资</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546.03</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办公费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3.35</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国内债务付息</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津贴补贴</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20.02</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印刷费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3.6</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国外债务付息</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奖金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85.88</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咨询费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资本性支出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r>
              <w:rPr>
                <w:rFonts w:hint="eastAsia" w:ascii="宋体" w:hAnsi="宋体" w:cs="宋体"/>
                <w:color w:val="000000"/>
                <w:sz w:val="20"/>
                <w:szCs w:val="20"/>
              </w:rPr>
              <w:t>6.36</w:t>
            </w: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伙食补助费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手续费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房屋建筑物购建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绩效工资</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130.65</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水费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办公设备购置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r>
              <w:rPr>
                <w:rFonts w:hint="eastAsia" w:ascii="宋体" w:hAnsi="宋体" w:cs="宋体"/>
                <w:color w:val="000000"/>
                <w:sz w:val="20"/>
                <w:szCs w:val="20"/>
              </w:rPr>
              <w:t>6.36</w:t>
            </w: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机关事业单位基本养老保险缴费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0.64</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电费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4</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专用设备购置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职业年金缴费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邮电费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1.3</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31005</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基础设施建设</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职工基本医疗保险缴费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118.23</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取暖费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4</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大型修缮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公务员医疗补助缴费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物业管理费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信息网络及软件购置更新</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其他社会保障缴费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差旅费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3.89</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物资储备</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住房公积金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因公出国（境）费用</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土地补偿</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医疗费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维修（护）费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安置补助</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其他工资福利支出</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13.4</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租赁费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10.05</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地上附着物和青苗补偿</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对个人和家庭的补助</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179.20</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会议费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拆迁补偿</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离休费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14.88</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培训费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公务用车购置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退休费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119.55</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公务接待费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0.43</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其他交通工具购置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退职（役）费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专用材料费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1.86</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文物和陈列品购置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抚恤金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44.17</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被装购置费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无形资产购置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30305</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生活补助</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专用燃料费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1.02</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其他资本性支出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救济费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劳务费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医疗费补助</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委托业务费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3.3</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赠与</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助学金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工会经费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国家赔偿费用支出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0"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奖励金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0.6</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福利费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对民间非营利组织和群众性自治组织补贴</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个人农业生产补贴</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公务用车运行维护费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其他对个人和家庭的补助支出</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其他交通费用</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11.16</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30240</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税金及附加费用</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30299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其他商品和服务支出</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0.08</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15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人员经费合计</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1094.05</w:t>
            </w:r>
          </w:p>
        </w:tc>
        <w:tc>
          <w:tcPr>
            <w:tcW w:w="5328"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公用经费合计</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59.39</w:t>
            </w:r>
          </w:p>
        </w:tc>
      </w:tr>
      <w:tr>
        <w:tblPrEx>
          <w:tblCellMar>
            <w:top w:w="0" w:type="dxa"/>
            <w:left w:w="0" w:type="dxa"/>
            <w:bottom w:w="0" w:type="dxa"/>
            <w:right w:w="0" w:type="dxa"/>
          </w:tblCellMar>
        </w:tblPrEx>
        <w:trPr>
          <w:trHeight w:val="277" w:hRule="atLeast"/>
          <w:jc w:val="center"/>
        </w:trPr>
        <w:tc>
          <w:tcPr>
            <w:tcW w:w="9180" w:type="dxa"/>
            <w:gridSpan w:val="9"/>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注：本表反映部门本年度一般公共预算财政拨款基本支出明细情况。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jc w:val="center"/>
        <w:tblLayout w:type="fixed"/>
        <w:tblCellMar>
          <w:top w:w="0" w:type="dxa"/>
          <w:left w:w="0" w:type="dxa"/>
          <w:bottom w:w="0" w:type="dxa"/>
          <w:right w:w="0" w:type="dxa"/>
        </w:tblCellMar>
      </w:tblPr>
      <w:tblGrid>
        <w:gridCol w:w="1158"/>
        <w:gridCol w:w="1527"/>
        <w:gridCol w:w="1528"/>
        <w:gridCol w:w="1530"/>
        <w:gridCol w:w="1530"/>
        <w:gridCol w:w="1527"/>
      </w:tblGrid>
      <w:tr>
        <w:tblPrEx>
          <w:tblCellMar>
            <w:top w:w="0" w:type="dxa"/>
            <w:left w:w="0" w:type="dxa"/>
            <w:bottom w:w="0" w:type="dxa"/>
            <w:right w:w="0" w:type="dxa"/>
          </w:tblCellMar>
        </w:tblPrEx>
        <w:trPr>
          <w:trHeight w:val="584" w:hRule="atLeast"/>
          <w:jc w:val="center"/>
        </w:trPr>
        <w:tc>
          <w:tcPr>
            <w:tcW w:w="8800" w:type="dxa"/>
            <w:gridSpan w:val="6"/>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一般公共预算财政拨款“三公”经费支出决算表</w:t>
            </w:r>
          </w:p>
        </w:tc>
      </w:tr>
      <w:tr>
        <w:tblPrEx>
          <w:tblCellMar>
            <w:top w:w="0" w:type="dxa"/>
            <w:left w:w="0" w:type="dxa"/>
            <w:bottom w:w="0" w:type="dxa"/>
            <w:right w:w="0" w:type="dxa"/>
          </w:tblCellMar>
        </w:tblPrEx>
        <w:trPr>
          <w:trHeight w:val="347" w:hRule="atLeast"/>
          <w:jc w:val="center"/>
        </w:trPr>
        <w:tc>
          <w:tcPr>
            <w:tcW w:w="1158"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8"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公开07表</w:t>
            </w:r>
          </w:p>
        </w:tc>
      </w:tr>
      <w:tr>
        <w:tblPrEx>
          <w:tblCellMar>
            <w:top w:w="0" w:type="dxa"/>
            <w:left w:w="0" w:type="dxa"/>
            <w:bottom w:w="0" w:type="dxa"/>
            <w:right w:w="0" w:type="dxa"/>
          </w:tblCellMar>
        </w:tblPrEx>
        <w:trPr>
          <w:trHeight w:val="347" w:hRule="atLeast"/>
          <w:jc w:val="center"/>
        </w:trPr>
        <w:tc>
          <w:tcPr>
            <w:tcW w:w="7273" w:type="dxa"/>
            <w:gridSpan w:val="5"/>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部门：</w:t>
            </w:r>
          </w:p>
        </w:tc>
        <w:tc>
          <w:tcPr>
            <w:tcW w:w="1527"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482"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预算数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86"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4</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w:t>
            </w:r>
          </w:p>
        </w:tc>
      </w:tr>
      <w:tr>
        <w:tblPrEx>
          <w:tblCellMar>
            <w:top w:w="0" w:type="dxa"/>
            <w:left w:w="0" w:type="dxa"/>
            <w:bottom w:w="0" w:type="dxa"/>
            <w:right w:w="0" w:type="dxa"/>
          </w:tblCellMar>
        </w:tblPrEx>
        <w:trPr>
          <w:trHeight w:val="498"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72"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7</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8</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9</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10</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12</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3.43</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0.43</w:t>
            </w:r>
          </w:p>
        </w:tc>
      </w:tr>
      <w:tr>
        <w:tblPrEx>
          <w:tblCellMar>
            <w:top w:w="0" w:type="dxa"/>
            <w:left w:w="0" w:type="dxa"/>
            <w:bottom w:w="0" w:type="dxa"/>
            <w:right w:w="0" w:type="dxa"/>
          </w:tblCellMar>
        </w:tblPrEx>
        <w:trPr>
          <w:trHeight w:val="782" w:hRule="atLeast"/>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注：本表反映部门本年度“三公”经费支出预决算情况。其中：预算数为“三公”经费年初预算数，决算数是包括当年一般公共预算财政拨款和以前年度结转资金安排的实际支出。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60" w:type="dxa"/>
        <w:tblInd w:w="0" w:type="dxa"/>
        <w:tblLayout w:type="fixed"/>
        <w:tblCellMar>
          <w:top w:w="0" w:type="dxa"/>
          <w:left w:w="0" w:type="dxa"/>
          <w:bottom w:w="0" w:type="dxa"/>
          <w:right w:w="0" w:type="dxa"/>
        </w:tblCellMar>
      </w:tblPr>
      <w:tblGrid>
        <w:gridCol w:w="296"/>
        <w:gridCol w:w="191"/>
        <w:gridCol w:w="479"/>
        <w:gridCol w:w="669"/>
        <w:gridCol w:w="376"/>
        <w:gridCol w:w="1166"/>
        <w:gridCol w:w="840"/>
        <w:gridCol w:w="1191"/>
        <w:gridCol w:w="1192"/>
        <w:gridCol w:w="1192"/>
        <w:gridCol w:w="1268"/>
      </w:tblGrid>
      <w:tr>
        <w:tblPrEx>
          <w:tblCellMar>
            <w:top w:w="0" w:type="dxa"/>
            <w:left w:w="0" w:type="dxa"/>
            <w:bottom w:w="0" w:type="dxa"/>
            <w:right w:w="0" w:type="dxa"/>
          </w:tblCellMar>
        </w:tblPrEx>
        <w:trPr>
          <w:trHeight w:val="707" w:hRule="atLeast"/>
        </w:trPr>
        <w:tc>
          <w:tcPr>
            <w:tcW w:w="8860" w:type="dxa"/>
            <w:gridSpan w:val="11"/>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黑体" w:hAnsi="宋体" w:eastAsia="黑体" w:cs="黑体"/>
                <w:color w:val="000000"/>
                <w:sz w:val="36"/>
                <w:szCs w:val="36"/>
              </w:rPr>
            </w:pPr>
            <w:r>
              <w:rPr>
                <w:rFonts w:hint="eastAsia" w:ascii="黑体" w:hAnsi="宋体" w:eastAsia="黑体" w:cs="黑体"/>
                <w:color w:val="000000"/>
                <w:kern w:val="0"/>
                <w:sz w:val="36"/>
                <w:szCs w:val="36"/>
              </w:rPr>
              <w:t>政府性基金预算财政拨款收入支出决算表</w:t>
            </w:r>
          </w:p>
        </w:tc>
      </w:tr>
      <w:tr>
        <w:tblPrEx>
          <w:tblCellMar>
            <w:top w:w="0" w:type="dxa"/>
            <w:left w:w="0" w:type="dxa"/>
            <w:bottom w:w="0" w:type="dxa"/>
            <w:right w:w="0" w:type="dxa"/>
          </w:tblCellMar>
        </w:tblPrEx>
        <w:trPr>
          <w:trHeight w:val="315" w:hRule="atLeast"/>
        </w:trPr>
        <w:tc>
          <w:tcPr>
            <w:tcW w:w="296"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9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479"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669"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542"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84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268"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公开08表</w:t>
            </w:r>
          </w:p>
        </w:tc>
      </w:tr>
      <w:tr>
        <w:tblPrEx>
          <w:tblCellMar>
            <w:top w:w="0" w:type="dxa"/>
            <w:left w:w="0" w:type="dxa"/>
            <w:bottom w:w="0" w:type="dxa"/>
            <w:right w:w="0" w:type="dxa"/>
          </w:tblCellMar>
        </w:tblPrEx>
        <w:trPr>
          <w:trHeight w:val="411" w:hRule="atLeast"/>
        </w:trPr>
        <w:tc>
          <w:tcPr>
            <w:tcW w:w="3177" w:type="dxa"/>
            <w:gridSpan w:val="6"/>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部门：</w:t>
            </w:r>
          </w:p>
        </w:tc>
        <w:tc>
          <w:tcPr>
            <w:tcW w:w="84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2460"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4" w:hRule="atLeast"/>
        </w:trPr>
        <w:tc>
          <w:tcPr>
            <w:tcW w:w="2011"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116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年初结转和结余</w:t>
            </w:r>
          </w:p>
        </w:tc>
        <w:tc>
          <w:tcPr>
            <w:tcW w:w="84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本年收入</w:t>
            </w:r>
          </w:p>
        </w:tc>
        <w:tc>
          <w:tcPr>
            <w:tcW w:w="3575"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本年支出</w:t>
            </w:r>
          </w:p>
        </w:tc>
        <w:tc>
          <w:tcPr>
            <w:tcW w:w="126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年末结转和结余</w:t>
            </w:r>
          </w:p>
        </w:tc>
      </w:tr>
      <w:tr>
        <w:tblPrEx>
          <w:tblCellMar>
            <w:top w:w="0" w:type="dxa"/>
            <w:left w:w="0" w:type="dxa"/>
            <w:bottom w:w="0" w:type="dxa"/>
            <w:right w:w="0" w:type="dxa"/>
          </w:tblCellMar>
        </w:tblPrEx>
        <w:trPr>
          <w:trHeight w:val="324" w:hRule="atLeast"/>
        </w:trPr>
        <w:tc>
          <w:tcPr>
            <w:tcW w:w="96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1045" w:type="dxa"/>
            <w:gridSpan w:val="2"/>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2120801</w:t>
            </w: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3"/>
                <w:szCs w:val="13"/>
              </w:rPr>
              <w:t>征地和拆迁补偿支出</w:t>
            </w: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22.68</w:t>
            </w: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22.68</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22.68</w:t>
            </w: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2120809</w:t>
            </w: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0"/>
                <w:szCs w:val="10"/>
              </w:rPr>
              <w:t>支付破产或改制企业职工安置费</w:t>
            </w: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73.81</w:t>
            </w: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73.81</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73.81</w:t>
            </w: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8860" w:type="dxa"/>
            <w:gridSpan w:val="11"/>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注：本表反映部门本年度政府性基金预算财政拨款收入、支出及结转和结余情况。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tblInd w:w="0" w:type="dxa"/>
        <w:tblLayout w:type="fixed"/>
        <w:tblCellMar>
          <w:top w:w="0" w:type="dxa"/>
          <w:left w:w="0" w:type="dxa"/>
          <w:bottom w:w="0" w:type="dxa"/>
          <w:right w:w="0" w:type="dxa"/>
        </w:tblCellMar>
      </w:tblPr>
      <w:tblGrid>
        <w:gridCol w:w="442"/>
        <w:gridCol w:w="208"/>
        <w:gridCol w:w="504"/>
        <w:gridCol w:w="274"/>
        <w:gridCol w:w="894"/>
        <w:gridCol w:w="783"/>
        <w:gridCol w:w="252"/>
        <w:gridCol w:w="1646"/>
        <w:gridCol w:w="359"/>
        <w:gridCol w:w="1539"/>
        <w:gridCol w:w="1899"/>
      </w:tblGrid>
      <w:tr>
        <w:tblPrEx>
          <w:tblCellMar>
            <w:top w:w="0" w:type="dxa"/>
            <w:left w:w="0" w:type="dxa"/>
            <w:bottom w:w="0" w:type="dxa"/>
            <w:right w:w="0" w:type="dxa"/>
          </w:tblCellMar>
        </w:tblPrEx>
        <w:trPr>
          <w:trHeight w:val="656" w:hRule="atLeast"/>
        </w:trPr>
        <w:tc>
          <w:tcPr>
            <w:tcW w:w="8800" w:type="dxa"/>
            <w:gridSpan w:val="11"/>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国有资本经营预算财政拨款支出决算表</w:t>
            </w:r>
          </w:p>
        </w:tc>
      </w:tr>
      <w:tr>
        <w:tblPrEx>
          <w:tblCellMar>
            <w:top w:w="0" w:type="dxa"/>
            <w:left w:w="0" w:type="dxa"/>
            <w:bottom w:w="0" w:type="dxa"/>
            <w:right w:w="0" w:type="dxa"/>
          </w:tblCellMar>
        </w:tblPrEx>
        <w:trPr>
          <w:trHeight w:val="335" w:hRule="atLeast"/>
        </w:trPr>
        <w:tc>
          <w:tcPr>
            <w:tcW w:w="442"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8"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04"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16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03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0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公开09表</w:t>
            </w:r>
          </w:p>
        </w:tc>
      </w:tr>
      <w:tr>
        <w:tblPrEx>
          <w:tblCellMar>
            <w:top w:w="0" w:type="dxa"/>
            <w:left w:w="0" w:type="dxa"/>
            <w:bottom w:w="0" w:type="dxa"/>
            <w:right w:w="0" w:type="dxa"/>
          </w:tblCellMar>
        </w:tblPrEx>
        <w:trPr>
          <w:trHeight w:val="335" w:hRule="atLeast"/>
        </w:trPr>
        <w:tc>
          <w:tcPr>
            <w:tcW w:w="3357" w:type="dxa"/>
            <w:gridSpan w:val="7"/>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编制单位：</w:t>
            </w:r>
          </w:p>
        </w:tc>
        <w:tc>
          <w:tcPr>
            <w:tcW w:w="200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358" w:hRule="atLeast"/>
        </w:trPr>
        <w:tc>
          <w:tcPr>
            <w:tcW w:w="3105"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w:t>
            </w:r>
          </w:p>
        </w:tc>
        <w:tc>
          <w:tcPr>
            <w:tcW w:w="5695" w:type="dxa"/>
            <w:gridSpan w:val="5"/>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本年支出</w:t>
            </w:r>
          </w:p>
        </w:tc>
      </w:tr>
      <w:tr>
        <w:tblPrEx>
          <w:tblCellMar>
            <w:top w:w="0" w:type="dxa"/>
            <w:left w:w="0" w:type="dxa"/>
            <w:bottom w:w="0" w:type="dxa"/>
            <w:right w:w="0" w:type="dxa"/>
          </w:tblCellMar>
        </w:tblPrEx>
        <w:trPr>
          <w:trHeight w:val="82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功能分类科目编码</w:t>
            </w: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科目名称</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小计</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基本支出</w:t>
            </w: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项目支出</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栏次</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1</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2</w:t>
            </w: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3</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合计</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58" w:hRule="atLeast"/>
        </w:trPr>
        <w:tc>
          <w:tcPr>
            <w:tcW w:w="8800" w:type="dxa"/>
            <w:gridSpan w:val="11"/>
            <w:tcBorders>
              <w:top w:val="nil"/>
              <w:left w:val="nil"/>
              <w:bottom w:val="nil"/>
              <w:right w:val="nil"/>
            </w:tcBorders>
            <w:shd w:val="clear" w:color="auto" w:fill="auto"/>
            <w:tcMar>
              <w:top w:w="15" w:type="dxa"/>
              <w:left w:w="15" w:type="dxa"/>
              <w:right w:w="15" w:type="dxa"/>
            </w:tcMar>
            <w:vAlign w:val="center"/>
          </w:tcPr>
          <w:p>
            <w:r>
              <w:rPr>
                <w:rFonts w:hint="eastAsia" w:ascii="宋体" w:hAnsi="宋体" w:cs="宋体"/>
                <w:color w:val="000000"/>
                <w:kern w:val="0"/>
                <w:sz w:val="22"/>
                <w:szCs w:val="22"/>
              </w:rPr>
              <w:t>注：本表反映部门本年度国有资本经营预算财政拨款支出情况。本部门本年度无相关收入（或支出、收支及结转结余等）情况，按要求空表列示。</w:t>
            </w:r>
          </w:p>
          <w:p>
            <w:pPr>
              <w:widowControl/>
              <w:spacing w:after="0" w:line="240" w:lineRule="auto"/>
              <w:jc w:val="left"/>
              <w:textAlignment w:val="center"/>
              <w:rPr>
                <w:rFonts w:ascii="宋体" w:hAnsi="宋体" w:cs="宋体"/>
                <w:color w:val="000000"/>
                <w:sz w:val="22"/>
                <w:szCs w:val="22"/>
              </w:rPr>
            </w:pP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940" w:type="dxa"/>
        <w:tblInd w:w="0" w:type="dxa"/>
        <w:tblLayout w:type="fixed"/>
        <w:tblCellMar>
          <w:top w:w="0" w:type="dxa"/>
          <w:left w:w="0" w:type="dxa"/>
          <w:bottom w:w="0" w:type="dxa"/>
          <w:right w:w="0" w:type="dxa"/>
        </w:tblCellMar>
      </w:tblPr>
      <w:tblGrid>
        <w:gridCol w:w="1901"/>
        <w:gridCol w:w="1203"/>
        <w:gridCol w:w="790"/>
        <w:gridCol w:w="362"/>
        <w:gridCol w:w="911"/>
        <w:gridCol w:w="241"/>
        <w:gridCol w:w="1032"/>
        <w:gridCol w:w="120"/>
        <w:gridCol w:w="1154"/>
        <w:gridCol w:w="1226"/>
      </w:tblGrid>
      <w:tr>
        <w:tblPrEx>
          <w:tblCellMar>
            <w:top w:w="0" w:type="dxa"/>
            <w:left w:w="0" w:type="dxa"/>
            <w:bottom w:w="0" w:type="dxa"/>
            <w:right w:w="0" w:type="dxa"/>
          </w:tblCellMar>
        </w:tblPrEx>
        <w:trPr>
          <w:trHeight w:val="635" w:hRule="atLeast"/>
        </w:trPr>
        <w:tc>
          <w:tcPr>
            <w:tcW w:w="8940" w:type="dxa"/>
            <w:gridSpan w:val="10"/>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政府采购情况表</w:t>
            </w:r>
          </w:p>
        </w:tc>
      </w:tr>
      <w:tr>
        <w:tblPrEx>
          <w:tblCellMar>
            <w:top w:w="0" w:type="dxa"/>
            <w:left w:w="0" w:type="dxa"/>
            <w:bottom w:w="0" w:type="dxa"/>
            <w:right w:w="0" w:type="dxa"/>
          </w:tblCellMar>
        </w:tblPrEx>
        <w:trPr>
          <w:trHeight w:val="326" w:hRule="atLeast"/>
        </w:trPr>
        <w:tc>
          <w:tcPr>
            <w:tcW w:w="190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03"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79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2500" w:type="dxa"/>
            <w:gridSpan w:val="3"/>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公开10表</w:t>
            </w:r>
          </w:p>
        </w:tc>
      </w:tr>
      <w:tr>
        <w:tblPrEx>
          <w:tblCellMar>
            <w:top w:w="0" w:type="dxa"/>
            <w:left w:w="0" w:type="dxa"/>
            <w:bottom w:w="0" w:type="dxa"/>
            <w:right w:w="0" w:type="dxa"/>
          </w:tblCellMar>
        </w:tblPrEx>
        <w:trPr>
          <w:trHeight w:val="360" w:hRule="atLeast"/>
        </w:trPr>
        <w:tc>
          <w:tcPr>
            <w:tcW w:w="6440" w:type="dxa"/>
            <w:gridSpan w:val="7"/>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编制单位：</w:t>
            </w:r>
          </w:p>
        </w:tc>
        <w:tc>
          <w:tcPr>
            <w:tcW w:w="2500" w:type="dxa"/>
            <w:gridSpan w:val="3"/>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09" w:hRule="atLeast"/>
        </w:trPr>
        <w:tc>
          <w:tcPr>
            <w:tcW w:w="1901"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采购计划金额</w:t>
            </w:r>
          </w:p>
        </w:tc>
      </w:tr>
      <w:tr>
        <w:tblPrEx>
          <w:tblCellMar>
            <w:top w:w="0" w:type="dxa"/>
            <w:left w:w="0" w:type="dxa"/>
            <w:bottom w:w="0" w:type="dxa"/>
            <w:right w:w="0" w:type="dxa"/>
          </w:tblCellMar>
        </w:tblPrEx>
        <w:trPr>
          <w:trHeight w:val="398"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473"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85</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85</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vMerge w:val="restart"/>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实际采购金额</w:t>
            </w:r>
          </w:p>
        </w:tc>
      </w:tr>
      <w:tr>
        <w:tblPrEx>
          <w:tblCellMar>
            <w:top w:w="0" w:type="dxa"/>
            <w:left w:w="0" w:type="dxa"/>
            <w:bottom w:w="0" w:type="dxa"/>
            <w:right w:w="0" w:type="dxa"/>
          </w:tblCellMar>
        </w:tblPrEx>
        <w:trPr>
          <w:trHeight w:val="350" w:hRule="atLeast"/>
        </w:trPr>
        <w:tc>
          <w:tcPr>
            <w:tcW w:w="1901" w:type="dxa"/>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543" w:hRule="atLeast"/>
        </w:trPr>
        <w:tc>
          <w:tcPr>
            <w:tcW w:w="1901" w:type="dxa"/>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84.9</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84.9</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98" w:hRule="atLeast"/>
        </w:trPr>
        <w:tc>
          <w:tcPr>
            <w:tcW w:w="8940" w:type="dxa"/>
            <w:gridSpan w:val="10"/>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注：本表反映部门本年度纳入部门预算范围的政府采购预算及支出情况。     </w:t>
            </w:r>
          </w:p>
        </w:tc>
      </w:tr>
    </w:tbl>
    <w:p>
      <w:pPr>
        <w:widowControl/>
        <w:spacing w:after="0" w:line="560" w:lineRule="exact"/>
        <w:jc w:val="left"/>
        <w:rPr>
          <w:rFonts w:ascii="仿宋_GB2312" w:eastAsia="仿宋_GB2312" w:hAnsiTheme="majorEastAsia"/>
          <w:b/>
          <w:sz w:val="28"/>
          <w:szCs w:val="28"/>
          <w:highlight w:val="yellow"/>
        </w:rPr>
      </w:pPr>
    </w:p>
    <w:p/>
    <w:p/>
    <w:p/>
    <w:p/>
    <w:p>
      <w:pPr>
        <w:tabs>
          <w:tab w:val="left" w:pos="1086"/>
        </w:tabs>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r>
        <w:rPr>
          <w:rFonts w:hint="eastAsia"/>
        </w:rPr>
        <w:tab/>
      </w: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5408"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7"/>
                    <a:stretch>
                      <a:fillRect/>
                    </a:stretch>
                  </pic:blipFill>
                  <pic:spPr>
                    <a:xfrm>
                      <a:off x="0" y="0"/>
                      <a:ext cx="7550150" cy="10680065"/>
                    </a:xfrm>
                    <a:prstGeom prst="rect">
                      <a:avLst/>
                    </a:prstGeom>
                  </pic:spPr>
                </pic:pic>
              </a:graphicData>
            </a:graphic>
          </wp:anchor>
        </w:drawing>
      </w:r>
      <w:r>
        <w:rPr>
          <w:sz w:val="72"/>
        </w:rPr>
        <w:pict>
          <v:shape id="_x0000_s1028" o:spid="_x0000_s1028" o:spt="202" type="#_x0000_t202" style="position:absolute;left:0pt;margin-left:-78.7pt;margin-top:232.8pt;height:159.1pt;width:596.2pt;z-index:251664384;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部门决算情况说明</w:t>
                  </w:r>
                </w:p>
              </w:txbxContent>
            </v:textbox>
          </v:shape>
        </w:pict>
      </w:r>
    </w:p>
    <w:p>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eastAsia="黑体" w:cs="黑体" w:hAnsiTheme="minorHAnsi"/>
          <w:b w:val="0"/>
          <w:bCs w:val="0"/>
          <w:kern w:val="0"/>
        </w:rPr>
        <w:t>支出</w:t>
      </w:r>
      <w:r>
        <w:rPr>
          <w:rFonts w:hint="eastAsia" w:ascii="黑体" w:eastAsia="黑体"/>
          <w:b w:val="0"/>
          <w:bCs w:val="0"/>
        </w:rPr>
        <w:t>决算总体情况说明</w:t>
      </w:r>
    </w:p>
    <w:p>
      <w:pPr>
        <w:pStyle w:val="3"/>
        <w:spacing w:before="0" w:after="0" w:line="580" w:lineRule="exact"/>
        <w:ind w:firstLine="640" w:firstLineChars="200"/>
        <w:rPr>
          <w:rFonts w:hint="eastAsia" w:ascii="仿宋" w:hAnsi="仿宋" w:eastAsia="仿宋" w:cs="仿宋"/>
          <w:b w:val="0"/>
          <w:bCs w:val="0"/>
        </w:rPr>
      </w:pPr>
      <w:r>
        <w:rPr>
          <w:rFonts w:hint="eastAsia" w:ascii="仿宋" w:hAnsi="仿宋" w:eastAsia="仿宋" w:cs="仿宋"/>
          <w:b w:val="0"/>
          <w:bCs w:val="0"/>
        </w:rPr>
        <w:t>本部门2018年度收支总计43357.95，与2017年度决算相比，本年收支各增加34070.43万元，增长366.84%，主要是由于今年增加了县政府指定的“双代”职责，造成一般预算收入大幅增加。</w:t>
      </w:r>
    </w:p>
    <w:p>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pPr>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本部门2018年度本年收入合计42132.75万元，其中：财政拨款收入42132.75万元，占100%；如图所示：</w:t>
      </w:r>
    </w:p>
    <w:p>
      <w:pPr>
        <w:adjustRightInd w:val="0"/>
        <w:snapToGrid w:val="0"/>
        <w:spacing w:after="0" w:line="580" w:lineRule="exact"/>
        <w:ind w:firstLine="1260" w:firstLineChars="600"/>
        <w:rPr>
          <w:rFonts w:ascii="仿宋_GB2312" w:eastAsia="仿宋_GB2312" w:cs="DengXian-Regular"/>
          <w:sz w:val="32"/>
          <w:szCs w:val="32"/>
        </w:rPr>
      </w:pPr>
      <w:r>
        <w:drawing>
          <wp:inline distT="0" distB="0" distL="114300" distR="114300">
            <wp:extent cx="4391025" cy="2552700"/>
            <wp:effectExtent l="47625" t="4445" r="57150" b="109855"/>
            <wp:docPr id="1"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pPr>
        <w:adjustRightInd w:val="0"/>
        <w:snapToGrid w:val="0"/>
        <w:spacing w:after="0" w:line="240" w:lineRule="auto"/>
        <w:rPr>
          <w:rFonts w:ascii="黑体" w:eastAsia="黑体"/>
        </w:rPr>
      </w:pPr>
      <w:r>
        <w:drawing>
          <wp:inline distT="0" distB="0" distL="114300" distR="114300">
            <wp:extent cx="4492625" cy="2658110"/>
            <wp:effectExtent l="0" t="0" r="3175" b="8890"/>
            <wp:docPr id="3" name="图片 3" descr="图片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图片1"/>
                    <pic:cNvPicPr>
                      <a:picLocks noChangeAspect="1"/>
                    </pic:cNvPicPr>
                  </pic:nvPicPr>
                  <pic:blipFill>
                    <a:blip r:embed="rId9"/>
                    <a:stretch>
                      <a:fillRect/>
                    </a:stretch>
                  </pic:blipFill>
                  <pic:spPr>
                    <a:xfrm>
                      <a:off x="0" y="0"/>
                      <a:ext cx="4492625" cy="2658110"/>
                    </a:xfrm>
                    <a:prstGeom prst="rect">
                      <a:avLst/>
                    </a:prstGeom>
                  </pic:spPr>
                </pic:pic>
              </a:graphicData>
            </a:graphic>
          </wp:inline>
        </w:drawing>
      </w:r>
    </w:p>
    <w:p>
      <w:pPr>
        <w:pStyle w:val="3"/>
        <w:spacing w:before="0" w:after="0" w:line="580" w:lineRule="exact"/>
        <w:ind w:firstLine="640" w:firstLineChars="200"/>
        <w:rPr>
          <w:rFonts w:ascii="黑体" w:eastAsia="黑体"/>
          <w:b w:val="0"/>
          <w:bCs w:val="0"/>
        </w:rPr>
      </w:pPr>
      <w:r>
        <w:rPr>
          <w:rFonts w:hint="eastAsia" w:ascii="黑体" w:eastAsia="黑体"/>
          <w:b w:val="0"/>
          <w:bCs w:val="0"/>
        </w:rPr>
        <w:t>三、支出决算情况说明</w:t>
      </w:r>
    </w:p>
    <w:p>
      <w:pPr>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本部门2018年度本年支出合计29783.74万元，其中：基本支出1227.26万元，占4.12%；项目支出28556.48万元，占95.88%。如图所示：</w:t>
      </w:r>
    </w:p>
    <w:p>
      <w:pPr>
        <w:pStyle w:val="3"/>
        <w:spacing w:before="0" w:after="0" w:line="240" w:lineRule="auto"/>
        <w:ind w:firstLine="640" w:firstLineChars="200"/>
        <w:rPr>
          <w:rFonts w:ascii="黑体" w:eastAsia="黑体"/>
          <w:b w:val="0"/>
          <w:bCs w:val="0"/>
        </w:rPr>
      </w:pPr>
    </w:p>
    <w:p>
      <w:pPr>
        <w:pStyle w:val="3"/>
        <w:spacing w:before="0" w:after="0" w:line="240" w:lineRule="auto"/>
        <w:ind w:firstLine="643" w:firstLineChars="200"/>
        <w:rPr>
          <w:rFonts w:ascii="黑体" w:eastAsia="黑体"/>
          <w:b w:val="0"/>
          <w:bCs w:val="0"/>
        </w:rPr>
      </w:pPr>
      <w:r>
        <w:drawing>
          <wp:inline distT="0" distB="0" distL="114300" distR="114300">
            <wp:extent cx="4219575" cy="2600325"/>
            <wp:effectExtent l="47625" t="4445" r="57150" b="100330"/>
            <wp:docPr id="2"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pPr>
        <w:pStyle w:val="3"/>
        <w:spacing w:before="0" w:after="0" w:line="240" w:lineRule="auto"/>
        <w:ind w:firstLine="640" w:firstLineChars="200"/>
        <w:rPr>
          <w:rFonts w:ascii="黑体" w:eastAsia="黑体"/>
          <w:b w:val="0"/>
          <w:bCs w:val="0"/>
        </w:rPr>
      </w:pPr>
      <w:r>
        <w:rPr>
          <w:rFonts w:hint="eastAsia" w:ascii="黑体" w:eastAsia="黑体"/>
          <w:b w:val="0"/>
          <w:bCs w:val="0"/>
        </w:rPr>
        <w:t>四、</w:t>
      </w:r>
      <w:r>
        <w:rPr>
          <w:rFonts w:hint="eastAsia" w:ascii="黑体" w:eastAsia="黑体" w:cs="黑体" w:hAnsiTheme="minorHAnsi"/>
          <w:b w:val="0"/>
          <w:bCs w:val="0"/>
          <w:kern w:val="0"/>
        </w:rPr>
        <w:t>财政</w:t>
      </w:r>
      <w:r>
        <w:rPr>
          <w:rFonts w:hint="eastAsia" w:ascii="黑体" w:eastAsia="黑体"/>
          <w:b w:val="0"/>
          <w:bCs w:val="0"/>
        </w:rPr>
        <w:t>拨款收入支出决算情况说明</w:t>
      </w:r>
    </w:p>
    <w:p>
      <w:pPr>
        <w:spacing w:after="0" w:line="56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（一）财政拨款收支与2017 年度决算对比情况</w:t>
      </w:r>
    </w:p>
    <w:p>
      <w:pPr>
        <w:adjustRightInd w:val="0"/>
        <w:snapToGrid w:val="0"/>
        <w:spacing w:after="0" w:line="560" w:lineRule="exact"/>
        <w:ind w:firstLine="640" w:firstLineChars="200"/>
        <w:rPr>
          <w:rFonts w:ascii="仿宋" w:hAnsi="仿宋" w:eastAsia="仿宋" w:cs="仿宋"/>
          <w:sz w:val="32"/>
          <w:szCs w:val="32"/>
        </w:rPr>
      </w:pPr>
      <w:r>
        <w:rPr>
          <w:rFonts w:hint="eastAsia" w:ascii="仿宋" w:hAnsi="仿宋" w:eastAsia="仿宋" w:cs="仿宋"/>
          <w:sz w:val="32"/>
          <w:szCs w:val="32"/>
        </w:rPr>
        <w:t>本部门2018年度财政拨款本年收入42132.75万元；比2017年度增长34455.77万元，增长448.82%，主要是县政府增加指定“双代”职责，造成上级相关转移支付大幅增加；本年支出29783.74万元，与2017年度决算相比支出增加22609.08万元，增长315%，主要是双代方面上级转移支付大幅增加。</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 w:hAnsi="仿宋" w:eastAsia="仿宋" w:cs="仿宋"/>
          <w:sz w:val="32"/>
          <w:szCs w:val="32"/>
        </w:rPr>
        <w:t>其中，一般公共预算财政拨款本年收入42036.26万元；比上年增加34359.28万元，增长447.56%，主要是县政府增加指定“双代”职责，造成上级相关转移支付大幅增加；本年支出29783.74万元，比上年增加22609.08万元，增长315.12%，主要是双代方面上级转移支付增加。政府性基金预算财政拨款本年收入96.49万元，比上年减少102.89万元，降低51.6%，主要是土地出让金收入减少；本年支出96.49万元，比上年减少102.89万元，降低51.6%，主要是土地出让金支出减少。</w:t>
      </w:r>
      <w:r>
        <w:drawing>
          <wp:inline distT="0" distB="0" distL="114300" distR="114300">
            <wp:extent cx="4572000" cy="2981325"/>
            <wp:effectExtent l="47625" t="4445" r="47625" b="100330"/>
            <wp:docPr id="13"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pPr>
        <w:adjustRightInd w:val="0"/>
        <w:snapToGrid w:val="0"/>
        <w:spacing w:after="0" w:line="240" w:lineRule="auto"/>
        <w:rPr>
          <w:rFonts w:ascii="仿宋_GB2312" w:eastAsia="仿宋_GB2312" w:cs="DengXian-Regular"/>
          <w:sz w:val="32"/>
          <w:szCs w:val="32"/>
        </w:rPr>
      </w:pPr>
      <w:r>
        <w:drawing>
          <wp:inline distT="0" distB="0" distL="114300" distR="114300">
            <wp:extent cx="4572000" cy="2981325"/>
            <wp:effectExtent l="47625" t="4445" r="47625" b="100330"/>
            <wp:docPr id="14"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pPr>
        <w:spacing w:after="0" w:line="240" w:lineRule="auto"/>
        <w:ind w:firstLine="964" w:firstLineChars="3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60" w:lineRule="exact"/>
        <w:ind w:firstLine="640" w:firstLineChars="200"/>
        <w:rPr>
          <w:rFonts w:ascii="仿宋" w:hAnsi="仿宋" w:eastAsia="仿宋" w:cs="仿宋"/>
          <w:sz w:val="32"/>
          <w:szCs w:val="32"/>
        </w:rPr>
      </w:pPr>
      <w:r>
        <w:rPr>
          <w:rFonts w:hint="eastAsia" w:ascii="仿宋" w:hAnsi="仿宋" w:eastAsia="仿宋" w:cs="仿宋"/>
          <w:sz w:val="32"/>
          <w:szCs w:val="32"/>
        </w:rPr>
        <w:t>本部门2018年度财政拨款本年收入42132.75万元，完成年初预算的499%，较年初预算增加35098.89万元，决算数大于预算数主要原因是双代方面上级专项转移支付追加较多；本年支出29783.74万元，完成年初预算的323.43%，较,年初预算增加22749.88万元，主要是双代方面上级专项转移支付追加较多。</w:t>
      </w:r>
    </w:p>
    <w:p>
      <w:pPr>
        <w:adjustRightInd w:val="0"/>
        <w:snapToGrid w:val="0"/>
        <w:spacing w:after="0" w:line="560" w:lineRule="exact"/>
        <w:ind w:firstLine="640" w:firstLineChars="200"/>
        <w:rPr>
          <w:rFonts w:ascii="仿宋" w:hAnsi="仿宋" w:eastAsia="仿宋" w:cs="仿宋"/>
          <w:sz w:val="32"/>
          <w:szCs w:val="32"/>
        </w:rPr>
      </w:pPr>
      <w:r>
        <w:rPr>
          <w:rFonts w:hint="eastAsia" w:ascii="仿宋" w:hAnsi="仿宋" w:eastAsia="仿宋" w:cs="仿宋"/>
          <w:sz w:val="32"/>
          <w:szCs w:val="32"/>
        </w:rPr>
        <w:t>其中，本部门2018年度一般公共预算财政拨款本年收入42132.75万元，完成年初预算的增长1497.63%，较年初预算增加35002.4万元，主要是上级专项转移支付追加较多；本年支出29687.25万元，比年初预算增加22653.39万元，主要是上级专项转移支付追加较多。政府性基金预算财政拨款本年收入较2018年初预算增加96.49万元，完成年初预算的100%，主要是土地出让金收入增加；本年支出增加96.49万元，完成年初预算的100%，主要是土地出让金增加。</w:t>
      </w:r>
    </w:p>
    <w:p>
      <w:pPr>
        <w:adjustRightInd w:val="0"/>
        <w:snapToGrid w:val="0"/>
        <w:spacing w:after="0" w:line="240" w:lineRule="auto"/>
        <w:ind w:firstLine="420" w:firstLineChars="200"/>
        <w:rPr>
          <w:rFonts w:ascii="仿宋" w:hAnsi="仿宋" w:eastAsia="仿宋" w:cs="仿宋"/>
          <w:sz w:val="32"/>
          <w:szCs w:val="32"/>
        </w:rPr>
      </w:pPr>
      <w:r>
        <w:drawing>
          <wp:inline distT="0" distB="0" distL="114300" distR="114300">
            <wp:extent cx="5192395" cy="3561715"/>
            <wp:effectExtent l="47625" t="4445" r="55880" b="110490"/>
            <wp:docPr id="23"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pPr>
        <w:adjustRightInd w:val="0"/>
        <w:snapToGrid w:val="0"/>
        <w:spacing w:after="0" w:line="240" w:lineRule="auto"/>
        <w:ind w:firstLine="640" w:firstLineChars="200"/>
        <w:rPr>
          <w:rFonts w:ascii="仿宋" w:hAnsi="仿宋" w:eastAsia="仿宋" w:cs="仿宋"/>
          <w:sz w:val="32"/>
          <w:szCs w:val="32"/>
        </w:rPr>
      </w:pPr>
    </w:p>
    <w:p>
      <w:pPr>
        <w:numPr>
          <w:ilvl w:val="0"/>
          <w:numId w:val="1"/>
        </w:num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财政拨款支出决算结构情况。</w:t>
      </w:r>
    </w:p>
    <w:p>
      <w:pPr>
        <w:adjustRightInd w:val="0"/>
        <w:snapToGrid w:val="0"/>
        <w:spacing w:after="0" w:line="580" w:lineRule="exact"/>
        <w:ind w:firstLine="640" w:firstLineChars="200"/>
        <w:rPr>
          <w:rFonts w:ascii="楷体_GB2312" w:eastAsia="楷体_GB2312" w:cs="DengXian-Bold"/>
          <w:b/>
          <w:bCs/>
          <w:sz w:val="32"/>
          <w:szCs w:val="32"/>
        </w:rPr>
      </w:pPr>
      <w:r>
        <w:rPr>
          <w:rFonts w:hint="eastAsia" w:ascii="仿宋" w:hAnsi="仿宋" w:eastAsia="仿宋" w:cs="仿宋"/>
          <w:sz w:val="32"/>
          <w:szCs w:val="32"/>
        </w:rPr>
        <w:t>2018 年度财政拨款支出29783.74万元，主要用于以下方面：科学技术（类）支出560万元，占 1.88%；社会保障和就业（类）支出44.8万元，占0.15%；医疗卫生与计划生育（类）支出118.83万元，占0.4%;节能环保（类）支出23161.05万元，占 77.76%;城乡社区（类）支出96.49万元，占 0.32%;农林水（类）支出5802.56万元，占 19.48%。</w:t>
      </w:r>
    </w:p>
    <w:p>
      <w:pPr>
        <w:adjustRightInd w:val="0"/>
        <w:snapToGrid w:val="0"/>
        <w:spacing w:after="0" w:line="240" w:lineRule="auto"/>
        <w:ind w:left="420" w:leftChars="200"/>
        <w:rPr>
          <w:rFonts w:ascii="楷体_GB2312" w:eastAsia="楷体_GB2312" w:cs="DengXian-Bold"/>
          <w:b/>
          <w:bCs/>
          <w:sz w:val="32"/>
          <w:szCs w:val="32"/>
        </w:rPr>
      </w:pPr>
    </w:p>
    <w:p>
      <w:pPr>
        <w:adjustRightInd w:val="0"/>
        <w:snapToGrid w:val="0"/>
        <w:spacing w:after="0" w:line="240" w:lineRule="auto"/>
        <w:ind w:left="420" w:leftChars="200"/>
      </w:pPr>
      <w:r>
        <w:drawing>
          <wp:inline distT="0" distB="0" distL="114300" distR="114300">
            <wp:extent cx="4572000" cy="3228975"/>
            <wp:effectExtent l="57150" t="0" r="57150" b="66675"/>
            <wp:docPr id="10"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pPr>
        <w:adjustRightInd w:val="0"/>
        <w:snapToGrid w:val="0"/>
        <w:spacing w:after="0" w:line="240" w:lineRule="auto"/>
        <w:ind w:left="420" w:leftChars="200"/>
        <w:rPr>
          <w:rFonts w:ascii="楷体_GB2312" w:eastAsia="楷体_GB2312" w:cs="DengXian-Bold"/>
          <w:b/>
          <w:bCs/>
          <w:sz w:val="32"/>
          <w:szCs w:val="32"/>
        </w:rPr>
      </w:pPr>
      <w:r>
        <w:rPr>
          <w:rFonts w:hint="eastAsia" w:ascii="楷体_GB2312" w:eastAsia="楷体_GB2312" w:cs="DengXian-Bold"/>
          <w:b/>
          <w:bCs/>
          <w:sz w:val="32"/>
          <w:szCs w:val="32"/>
        </w:rPr>
        <w:t>（四）一般公共预算财政拨款基本支出决算情况说明</w:t>
      </w:r>
    </w:p>
    <w:p>
      <w:pPr>
        <w:adjustRightInd w:val="0"/>
        <w:snapToGrid w:val="0"/>
        <w:spacing w:after="0" w:line="580" w:lineRule="exact"/>
        <w:ind w:firstLine="640" w:firstLineChars="200"/>
        <w:rPr>
          <w:rFonts w:ascii="仿宋" w:hAnsi="仿宋" w:eastAsia="仿宋" w:cs="仿宋"/>
          <w:sz w:val="32"/>
          <w:szCs w:val="32"/>
        </w:rPr>
      </w:pPr>
      <w:r>
        <w:rPr>
          <w:rFonts w:hint="eastAsia" w:ascii="仿宋" w:hAnsi="仿宋" w:eastAsia="仿宋" w:cs="仿宋"/>
          <w:sz w:val="32"/>
          <w:szCs w:val="32"/>
        </w:rPr>
        <w:t>2018 年度一般公共预算财政拨款基本支出1153.44万元，其中：人员经费 1094.05万元，主要包括基本工资、津贴补贴、奖金、绩效工资、机关事业单位基本养老保险缴费、职工基本医疗保险缴费、其他工资福利支出、离休费、退休费、抚恤金、奖励金、其他对个人和家庭的补助支出等；公用经费59.39万元，主要包括办公费、印刷费、水费、电费、邮电费、取暖费、差旅费、租赁费、公务接待费、专用材料费、委托业务费、公务用车运行维护费、其他交通费用、税金及附加费用、其他商品和服务支出、办公设备购置等。</w:t>
      </w:r>
    </w:p>
    <w:p>
      <w:pPr>
        <w:pStyle w:val="3"/>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 经费支出决算情况说明</w:t>
      </w:r>
    </w:p>
    <w:p>
      <w:pPr>
        <w:adjustRightInd w:val="0"/>
        <w:snapToGrid w:val="0"/>
        <w:spacing w:after="0" w:line="560" w:lineRule="exact"/>
        <w:ind w:firstLine="640" w:firstLineChars="200"/>
        <w:rPr>
          <w:rFonts w:ascii="仿宋" w:hAnsi="仿宋" w:eastAsia="仿宋" w:cs="仿宋"/>
          <w:sz w:val="32"/>
          <w:szCs w:val="32"/>
        </w:rPr>
      </w:pPr>
      <w:r>
        <w:rPr>
          <w:rFonts w:hint="eastAsia" w:ascii="仿宋" w:hAnsi="仿宋" w:eastAsia="仿宋" w:cs="仿宋"/>
          <w:sz w:val="32"/>
          <w:szCs w:val="32"/>
        </w:rPr>
        <w:t>本部门2018年度“三公”经费支出共计3.433万元，较年初预算减少0.567万元，降低14.18%，主要是</w:t>
      </w:r>
      <w:bookmarkStart w:id="0" w:name="_GoBack"/>
      <w:bookmarkEnd w:id="0"/>
      <w:r>
        <w:rPr>
          <w:rFonts w:hint="eastAsia" w:ascii="仿宋" w:hAnsi="仿宋" w:eastAsia="仿宋" w:cs="仿宋"/>
          <w:sz w:val="32"/>
          <w:szCs w:val="32"/>
        </w:rPr>
        <w:t>认真贯彻落实中央</w:t>
      </w:r>
      <w:r>
        <w:rPr>
          <w:rFonts w:hint="eastAsia" w:ascii="仿宋" w:hAnsi="仿宋" w:eastAsia="仿宋" w:cs="仿宋"/>
          <w:sz w:val="32"/>
          <w:szCs w:val="32"/>
          <w:lang w:eastAsia="zh-CN"/>
        </w:rPr>
        <w:t>八项规定</w:t>
      </w:r>
      <w:r>
        <w:rPr>
          <w:rFonts w:hint="eastAsia" w:ascii="仿宋" w:hAnsi="仿宋" w:eastAsia="仿宋" w:cs="仿宋"/>
          <w:sz w:val="32"/>
          <w:szCs w:val="32"/>
        </w:rPr>
        <w:t>精神和厉行节约要求，从严控制“三公”经费开支，全年实际支出比预算有所节约，公务用车和公务接待费用减少。具体情况如下：</w:t>
      </w:r>
    </w:p>
    <w:p>
      <w:pPr>
        <w:adjustRightInd w:val="0"/>
        <w:snapToGrid w:val="0"/>
        <w:spacing w:after="0" w:line="560" w:lineRule="exact"/>
        <w:ind w:firstLine="643" w:firstLineChars="200"/>
        <w:rPr>
          <w:rFonts w:ascii="仿宋" w:hAnsi="仿宋" w:eastAsia="仿宋" w:cs="仿宋"/>
          <w:sz w:val="32"/>
          <w:szCs w:val="32"/>
        </w:rPr>
      </w:pPr>
      <w:r>
        <w:rPr>
          <w:rFonts w:hint="eastAsia" w:ascii="仿宋" w:hAnsi="仿宋" w:eastAsia="仿宋" w:cs="仿宋"/>
          <w:b/>
          <w:bCs/>
          <w:sz w:val="32"/>
          <w:szCs w:val="32"/>
        </w:rPr>
        <w:t>（一）因公出国（境）费支出0万元。</w:t>
      </w:r>
      <w:r>
        <w:rPr>
          <w:rFonts w:hint="eastAsia" w:ascii="仿宋" w:hAnsi="仿宋" w:eastAsia="仿宋" w:cs="仿宋"/>
          <w:sz w:val="32"/>
          <w:szCs w:val="32"/>
        </w:rPr>
        <w:t>本部门2018年度因公出国（境）团组0个、共0人。因公出国（境）费支出较预算无增减变化，主要原因是未发生此类支出。</w:t>
      </w:r>
    </w:p>
    <w:p>
      <w:pPr>
        <w:adjustRightInd w:val="0"/>
        <w:snapToGrid w:val="0"/>
        <w:spacing w:after="0" w:line="560" w:lineRule="exact"/>
        <w:ind w:firstLine="643" w:firstLineChars="200"/>
        <w:rPr>
          <w:rFonts w:ascii="仿宋" w:hAnsi="仿宋" w:eastAsia="仿宋" w:cs="仿宋"/>
          <w:b/>
          <w:bCs/>
          <w:sz w:val="32"/>
          <w:szCs w:val="32"/>
        </w:rPr>
      </w:pPr>
      <w:r>
        <w:rPr>
          <w:rFonts w:hint="eastAsia" w:ascii="仿宋" w:hAnsi="仿宋" w:eastAsia="仿宋" w:cs="仿宋"/>
          <w:b/>
          <w:bCs/>
          <w:sz w:val="32"/>
          <w:szCs w:val="32"/>
        </w:rPr>
        <w:t>（二）公务用车购置及运行维护费支出3万元。</w:t>
      </w:r>
      <w:r>
        <w:rPr>
          <w:rFonts w:hint="eastAsia" w:ascii="仿宋" w:hAnsi="仿宋" w:eastAsia="仿宋" w:cs="仿宋"/>
          <w:sz w:val="32"/>
          <w:szCs w:val="32"/>
        </w:rPr>
        <w:t>本部门2018年度公务用车购置及运行维护费较年初预算减少0万元，未降低。</w:t>
      </w:r>
      <w:r>
        <w:rPr>
          <w:rFonts w:hint="eastAsia" w:ascii="仿宋" w:hAnsi="仿宋" w:eastAsia="仿宋" w:cs="仿宋"/>
          <w:b/>
          <w:bCs/>
          <w:sz w:val="32"/>
          <w:szCs w:val="32"/>
        </w:rPr>
        <w:t>其中：</w:t>
      </w:r>
    </w:p>
    <w:p>
      <w:pPr>
        <w:adjustRightInd w:val="0"/>
        <w:snapToGrid w:val="0"/>
        <w:spacing w:after="0" w:line="560" w:lineRule="exact"/>
        <w:ind w:firstLine="643" w:firstLineChars="200"/>
        <w:rPr>
          <w:rFonts w:ascii="仿宋" w:hAnsi="仿宋" w:eastAsia="仿宋" w:cs="仿宋"/>
          <w:sz w:val="32"/>
          <w:szCs w:val="32"/>
        </w:rPr>
      </w:pPr>
      <w:r>
        <w:rPr>
          <w:rFonts w:hint="eastAsia" w:ascii="仿宋" w:hAnsi="仿宋" w:eastAsia="仿宋" w:cs="仿宋"/>
          <w:b/>
          <w:sz w:val="32"/>
          <w:szCs w:val="32"/>
        </w:rPr>
        <w:t>公务用车购置费：</w:t>
      </w:r>
      <w:r>
        <w:rPr>
          <w:rFonts w:hint="eastAsia" w:ascii="仿宋" w:hAnsi="仿宋" w:eastAsia="仿宋" w:cs="仿宋"/>
          <w:sz w:val="32"/>
          <w:szCs w:val="32"/>
        </w:rPr>
        <w:t>本部门2018年度公务用车购置量0辆，发生“公务用车购置”经费支出0万元。未发生此类支出。较年初预算持平。</w:t>
      </w:r>
    </w:p>
    <w:p>
      <w:pPr>
        <w:adjustRightInd w:val="0"/>
        <w:snapToGrid w:val="0"/>
        <w:spacing w:after="0" w:line="560" w:lineRule="exact"/>
        <w:ind w:firstLine="643" w:firstLineChars="200"/>
        <w:rPr>
          <w:rFonts w:ascii="仿宋" w:hAnsi="仿宋" w:eastAsia="仿宋" w:cs="仿宋"/>
          <w:sz w:val="32"/>
          <w:szCs w:val="32"/>
        </w:rPr>
      </w:pPr>
      <w:r>
        <w:rPr>
          <w:rFonts w:hint="eastAsia" w:ascii="仿宋" w:hAnsi="仿宋" w:eastAsia="仿宋" w:cs="仿宋"/>
          <w:b/>
          <w:sz w:val="32"/>
          <w:szCs w:val="32"/>
        </w:rPr>
        <w:t>公务用车运行维护费：</w:t>
      </w:r>
      <w:r>
        <w:rPr>
          <w:rFonts w:hint="eastAsia" w:ascii="仿宋" w:hAnsi="仿宋" w:eastAsia="仿宋" w:cs="仿宋"/>
          <w:sz w:val="32"/>
          <w:szCs w:val="32"/>
        </w:rPr>
        <w:t>本部门2018年度单位公务用车保有量3辆。公车运行维护费支出3万元，较年初预算持平，主要是车改后公务用车减少使用，费用降低。</w:t>
      </w:r>
    </w:p>
    <w:p>
      <w:pPr>
        <w:adjustRightInd w:val="0"/>
        <w:snapToGrid w:val="0"/>
        <w:spacing w:after="0" w:line="560" w:lineRule="exact"/>
        <w:ind w:firstLine="643" w:firstLineChars="200"/>
        <w:rPr>
          <w:rFonts w:ascii="仿宋" w:hAnsi="仿宋" w:eastAsia="仿宋" w:cs="仿宋"/>
          <w:sz w:val="32"/>
          <w:szCs w:val="32"/>
        </w:rPr>
      </w:pPr>
      <w:r>
        <w:rPr>
          <w:rFonts w:hint="eastAsia" w:ascii="仿宋" w:hAnsi="仿宋" w:eastAsia="仿宋" w:cs="仿宋"/>
          <w:b/>
          <w:bCs/>
          <w:sz w:val="32"/>
          <w:szCs w:val="32"/>
        </w:rPr>
        <w:t>（三）公务接待费支出0.433万元。</w:t>
      </w:r>
      <w:r>
        <w:rPr>
          <w:rFonts w:hint="eastAsia" w:ascii="仿宋" w:hAnsi="仿宋" w:eastAsia="仿宋" w:cs="仿宋"/>
          <w:sz w:val="32"/>
          <w:szCs w:val="32"/>
        </w:rPr>
        <w:t>本部门2018年度公务接待共5批次、141人次。公务接待费支出较年初预算减少0.567万元，降低57%,主要是压减公务接待。</w:t>
      </w:r>
    </w:p>
    <w:p>
      <w:pPr>
        <w:pStyle w:val="3"/>
        <w:spacing w:before="0" w:after="0" w:line="580" w:lineRule="exact"/>
        <w:ind w:firstLine="643" w:firstLineChars="200"/>
        <w:rPr>
          <w:rFonts w:ascii="黑体" w:eastAsia="黑体" w:cs="Times New Roman"/>
        </w:rPr>
      </w:pPr>
      <w:r>
        <w:rPr>
          <w:rFonts w:hint="eastAsia" w:ascii="黑体" w:eastAsia="黑体"/>
          <w:szCs w:val="40"/>
        </w:rPr>
        <w:t>六、</w:t>
      </w:r>
      <w:r>
        <w:rPr>
          <w:rFonts w:hint="eastAsia" w:ascii="黑体" w:eastAsia="黑体" w:cs="Times New Roman"/>
        </w:rPr>
        <w:t>绩效预算情况说明</w:t>
      </w:r>
    </w:p>
    <w:p>
      <w:pPr>
        <w:adjustRightInd w:val="0"/>
        <w:snapToGrid w:val="0"/>
        <w:spacing w:after="0" w:line="580" w:lineRule="exact"/>
        <w:ind w:firstLine="640" w:firstLineChars="200"/>
        <w:rPr>
          <w:rFonts w:ascii="仿宋" w:hAnsi="仿宋" w:eastAsia="仿宋" w:cs="仿宋"/>
          <w:color w:val="FF0000"/>
          <w:sz w:val="32"/>
          <w:szCs w:val="32"/>
        </w:rPr>
      </w:pPr>
      <w:r>
        <w:rPr>
          <w:rFonts w:hint="eastAsia" w:ascii="仿宋" w:hAnsi="仿宋" w:eastAsia="仿宋" w:cs="仿宋"/>
          <w:sz w:val="32"/>
          <w:szCs w:val="32"/>
        </w:rPr>
        <w:t>（一）绩效管理工作开展情况。根据《关于开展2018年度财政专项资金部门绩效自评价工作的通知》（石财绩[2019]1号），本单位认真开展了预算绩效管理改革开展情况自查，对部门全面规范绩效预算编制、严格预算执行管理、推进绩效评价工作、推进预决算信息公开等方面进行了自评，考核结果为良好。</w:t>
      </w:r>
    </w:p>
    <w:p>
      <w:pPr>
        <w:adjustRightInd w:val="0"/>
        <w:snapToGrid w:val="0"/>
        <w:spacing w:after="0" w:line="580" w:lineRule="exact"/>
        <w:ind w:firstLine="640" w:firstLineChars="200"/>
        <w:rPr>
          <w:rFonts w:ascii="仿宋" w:hAnsi="仿宋" w:eastAsia="仿宋" w:cs="仿宋"/>
          <w:sz w:val="32"/>
          <w:szCs w:val="32"/>
        </w:rPr>
      </w:pPr>
      <w:r>
        <w:rPr>
          <w:rFonts w:hint="eastAsia" w:ascii="仿宋" w:hAnsi="仿宋" w:eastAsia="仿宋" w:cs="仿宋"/>
          <w:sz w:val="32"/>
          <w:szCs w:val="32"/>
        </w:rPr>
        <w:t>（二）预算项目绩效评价开展情况。根据预算绩效管理要求，本单位组织对2018年度一般公共预算项目支出全面开展绩效自评，涉及农机购置补贴、粮改饲、地下水超采综合治理-小麦节水品种推广等3个项目，涉及资金2175万元。从评价情况看，评价结果为优秀的项目有2个，良好的项目有1个。</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（三）预算项目绩效自评选例</w:t>
      </w:r>
    </w:p>
    <w:p>
      <w:pPr>
        <w:adjustRightInd w:val="0"/>
        <w:snapToGrid w:val="0"/>
        <w:spacing w:after="0" w:line="600" w:lineRule="exact"/>
        <w:ind w:firstLine="640" w:firstLineChars="200"/>
        <w:rPr>
          <w:rFonts w:ascii="仿宋" w:hAnsi="仿宋" w:eastAsia="仿宋" w:cs="仿宋"/>
          <w:sz w:val="32"/>
          <w:szCs w:val="32"/>
        </w:rPr>
      </w:pPr>
      <w:r>
        <w:rPr>
          <w:rFonts w:hint="eastAsia" w:ascii="仿宋" w:hAnsi="仿宋" w:eastAsia="仿宋" w:cs="仿宋"/>
          <w:sz w:val="32"/>
          <w:szCs w:val="32"/>
        </w:rPr>
        <w:t>1、本单位2018年粮改饲项目绩效自评：根据年初设定的绩效目标，2018年粮改饲项目绩效自评结果为优秀。项目全年预算数为315万元，执行数为315万元，完成预算的100%。主要产出和效果是</w:t>
      </w:r>
      <w:r>
        <w:rPr>
          <w:rFonts w:hint="eastAsia" w:ascii="仿宋" w:hAnsi="仿宋" w:eastAsia="仿宋" w:cs="仿宋"/>
          <w:color w:val="3D3D3D"/>
          <w:sz w:val="32"/>
          <w:szCs w:val="32"/>
          <w:shd w:val="clear" w:color="auto" w:fill="FFFFFF"/>
        </w:rPr>
        <w:t>扶持养殖场37家，完成青储数量10.68万吨，充分发挥财政资金的杠杆作用，产生了良好的示范辐射带动效益。通过</w:t>
      </w:r>
      <w:r>
        <w:rPr>
          <w:rFonts w:hint="eastAsia" w:ascii="仿宋" w:hAnsi="仿宋" w:eastAsia="仿宋" w:cs="仿宋"/>
          <w:color w:val="333333"/>
          <w:sz w:val="32"/>
          <w:szCs w:val="32"/>
        </w:rPr>
        <w:t>“粮改饲”项目的实施促进了农业产业结构调整，增加了农民收入。同时，为草食家畜发展提供了优质饲料，促进了畜牧业发展，提高了畜牧产品质量和效益，</w:t>
      </w:r>
      <w:r>
        <w:rPr>
          <w:rFonts w:hint="eastAsia" w:ascii="仿宋" w:hAnsi="仿宋" w:eastAsia="仿宋" w:cs="仿宋"/>
          <w:color w:val="3D3D3D"/>
          <w:sz w:val="32"/>
          <w:szCs w:val="32"/>
          <w:shd w:val="clear" w:color="auto" w:fill="FFFFFF"/>
        </w:rPr>
        <w:t>实现了经济效益、社会效益和生态效益的三丰收。</w:t>
      </w:r>
      <w:r>
        <w:rPr>
          <w:rFonts w:hint="eastAsia" w:ascii="仿宋" w:hAnsi="仿宋" w:eastAsia="仿宋" w:cs="仿宋"/>
          <w:sz w:val="32"/>
          <w:szCs w:val="32"/>
        </w:rPr>
        <w:t>。发现问题及原因是因财政资金紧张，造成资金下拨存在延迟。下一步改进措施是积极协调财政部门，及时下拨项目资金。</w:t>
      </w:r>
    </w:p>
    <w:p>
      <w:pPr>
        <w:spacing w:line="240" w:lineRule="auto"/>
        <w:ind w:firstLine="640" w:firstLineChars="200"/>
        <w:rPr>
          <w:rFonts w:ascii="仿宋" w:hAnsi="仿宋" w:eastAsia="仿宋" w:cs="仿宋"/>
          <w:sz w:val="32"/>
          <w:szCs w:val="32"/>
        </w:rPr>
      </w:pPr>
      <w:r>
        <w:rPr>
          <w:rFonts w:hint="eastAsia" w:ascii="仿宋" w:hAnsi="仿宋" w:eastAsia="仿宋" w:cs="仿宋"/>
          <w:sz w:val="32"/>
          <w:szCs w:val="32"/>
        </w:rPr>
        <w:t>2、本单位2018年农机购置补贴项目绩效自评：根据年初设定的绩效目标，2018年农机购置补贴项目绩效自评结果为优秀。项目全年预算数为1160万元，执行数为1160万元，完成预算的100%。主要产出和效果是：</w:t>
      </w:r>
    </w:p>
    <w:p>
      <w:pPr>
        <w:spacing w:line="240" w:lineRule="auto"/>
        <w:ind w:firstLine="640" w:firstLineChars="200"/>
        <w:rPr>
          <w:rFonts w:ascii="仿宋" w:hAnsi="仿宋" w:eastAsia="仿宋" w:cs="仿宋"/>
          <w:sz w:val="32"/>
          <w:szCs w:val="32"/>
        </w:rPr>
      </w:pPr>
      <w:r>
        <w:rPr>
          <w:rFonts w:hint="eastAsia" w:ascii="仿宋" w:hAnsi="仿宋" w:eastAsia="仿宋" w:cs="仿宋"/>
          <w:sz w:val="32"/>
          <w:szCs w:val="32"/>
        </w:rPr>
        <w:fldChar w:fldCharType="begin"/>
      </w:r>
      <w:r>
        <w:rPr>
          <w:rFonts w:hint="eastAsia" w:ascii="仿宋" w:hAnsi="仿宋" w:eastAsia="仿宋" w:cs="仿宋"/>
          <w:sz w:val="32"/>
          <w:szCs w:val="32"/>
        </w:rPr>
        <w:instrText xml:space="preserve"> = 1 \* GB3 \* MERGEFORMAT </w:instrText>
      </w:r>
      <w:r>
        <w:rPr>
          <w:rFonts w:hint="eastAsia" w:ascii="仿宋" w:hAnsi="仿宋" w:eastAsia="仿宋" w:cs="仿宋"/>
          <w:sz w:val="32"/>
          <w:szCs w:val="32"/>
        </w:rPr>
        <w:fldChar w:fldCharType="separate"/>
      </w:r>
      <w:r>
        <w:rPr>
          <w:rFonts w:hint="eastAsia" w:ascii="仿宋" w:hAnsi="仿宋" w:eastAsia="仿宋" w:cs="仿宋"/>
          <w:sz w:val="32"/>
          <w:szCs w:val="32"/>
        </w:rPr>
        <w:t>①</w:t>
      </w:r>
      <w:r>
        <w:rPr>
          <w:rFonts w:hint="eastAsia" w:ascii="仿宋" w:hAnsi="仿宋" w:eastAsia="仿宋" w:cs="仿宋"/>
          <w:sz w:val="32"/>
          <w:szCs w:val="32"/>
        </w:rPr>
        <w:fldChar w:fldCharType="end"/>
      </w:r>
      <w:r>
        <w:rPr>
          <w:rFonts w:hint="eastAsia" w:ascii="仿宋" w:hAnsi="仿宋" w:eastAsia="仿宋" w:cs="仿宋"/>
          <w:sz w:val="32"/>
          <w:szCs w:val="32"/>
        </w:rPr>
        <w:t>产出指标：农机购置补贴机具数300台、年度资金使用比例100%。完成情况：完成农机购置补贴机具数509台，年度资金使用比例100%。完成目标任务100%。</w:t>
      </w:r>
    </w:p>
    <w:p>
      <w:pPr>
        <w:spacing w:line="240" w:lineRule="auto"/>
        <w:ind w:firstLine="640" w:firstLineChars="200"/>
        <w:rPr>
          <w:rFonts w:ascii="仿宋" w:hAnsi="仿宋" w:eastAsia="仿宋" w:cs="仿宋"/>
          <w:sz w:val="32"/>
          <w:szCs w:val="32"/>
        </w:rPr>
      </w:pPr>
      <w:r>
        <w:rPr>
          <w:rFonts w:hint="eastAsia" w:ascii="仿宋" w:hAnsi="仿宋" w:eastAsia="仿宋" w:cs="仿宋"/>
          <w:sz w:val="32"/>
          <w:szCs w:val="32"/>
        </w:rPr>
        <w:fldChar w:fldCharType="begin"/>
      </w:r>
      <w:r>
        <w:rPr>
          <w:rFonts w:hint="eastAsia" w:ascii="仿宋" w:hAnsi="仿宋" w:eastAsia="仿宋" w:cs="仿宋"/>
          <w:sz w:val="32"/>
          <w:szCs w:val="32"/>
        </w:rPr>
        <w:instrText xml:space="preserve"> = 2 \* GB3 \* MERGEFORMAT </w:instrText>
      </w:r>
      <w:r>
        <w:rPr>
          <w:rFonts w:hint="eastAsia" w:ascii="仿宋" w:hAnsi="仿宋" w:eastAsia="仿宋" w:cs="仿宋"/>
          <w:sz w:val="32"/>
          <w:szCs w:val="32"/>
        </w:rPr>
        <w:fldChar w:fldCharType="separate"/>
      </w:r>
      <w:r>
        <w:rPr>
          <w:rFonts w:hint="eastAsia" w:ascii="仿宋" w:hAnsi="仿宋" w:eastAsia="仿宋" w:cs="仿宋"/>
          <w:sz w:val="32"/>
          <w:szCs w:val="32"/>
        </w:rPr>
        <w:t>②</w:t>
      </w:r>
      <w:r>
        <w:rPr>
          <w:rFonts w:hint="eastAsia" w:ascii="仿宋" w:hAnsi="仿宋" w:eastAsia="仿宋" w:cs="仿宋"/>
          <w:sz w:val="32"/>
          <w:szCs w:val="32"/>
        </w:rPr>
        <w:fldChar w:fldCharType="end"/>
      </w:r>
      <w:r>
        <w:rPr>
          <w:rFonts w:hint="eastAsia" w:ascii="仿宋" w:hAnsi="仿宋" w:eastAsia="仿宋" w:cs="仿宋"/>
          <w:sz w:val="32"/>
          <w:szCs w:val="32"/>
        </w:rPr>
        <w:t>效益指标：直接受益农户数300户，农作物耕种收综合机械化率95%。完成情况：直接受益农户数335户，农作物耕种收综合机械化率95%。完成目标任务100%。</w:t>
      </w:r>
    </w:p>
    <w:p>
      <w:pPr>
        <w:spacing w:line="240" w:lineRule="auto"/>
        <w:ind w:firstLine="640" w:firstLineChars="200"/>
        <w:rPr>
          <w:rFonts w:ascii="仿宋" w:hAnsi="仿宋" w:eastAsia="仿宋" w:cs="仿宋"/>
          <w:sz w:val="32"/>
          <w:szCs w:val="32"/>
        </w:rPr>
      </w:pPr>
      <w:r>
        <w:rPr>
          <w:rFonts w:hint="eastAsia" w:ascii="仿宋" w:hAnsi="仿宋" w:eastAsia="仿宋" w:cs="仿宋"/>
          <w:sz w:val="32"/>
          <w:szCs w:val="32"/>
        </w:rPr>
        <w:fldChar w:fldCharType="begin"/>
      </w:r>
      <w:r>
        <w:rPr>
          <w:rFonts w:hint="eastAsia" w:ascii="仿宋" w:hAnsi="仿宋" w:eastAsia="仿宋" w:cs="仿宋"/>
          <w:sz w:val="32"/>
          <w:szCs w:val="32"/>
        </w:rPr>
        <w:instrText xml:space="preserve"> = 3 \* GB3 \* MERGEFORMAT </w:instrText>
      </w:r>
      <w:r>
        <w:rPr>
          <w:rFonts w:hint="eastAsia" w:ascii="仿宋" w:hAnsi="仿宋" w:eastAsia="仿宋" w:cs="仿宋"/>
          <w:sz w:val="32"/>
          <w:szCs w:val="32"/>
        </w:rPr>
        <w:fldChar w:fldCharType="separate"/>
      </w:r>
      <w:r>
        <w:rPr>
          <w:rFonts w:hint="eastAsia" w:ascii="仿宋" w:hAnsi="仿宋" w:eastAsia="仿宋" w:cs="仿宋"/>
          <w:sz w:val="32"/>
          <w:szCs w:val="32"/>
        </w:rPr>
        <w:t>③</w:t>
      </w:r>
      <w:r>
        <w:rPr>
          <w:rFonts w:hint="eastAsia" w:ascii="仿宋" w:hAnsi="仿宋" w:eastAsia="仿宋" w:cs="仿宋"/>
          <w:sz w:val="32"/>
          <w:szCs w:val="32"/>
        </w:rPr>
        <w:fldChar w:fldCharType="end"/>
      </w:r>
      <w:r>
        <w:rPr>
          <w:rFonts w:hint="eastAsia" w:ascii="仿宋" w:hAnsi="仿宋" w:eastAsia="仿宋" w:cs="仿宋"/>
          <w:sz w:val="32"/>
          <w:szCs w:val="32"/>
        </w:rPr>
        <w:t>满意度指标：政策公开率100%、年度内资金兑付率100%。</w:t>
      </w:r>
    </w:p>
    <w:p>
      <w:pPr>
        <w:spacing w:line="240" w:lineRule="auto"/>
        <w:rPr>
          <w:rFonts w:ascii="仿宋_GB2312" w:eastAsia="仿宋_GB2312" w:cs="DengXian-Regular"/>
          <w:sz w:val="32"/>
          <w:szCs w:val="32"/>
        </w:rPr>
      </w:pPr>
      <w:r>
        <w:rPr>
          <w:rFonts w:hint="eastAsia" w:ascii="仿宋" w:hAnsi="仿宋" w:eastAsia="仿宋" w:cs="仿宋"/>
          <w:sz w:val="32"/>
          <w:szCs w:val="32"/>
        </w:rPr>
        <w:t>完成情况：政策公开率100%、年度内资金兑付率100%。完成目标任务100%。</w:t>
      </w:r>
    </w:p>
    <w:p>
      <w:pPr>
        <w:adjustRightInd w:val="0"/>
        <w:snapToGrid w:val="0"/>
        <w:spacing w:after="0" w:line="580" w:lineRule="exact"/>
        <w:ind w:firstLine="640" w:firstLineChars="200"/>
        <w:rPr>
          <w:rFonts w:ascii="仿宋" w:hAnsi="仿宋" w:eastAsia="仿宋" w:cs="仿宋"/>
          <w:sz w:val="32"/>
          <w:szCs w:val="32"/>
        </w:rPr>
      </w:pPr>
      <w:r>
        <w:rPr>
          <w:rFonts w:hint="eastAsia" w:ascii="仿宋" w:hAnsi="仿宋" w:eastAsia="仿宋" w:cs="仿宋"/>
          <w:sz w:val="32"/>
          <w:szCs w:val="32"/>
        </w:rPr>
        <w:t>3、本单位2018年地下水超采综合治理-小麦节水品种推广项目绩效自评：根据年初设定的绩效目标，2018年地下水超采综合治理-小麦节水品种推广项目绩效自评结果为良好。项目全年预算数为700万元，执行数为560万元，完成预算的80%。主要产出和效果是无极县2018年小麦节水品种及配套技术推广项目实施面积10万亩，实际落实面积100143.06亩，推过推广造墒播种、播后镇压、适度推迟春一水、浇好孕穗水等关键技术，大力推广春季只浇1-2水，少浇1-2水，实现压采地下水510万立方米。存在问题及原因是因财政资金紧张，造成资金下拨存在延迟。下一步改进措施是积极协调财政部门，及时下拨项目资金。</w:t>
      </w:r>
    </w:p>
    <w:p>
      <w:pPr>
        <w:pStyle w:val="3"/>
        <w:spacing w:before="0" w:after="0" w:line="580" w:lineRule="exact"/>
        <w:ind w:firstLine="640" w:firstLineChars="200"/>
        <w:rPr>
          <w:rFonts w:ascii="黑体" w:eastAsia="黑体" w:cs="Times New Roman"/>
          <w:b w:val="0"/>
          <w:bCs w:val="0"/>
        </w:rPr>
      </w:pPr>
      <w:r>
        <w:rPr>
          <w:rFonts w:hint="eastAsia" w:ascii="黑体" w:eastAsia="黑体" w:cs="Times New Roman"/>
          <w:b w:val="0"/>
          <w:bCs w:val="0"/>
        </w:rPr>
        <w:t>七、其他重要事项的说明</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60" w:lineRule="exact"/>
        <w:ind w:firstLine="640" w:firstLineChars="200"/>
        <w:rPr>
          <w:rFonts w:ascii="仿宋" w:hAnsi="仿宋" w:eastAsia="仿宋" w:cs="仿宋"/>
          <w:sz w:val="32"/>
          <w:szCs w:val="32"/>
        </w:rPr>
      </w:pPr>
      <w:r>
        <w:rPr>
          <w:rFonts w:hint="eastAsia" w:ascii="仿宋" w:hAnsi="仿宋" w:eastAsia="仿宋" w:cs="仿宋"/>
          <w:sz w:val="32"/>
          <w:szCs w:val="32"/>
        </w:rPr>
        <w:t>本部门2018年度机关运行经费支出59.39万元，较年初预算</w:t>
      </w:r>
      <w:r>
        <w:rPr>
          <w:rFonts w:hint="eastAsia" w:ascii="仿宋" w:hAnsi="仿宋" w:eastAsia="仿宋" w:cs="仿宋_GB2312"/>
          <w:sz w:val="32"/>
          <w:szCs w:val="32"/>
        </w:rPr>
        <w:t>增加7.89万元，主要追加了原畜牧局拆迁租赁房屋租金。</w:t>
      </w:r>
      <w:r>
        <w:rPr>
          <w:rFonts w:hint="eastAsia" w:ascii="仿宋" w:hAnsi="仿宋" w:eastAsia="仿宋" w:cs="仿宋"/>
          <w:sz w:val="32"/>
          <w:szCs w:val="32"/>
        </w:rPr>
        <w:t>比2017年度决算减少25.1万元，降低29.7%。主要原因是厉行节约，减少经费支出。</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（二）政府采购情况</w:t>
      </w:r>
    </w:p>
    <w:p>
      <w:pPr>
        <w:adjustRightInd w:val="0"/>
        <w:snapToGrid w:val="0"/>
        <w:spacing w:after="0" w:line="560" w:lineRule="exact"/>
        <w:ind w:firstLine="640" w:firstLineChars="200"/>
        <w:rPr>
          <w:rFonts w:ascii="仿宋" w:hAnsi="仿宋" w:eastAsia="仿宋" w:cs="仿宋"/>
          <w:sz w:val="32"/>
          <w:szCs w:val="32"/>
        </w:rPr>
      </w:pPr>
      <w:r>
        <w:rPr>
          <w:rFonts w:hint="eastAsia" w:ascii="仿宋" w:hAnsi="仿宋" w:eastAsia="仿宋" w:cs="仿宋"/>
          <w:sz w:val="32"/>
          <w:szCs w:val="32"/>
        </w:rPr>
        <w:t>本部门2018年度政府采购支出总额84.9万元，从采购类型来看，政府采购货物支出0万元、政府采购工程支出0万元、政府采购服务支出84.9万元，中标单位为国有事业单位。授予中小企业合同金0万元，占政府采购支出总额的0%，其中授予小微企业合同金额0万元，占政府采购支出总额的0%。</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60" w:lineRule="exact"/>
        <w:ind w:firstLine="640" w:firstLineChars="200"/>
        <w:rPr>
          <w:rFonts w:ascii="仿宋" w:hAnsi="仿宋" w:eastAsia="仿宋" w:cs="仿宋"/>
          <w:sz w:val="32"/>
          <w:szCs w:val="32"/>
        </w:rPr>
      </w:pPr>
      <w:r>
        <w:rPr>
          <w:rFonts w:hint="eastAsia" w:ascii="仿宋" w:hAnsi="仿宋" w:eastAsia="仿宋" w:cs="仿宋"/>
          <w:sz w:val="32"/>
          <w:szCs w:val="32"/>
        </w:rPr>
        <w:t>截至2018年12月31日，本部门共有车辆3辆，与上年无变化。其中，</w:t>
      </w:r>
      <w:r>
        <w:rPr>
          <w:rFonts w:hint="eastAsia" w:ascii="仿宋" w:hAnsi="仿宋" w:eastAsia="仿宋" w:cs="DengXian-Regular"/>
          <w:sz w:val="32"/>
          <w:szCs w:val="32"/>
        </w:rPr>
        <w:t>副部（省）级及以上领导用车</w:t>
      </w:r>
      <w:r>
        <w:rPr>
          <w:rFonts w:ascii="仿宋" w:hAnsi="仿宋" w:eastAsia="仿宋" w:cs="DengXian-Regular"/>
          <w:sz w:val="32"/>
          <w:szCs w:val="32"/>
        </w:rPr>
        <w:t>0</w:t>
      </w:r>
      <w:r>
        <w:rPr>
          <w:rFonts w:hint="eastAsia" w:ascii="仿宋" w:hAnsi="仿宋" w:eastAsia="仿宋" w:cs="DengXian-Regular"/>
          <w:sz w:val="32"/>
          <w:szCs w:val="32"/>
        </w:rPr>
        <w:t>辆，主要领导干部用车辆，机要通信用车</w:t>
      </w:r>
      <w:r>
        <w:rPr>
          <w:rFonts w:ascii="仿宋" w:hAnsi="仿宋" w:eastAsia="仿宋" w:cs="DengXian-Regular"/>
          <w:sz w:val="32"/>
          <w:szCs w:val="32"/>
        </w:rPr>
        <w:t>0</w:t>
      </w:r>
      <w:r>
        <w:rPr>
          <w:rFonts w:hint="eastAsia" w:ascii="仿宋" w:hAnsi="仿宋" w:eastAsia="仿宋" w:cs="DengXian-Regular"/>
          <w:sz w:val="32"/>
          <w:szCs w:val="32"/>
        </w:rPr>
        <w:t>辆，</w:t>
      </w:r>
      <w:r>
        <w:rPr>
          <w:rFonts w:hint="eastAsia" w:ascii="仿宋" w:hAnsi="仿宋" w:eastAsia="仿宋" w:cs="仿宋"/>
          <w:sz w:val="32"/>
          <w:szCs w:val="32"/>
        </w:rPr>
        <w:t>应急通信保障用车1辆，执法执勤用车2辆，</w:t>
      </w:r>
      <w:r>
        <w:rPr>
          <w:rFonts w:hint="eastAsia" w:ascii="仿宋" w:hAnsi="仿宋" w:eastAsia="仿宋" w:cs="DengXian-Regular"/>
          <w:sz w:val="32"/>
          <w:szCs w:val="32"/>
        </w:rPr>
        <w:t>特种专业技术用车</w:t>
      </w:r>
      <w:r>
        <w:rPr>
          <w:rFonts w:ascii="仿宋" w:hAnsi="仿宋" w:eastAsia="仿宋" w:cs="DengXian-Regular"/>
          <w:sz w:val="32"/>
          <w:szCs w:val="32"/>
        </w:rPr>
        <w:t>0</w:t>
      </w:r>
      <w:r>
        <w:rPr>
          <w:rFonts w:hint="eastAsia" w:ascii="仿宋" w:hAnsi="仿宋" w:eastAsia="仿宋" w:cs="DengXian-Regular"/>
          <w:sz w:val="32"/>
          <w:szCs w:val="32"/>
        </w:rPr>
        <w:t>辆，离退休干部用车</w:t>
      </w:r>
      <w:r>
        <w:rPr>
          <w:rFonts w:ascii="仿宋" w:hAnsi="仿宋" w:eastAsia="仿宋" w:cs="DengXian-Regular"/>
          <w:sz w:val="32"/>
          <w:szCs w:val="32"/>
        </w:rPr>
        <w:t>0</w:t>
      </w:r>
      <w:r>
        <w:rPr>
          <w:rFonts w:hint="eastAsia" w:ascii="仿宋" w:hAnsi="仿宋" w:eastAsia="仿宋" w:cs="DengXian-Regular"/>
          <w:sz w:val="32"/>
          <w:szCs w:val="32"/>
        </w:rPr>
        <w:t>辆，其他用车0辆，</w:t>
      </w:r>
    </w:p>
    <w:p>
      <w:pPr>
        <w:adjustRightInd w:val="0"/>
        <w:snapToGrid w:val="0"/>
        <w:spacing w:after="0" w:line="560" w:lineRule="exact"/>
        <w:ind w:firstLine="640" w:firstLineChars="200"/>
        <w:rPr>
          <w:rFonts w:ascii="仿宋" w:hAnsi="仿宋" w:eastAsia="仿宋" w:cs="仿宋"/>
          <w:sz w:val="32"/>
          <w:szCs w:val="32"/>
        </w:rPr>
      </w:pPr>
      <w:r>
        <w:rPr>
          <w:rFonts w:hint="eastAsia" w:ascii="仿宋" w:hAnsi="仿宋" w:eastAsia="仿宋" w:cs="仿宋"/>
          <w:sz w:val="32"/>
          <w:szCs w:val="32"/>
        </w:rPr>
        <w:t>单位价值50万元以上通用设备0台（套），与上年无变化，单位价值100万元以上专用设备0台（套）与上年无变化。</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1、2018年度不存在国有资本经营预算，故国有资本经营预算财政拨款收入支出决算表为空。</w:t>
      </w:r>
    </w:p>
    <w:p>
      <w:pPr>
        <w:numPr>
          <w:ilvl w:val="0"/>
          <w:numId w:val="2"/>
        </w:num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由于决算公开表格中金额数值应当保留两位小数，公开数据为四舍五入计算结果，个别数据合计项与分项之和存在小数点后差额，特此说明。</w:t>
      </w:r>
    </w:p>
    <w:p>
      <w:pPr>
        <w:numPr>
          <w:ilvl w:val="0"/>
          <w:numId w:val="2"/>
        </w:num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由于退休人员已经全部转到社保发放工资，在人员统计中不再对退休人员进行统计，但支出明细表中有退休费，是因为退休人员交通补、取暖费和目标奖仍由原单位列支。</w:t>
      </w:r>
    </w:p>
    <w:p>
      <w:pPr>
        <w:widowControl/>
        <w:spacing w:after="0" w:line="580" w:lineRule="exact"/>
        <w:jc w:val="left"/>
        <w:rPr>
          <w:rFonts w:cs="MS-UIGothic,Bold" w:asciiTheme="majorEastAsia" w:hAnsiTheme="majorEastAsia" w:eastAsiaTheme="majorEastAsia"/>
          <w:b/>
          <w:bCs/>
          <w:kern w:val="0"/>
          <w:sz w:val="44"/>
          <w:szCs w:val="44"/>
        </w:rPr>
        <w:sectPr>
          <w:pgSz w:w="11906" w:h="16838"/>
          <w:pgMar w:top="2098" w:right="1474" w:bottom="1984" w:left="1588" w:header="851" w:footer="992" w:gutter="0"/>
          <w:cols w:space="0" w:num="1"/>
          <w:docGrid w:type="lines" w:linePitch="312" w:charSpace="0"/>
        </w:sect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7456"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2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1"/>
                    </pic:cNvPicPr>
                  </pic:nvPicPr>
                  <pic:blipFill>
                    <a:blip r:embed="rId7"/>
                    <a:stretch>
                      <a:fillRect/>
                    </a:stretch>
                  </pic:blipFill>
                  <pic:spPr>
                    <a:xfrm>
                      <a:off x="0" y="0"/>
                      <a:ext cx="7550150" cy="10680065"/>
                    </a:xfrm>
                    <a:prstGeom prst="rect">
                      <a:avLst/>
                    </a:prstGeom>
                  </pic:spPr>
                </pic:pic>
              </a:graphicData>
            </a:graphic>
          </wp:anchor>
        </w:drawing>
      </w:r>
      <w:r>
        <w:rPr>
          <w:sz w:val="72"/>
        </w:rPr>
        <w:pict>
          <v:shape id="_x0000_s1027" o:spid="_x0000_s1027" o:spt="202" type="#_x0000_t202" style="position:absolute;left:0pt;margin-left:-78.7pt;margin-top:232.8pt;height:159.1pt;width:596.2pt;z-index:251666432;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NlmnozeAAAADQEAAA8AAAAAAAAAAQAgAAAA&#10;IgAAAGRycy9kb3ducmV2LnhtbFBLAQIUABQAAAAIAIdO4kAzTACJPgIAAGkEAAAOAAAAAAAAAAEA&#10;IAAAAC0BAABkcnMvZTJvRG9jLnhtbFBLBQYAAAAABgAGAFkBAADdBQ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第四部分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名词解释</w:t>
                  </w:r>
                </w:p>
              </w:txbxContent>
            </v:textbox>
          </v:shape>
        </w:pict>
      </w:r>
    </w:p>
    <w:p>
      <w:pPr>
        <w:widowControl/>
        <w:spacing w:after="0" w:line="560" w:lineRule="exact"/>
        <w:ind w:firstLine="643" w:firstLineChars="200"/>
        <w:rPr>
          <w:rFonts w:ascii="仿宋" w:hAnsi="仿宋" w:eastAsia="仿宋" w:cs="仿宋"/>
          <w:color w:val="000000"/>
          <w:kern w:val="0"/>
          <w:sz w:val="32"/>
          <w:szCs w:val="32"/>
        </w:rPr>
      </w:pPr>
      <w:r>
        <w:rPr>
          <w:rFonts w:hint="eastAsia" w:ascii="仿宋" w:hAnsi="仿宋" w:eastAsia="仿宋" w:cs="仿宋"/>
          <w:b/>
          <w:bCs/>
          <w:color w:val="000000"/>
          <w:kern w:val="0"/>
          <w:sz w:val="32"/>
          <w:szCs w:val="32"/>
        </w:rPr>
        <w:t>（一）财政拨款收入：</w:t>
      </w:r>
      <w:r>
        <w:rPr>
          <w:rFonts w:hint="eastAsia" w:ascii="仿宋" w:hAnsi="仿宋" w:eastAsia="仿宋" w:cs="仿宋"/>
          <w:color w:val="000000"/>
          <w:kern w:val="0"/>
          <w:sz w:val="32"/>
          <w:szCs w:val="32"/>
        </w:rPr>
        <w:t>本年度从本级财政部门取得的财政拨款，包括一般公共预算财政拨款和政府性基金预算财政拨款。</w:t>
      </w:r>
    </w:p>
    <w:p>
      <w:pPr>
        <w:widowControl/>
        <w:spacing w:after="0" w:line="560" w:lineRule="exact"/>
        <w:ind w:firstLine="643" w:firstLineChars="200"/>
        <w:rPr>
          <w:rFonts w:ascii="仿宋" w:hAnsi="仿宋" w:eastAsia="仿宋" w:cs="仿宋"/>
          <w:color w:val="000000"/>
          <w:kern w:val="0"/>
          <w:sz w:val="32"/>
          <w:szCs w:val="32"/>
        </w:rPr>
      </w:pPr>
      <w:r>
        <w:rPr>
          <w:rFonts w:hint="eastAsia" w:ascii="仿宋" w:hAnsi="仿宋" w:eastAsia="仿宋" w:cs="仿宋"/>
          <w:b/>
          <w:bCs/>
          <w:color w:val="000000"/>
          <w:kern w:val="0"/>
          <w:sz w:val="32"/>
          <w:szCs w:val="32"/>
        </w:rPr>
        <w:t>（二）事业收入：</w:t>
      </w:r>
      <w:r>
        <w:rPr>
          <w:rFonts w:hint="eastAsia" w:ascii="仿宋" w:hAnsi="仿宋" w:eastAsia="仿宋" w:cs="仿宋"/>
          <w:color w:val="000000"/>
          <w:kern w:val="0"/>
          <w:sz w:val="32"/>
          <w:szCs w:val="32"/>
        </w:rPr>
        <w:t>指事业单位开展专业业务活动及辅助活动所取得的收入。</w:t>
      </w:r>
    </w:p>
    <w:p>
      <w:pPr>
        <w:widowControl/>
        <w:spacing w:after="0" w:line="560" w:lineRule="exact"/>
        <w:ind w:firstLine="643" w:firstLineChars="200"/>
        <w:rPr>
          <w:rFonts w:ascii="仿宋" w:hAnsi="仿宋" w:eastAsia="仿宋" w:cs="仿宋"/>
          <w:color w:val="000000"/>
          <w:kern w:val="0"/>
          <w:sz w:val="32"/>
          <w:szCs w:val="32"/>
        </w:rPr>
      </w:pPr>
      <w:r>
        <w:rPr>
          <w:rFonts w:hint="eastAsia" w:ascii="仿宋" w:hAnsi="仿宋" w:eastAsia="仿宋" w:cs="仿宋"/>
          <w:b/>
          <w:bCs/>
          <w:color w:val="000000"/>
          <w:kern w:val="0"/>
          <w:sz w:val="32"/>
          <w:szCs w:val="32"/>
        </w:rPr>
        <w:t>（三）其他收入：</w:t>
      </w:r>
      <w:r>
        <w:rPr>
          <w:rFonts w:hint="eastAsia" w:ascii="仿宋" w:hAnsi="仿宋" w:eastAsia="仿宋" w:cs="仿宋"/>
          <w:color w:val="000000"/>
          <w:kern w:val="0"/>
          <w:sz w:val="32"/>
          <w:szCs w:val="32"/>
        </w:rPr>
        <w:t>指除上述“财政拨款收入”“事业收入”“经营收入”等以外的收入。</w:t>
      </w:r>
    </w:p>
    <w:p>
      <w:pPr>
        <w:widowControl/>
        <w:spacing w:after="0" w:line="560" w:lineRule="exact"/>
        <w:ind w:firstLine="643" w:firstLineChars="200"/>
        <w:rPr>
          <w:rFonts w:ascii="仿宋" w:hAnsi="仿宋" w:eastAsia="仿宋" w:cs="仿宋"/>
          <w:color w:val="000000"/>
          <w:kern w:val="0"/>
          <w:sz w:val="32"/>
          <w:szCs w:val="32"/>
        </w:rPr>
      </w:pPr>
      <w:r>
        <w:rPr>
          <w:rFonts w:hint="eastAsia" w:ascii="仿宋" w:hAnsi="仿宋" w:eastAsia="仿宋" w:cs="仿宋"/>
          <w:b/>
          <w:bCs/>
          <w:color w:val="000000"/>
          <w:kern w:val="0"/>
          <w:sz w:val="32"/>
          <w:szCs w:val="32"/>
        </w:rPr>
        <w:t>（四）用事业基金弥补收支差额：</w:t>
      </w:r>
      <w:r>
        <w:rPr>
          <w:rFonts w:hint="eastAsia" w:ascii="仿宋" w:hAnsi="仿宋" w:eastAsia="仿宋" w:cs="仿宋"/>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3" w:firstLineChars="200"/>
        <w:rPr>
          <w:rFonts w:ascii="仿宋" w:hAnsi="仿宋" w:eastAsia="仿宋" w:cs="仿宋"/>
          <w:color w:val="000000"/>
          <w:kern w:val="0"/>
          <w:sz w:val="32"/>
          <w:szCs w:val="32"/>
        </w:rPr>
      </w:pPr>
      <w:r>
        <w:rPr>
          <w:rFonts w:hint="eastAsia" w:ascii="仿宋" w:hAnsi="仿宋" w:eastAsia="仿宋" w:cs="仿宋"/>
          <w:b/>
          <w:bCs/>
          <w:color w:val="000000"/>
          <w:kern w:val="0"/>
          <w:sz w:val="32"/>
          <w:szCs w:val="32"/>
        </w:rPr>
        <w:t>（五）年初结转和结余：</w:t>
      </w:r>
      <w:r>
        <w:rPr>
          <w:rFonts w:hint="eastAsia" w:ascii="仿宋" w:hAnsi="仿宋" w:eastAsia="仿宋" w:cs="仿宋"/>
          <w:color w:val="000000"/>
          <w:kern w:val="0"/>
          <w:sz w:val="32"/>
          <w:szCs w:val="32"/>
        </w:rPr>
        <w:t>指以前年度尚未完成、结转到本年仍按原规定用途继续使用的资金，或项目已完成等产生的结余资金。</w:t>
      </w:r>
    </w:p>
    <w:p>
      <w:pPr>
        <w:widowControl/>
        <w:spacing w:after="0" w:line="560" w:lineRule="exact"/>
        <w:ind w:firstLine="643" w:firstLineChars="200"/>
        <w:rPr>
          <w:rFonts w:ascii="仿宋" w:hAnsi="仿宋" w:eastAsia="仿宋" w:cs="仿宋"/>
          <w:color w:val="000000"/>
          <w:kern w:val="0"/>
          <w:sz w:val="32"/>
          <w:szCs w:val="32"/>
        </w:rPr>
      </w:pPr>
      <w:r>
        <w:rPr>
          <w:rFonts w:hint="eastAsia" w:ascii="仿宋" w:hAnsi="仿宋" w:eastAsia="仿宋" w:cs="仿宋"/>
          <w:b/>
          <w:bCs/>
          <w:color w:val="000000"/>
          <w:kern w:val="0"/>
          <w:sz w:val="32"/>
          <w:szCs w:val="32"/>
        </w:rPr>
        <w:t>（六）结余分配：</w:t>
      </w:r>
      <w:r>
        <w:rPr>
          <w:rFonts w:hint="eastAsia" w:ascii="仿宋" w:hAnsi="仿宋" w:eastAsia="仿宋" w:cs="仿宋"/>
          <w:color w:val="000000"/>
          <w:kern w:val="0"/>
          <w:sz w:val="32"/>
          <w:szCs w:val="32"/>
        </w:rPr>
        <w:t>指事业单位按照事业单位会计制度的规定从非财政补助结余中分配的事业基金和职工福利基金等。</w:t>
      </w:r>
    </w:p>
    <w:p>
      <w:pPr>
        <w:widowControl/>
        <w:spacing w:after="0" w:line="560" w:lineRule="exact"/>
        <w:ind w:firstLine="643" w:firstLineChars="200"/>
        <w:rPr>
          <w:rFonts w:ascii="仿宋" w:hAnsi="仿宋" w:eastAsia="仿宋" w:cs="仿宋"/>
          <w:color w:val="000000"/>
          <w:kern w:val="0"/>
          <w:sz w:val="32"/>
          <w:szCs w:val="32"/>
        </w:rPr>
      </w:pPr>
      <w:r>
        <w:rPr>
          <w:rFonts w:hint="eastAsia" w:ascii="仿宋" w:hAnsi="仿宋" w:eastAsia="仿宋" w:cs="仿宋"/>
          <w:b/>
          <w:bCs/>
          <w:color w:val="000000"/>
          <w:kern w:val="0"/>
          <w:sz w:val="32"/>
          <w:szCs w:val="32"/>
        </w:rPr>
        <w:t>（七）年末结转和结余：</w:t>
      </w:r>
      <w:r>
        <w:rPr>
          <w:rFonts w:hint="eastAsia" w:ascii="仿宋" w:hAnsi="仿宋" w:eastAsia="仿宋" w:cs="仿宋"/>
          <w:color w:val="000000"/>
          <w:kern w:val="0"/>
          <w:sz w:val="32"/>
          <w:szCs w:val="32"/>
        </w:rPr>
        <w:t>指单位按有关规定结转到下年或以后年度继续使用的资金，或项目已完成等产生的结余资金。</w:t>
      </w:r>
    </w:p>
    <w:p>
      <w:pPr>
        <w:widowControl/>
        <w:spacing w:after="0" w:line="560" w:lineRule="exact"/>
        <w:ind w:firstLine="643" w:firstLineChars="200"/>
        <w:rPr>
          <w:rFonts w:ascii="仿宋" w:hAnsi="仿宋" w:eastAsia="仿宋" w:cs="仿宋"/>
          <w:color w:val="000000"/>
          <w:kern w:val="0"/>
          <w:sz w:val="32"/>
          <w:szCs w:val="32"/>
        </w:rPr>
      </w:pPr>
      <w:r>
        <w:rPr>
          <w:rFonts w:hint="eastAsia" w:ascii="仿宋" w:hAnsi="仿宋" w:eastAsia="仿宋" w:cs="仿宋"/>
          <w:b/>
          <w:bCs/>
          <w:color w:val="000000"/>
          <w:kern w:val="0"/>
          <w:sz w:val="32"/>
          <w:szCs w:val="32"/>
        </w:rPr>
        <w:t>（八）基本支出：</w:t>
      </w:r>
      <w:r>
        <w:rPr>
          <w:rFonts w:hint="eastAsia" w:ascii="仿宋" w:hAnsi="仿宋" w:eastAsia="仿宋" w:cs="仿宋"/>
          <w:color w:val="000000"/>
          <w:kern w:val="0"/>
          <w:sz w:val="32"/>
          <w:szCs w:val="32"/>
        </w:rPr>
        <w:t>填列单位为保障机构正常运转、完成日常工作任务而发生的各项支出。</w:t>
      </w:r>
    </w:p>
    <w:p>
      <w:pPr>
        <w:widowControl/>
        <w:spacing w:after="0" w:line="560" w:lineRule="exact"/>
        <w:ind w:firstLine="643" w:firstLineChars="200"/>
        <w:rPr>
          <w:rFonts w:ascii="仿宋" w:hAnsi="仿宋" w:eastAsia="仿宋" w:cs="仿宋"/>
          <w:color w:val="000000"/>
          <w:kern w:val="0"/>
          <w:sz w:val="32"/>
          <w:szCs w:val="32"/>
        </w:rPr>
      </w:pPr>
      <w:r>
        <w:rPr>
          <w:rFonts w:hint="eastAsia" w:ascii="仿宋" w:hAnsi="仿宋" w:eastAsia="仿宋" w:cs="仿宋"/>
          <w:b/>
          <w:bCs/>
          <w:color w:val="000000"/>
          <w:kern w:val="0"/>
          <w:sz w:val="32"/>
          <w:szCs w:val="32"/>
        </w:rPr>
        <w:t>（九）项目支出：</w:t>
      </w:r>
      <w:r>
        <w:rPr>
          <w:rFonts w:hint="eastAsia" w:ascii="仿宋" w:hAnsi="仿宋" w:eastAsia="仿宋" w:cs="仿宋"/>
          <w:color w:val="000000"/>
          <w:kern w:val="0"/>
          <w:sz w:val="32"/>
          <w:szCs w:val="32"/>
        </w:rPr>
        <w:t>填列单位为完成特定的行政工作任务或事业发展目标，在基本支出之外发生的各项支出</w:t>
      </w:r>
    </w:p>
    <w:p>
      <w:pPr>
        <w:widowControl/>
        <w:spacing w:after="0" w:line="560" w:lineRule="exact"/>
        <w:ind w:firstLine="643" w:firstLineChars="200"/>
        <w:rPr>
          <w:rFonts w:ascii="仿宋" w:hAnsi="仿宋" w:eastAsia="仿宋" w:cs="仿宋"/>
          <w:color w:val="000000"/>
          <w:kern w:val="0"/>
          <w:sz w:val="32"/>
          <w:szCs w:val="32"/>
        </w:rPr>
      </w:pPr>
      <w:r>
        <w:rPr>
          <w:rFonts w:hint="eastAsia" w:ascii="仿宋" w:hAnsi="仿宋" w:eastAsia="仿宋" w:cs="仿宋"/>
          <w:b/>
          <w:bCs/>
          <w:color w:val="000000"/>
          <w:kern w:val="0"/>
          <w:sz w:val="32"/>
          <w:szCs w:val="32"/>
        </w:rPr>
        <w:t>（十）资本性支出（基本建设）：</w:t>
      </w:r>
      <w:r>
        <w:rPr>
          <w:rFonts w:hint="eastAsia" w:ascii="仿宋" w:hAnsi="仿宋" w:eastAsia="仿宋" w:cs="仿宋"/>
          <w:color w:val="000000"/>
          <w:kern w:val="0"/>
          <w:sz w:val="32"/>
          <w:szCs w:val="32"/>
        </w:rPr>
        <w:t>填列切块由发展改革部门安排的基本建设支出，对企业补助支出不在此科目反映。</w:t>
      </w:r>
    </w:p>
    <w:p>
      <w:pPr>
        <w:widowControl/>
        <w:spacing w:after="0" w:line="560" w:lineRule="exact"/>
        <w:ind w:firstLine="643" w:firstLineChars="200"/>
        <w:rPr>
          <w:rFonts w:ascii="仿宋" w:hAnsi="仿宋" w:eastAsia="仿宋" w:cs="仿宋"/>
          <w:color w:val="000000"/>
          <w:kern w:val="0"/>
          <w:sz w:val="32"/>
          <w:szCs w:val="32"/>
        </w:rPr>
      </w:pPr>
      <w:r>
        <w:rPr>
          <w:rFonts w:hint="eastAsia" w:ascii="仿宋" w:hAnsi="仿宋" w:eastAsia="仿宋" w:cs="仿宋"/>
          <w:b/>
          <w:bCs/>
          <w:color w:val="000000"/>
          <w:kern w:val="0"/>
          <w:sz w:val="32"/>
          <w:szCs w:val="32"/>
        </w:rPr>
        <w:t>（十一）资本性支出：</w:t>
      </w:r>
      <w:r>
        <w:rPr>
          <w:rFonts w:hint="eastAsia" w:ascii="仿宋" w:hAnsi="仿宋" w:eastAsia="仿宋" w:cs="仿宋"/>
          <w:color w:val="000000"/>
          <w:kern w:val="0"/>
          <w:sz w:val="32"/>
          <w:szCs w:val="32"/>
        </w:rPr>
        <w:t>填列各单位安排的资本性支出。切块由发展改革部门安排的基本建设支出不在此科目反映。</w:t>
      </w:r>
    </w:p>
    <w:p>
      <w:pPr>
        <w:widowControl/>
        <w:spacing w:after="0" w:line="560" w:lineRule="exact"/>
        <w:ind w:firstLine="643" w:firstLineChars="200"/>
        <w:rPr>
          <w:rFonts w:ascii="仿宋" w:hAnsi="仿宋" w:eastAsia="仿宋" w:cs="仿宋"/>
          <w:color w:val="000000"/>
          <w:kern w:val="0"/>
          <w:sz w:val="32"/>
          <w:szCs w:val="32"/>
        </w:rPr>
      </w:pPr>
      <w:r>
        <w:rPr>
          <w:rFonts w:hint="eastAsia" w:ascii="仿宋" w:hAnsi="仿宋" w:eastAsia="仿宋" w:cs="仿宋"/>
          <w:b/>
          <w:bCs/>
          <w:color w:val="000000"/>
          <w:kern w:val="0"/>
          <w:sz w:val="32"/>
          <w:szCs w:val="32"/>
        </w:rPr>
        <w:t>（十二）“三公”经费：</w:t>
      </w:r>
      <w:r>
        <w:rPr>
          <w:rFonts w:hint="eastAsia" w:ascii="仿宋" w:hAnsi="仿宋" w:eastAsia="仿宋" w:cs="仿宋"/>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spacing w:after="0" w:line="560" w:lineRule="exact"/>
        <w:ind w:firstLine="643" w:firstLineChars="200"/>
        <w:rPr>
          <w:rFonts w:ascii="仿宋" w:hAnsi="仿宋" w:eastAsia="仿宋" w:cs="仿宋"/>
          <w:color w:val="000000"/>
          <w:kern w:val="0"/>
          <w:sz w:val="32"/>
          <w:szCs w:val="32"/>
        </w:rPr>
      </w:pPr>
      <w:r>
        <w:rPr>
          <w:rFonts w:hint="eastAsia" w:ascii="仿宋" w:hAnsi="仿宋" w:eastAsia="仿宋" w:cs="仿宋"/>
          <w:b/>
          <w:bCs/>
          <w:color w:val="000000"/>
          <w:kern w:val="0"/>
          <w:sz w:val="32"/>
          <w:szCs w:val="32"/>
        </w:rPr>
        <w:t>（十三）其他交通费用：</w:t>
      </w:r>
      <w:r>
        <w:rPr>
          <w:rFonts w:hint="eastAsia" w:ascii="仿宋" w:hAnsi="仿宋" w:eastAsia="仿宋" w:cs="仿宋"/>
          <w:color w:val="000000"/>
          <w:kern w:val="0"/>
          <w:sz w:val="32"/>
          <w:szCs w:val="32"/>
        </w:rPr>
        <w:t>填列单位除公务用车运行维护费以外的其他交通费用。如公务交通补贴、租车费用、出租车费用、飞机、船舶等的燃料费、维修费、保险费等。</w:t>
      </w:r>
    </w:p>
    <w:p>
      <w:pPr>
        <w:widowControl/>
        <w:spacing w:after="0" w:line="560" w:lineRule="exact"/>
        <w:ind w:firstLine="643" w:firstLineChars="200"/>
        <w:rPr>
          <w:rFonts w:ascii="仿宋" w:hAnsi="仿宋" w:eastAsia="仿宋" w:cs="仿宋"/>
          <w:color w:val="000000"/>
          <w:kern w:val="0"/>
          <w:sz w:val="32"/>
          <w:szCs w:val="32"/>
        </w:rPr>
      </w:pPr>
      <w:r>
        <w:rPr>
          <w:rFonts w:hint="eastAsia" w:ascii="仿宋" w:hAnsi="仿宋" w:eastAsia="仿宋" w:cs="仿宋"/>
          <w:b/>
          <w:bCs/>
          <w:color w:val="000000"/>
          <w:kern w:val="0"/>
          <w:sz w:val="32"/>
          <w:szCs w:val="32"/>
        </w:rPr>
        <w:t>（十四）公务用车购置：</w:t>
      </w:r>
      <w:r>
        <w:rPr>
          <w:rFonts w:hint="eastAsia" w:ascii="仿宋" w:hAnsi="仿宋" w:eastAsia="仿宋" w:cs="仿宋"/>
          <w:color w:val="000000"/>
          <w:kern w:val="0"/>
          <w:sz w:val="32"/>
          <w:szCs w:val="32"/>
        </w:rPr>
        <w:t>填列单位公务用车购置支出（含车辆购置税、牌照费）。</w:t>
      </w:r>
    </w:p>
    <w:p>
      <w:pPr>
        <w:widowControl/>
        <w:spacing w:after="0" w:line="560" w:lineRule="exact"/>
        <w:ind w:firstLine="643" w:firstLineChars="200"/>
        <w:rPr>
          <w:rFonts w:ascii="仿宋" w:hAnsi="仿宋" w:eastAsia="仿宋" w:cs="仿宋"/>
          <w:color w:val="000000"/>
          <w:kern w:val="0"/>
          <w:sz w:val="32"/>
          <w:szCs w:val="32"/>
        </w:rPr>
      </w:pPr>
      <w:r>
        <w:rPr>
          <w:rFonts w:hint="eastAsia" w:ascii="仿宋" w:hAnsi="仿宋" w:eastAsia="仿宋" w:cs="仿宋"/>
          <w:b/>
          <w:bCs/>
          <w:color w:val="000000"/>
          <w:kern w:val="0"/>
          <w:sz w:val="32"/>
          <w:szCs w:val="32"/>
        </w:rPr>
        <w:t>（十五）其他交通工具购置：</w:t>
      </w:r>
      <w:r>
        <w:rPr>
          <w:rFonts w:hint="eastAsia" w:ascii="仿宋" w:hAnsi="仿宋" w:eastAsia="仿宋" w:cs="仿宋"/>
          <w:color w:val="000000"/>
          <w:kern w:val="0"/>
          <w:sz w:val="32"/>
          <w:szCs w:val="32"/>
        </w:rPr>
        <w:t>填列单位除公务用车外的其他各类交通工具（如船舶、飞机）购置支出（含车辆购置税、牌照费）。</w:t>
      </w:r>
    </w:p>
    <w:p>
      <w:pPr>
        <w:widowControl/>
        <w:spacing w:after="0" w:line="560" w:lineRule="exact"/>
        <w:ind w:firstLine="643" w:firstLineChars="200"/>
        <w:rPr>
          <w:rFonts w:ascii="仿宋" w:hAnsi="仿宋" w:eastAsia="仿宋" w:cs="仿宋"/>
          <w:color w:val="000000"/>
          <w:kern w:val="0"/>
          <w:sz w:val="32"/>
          <w:szCs w:val="32"/>
        </w:rPr>
      </w:pPr>
      <w:r>
        <w:rPr>
          <w:rFonts w:hint="eastAsia" w:ascii="仿宋" w:hAnsi="仿宋" w:eastAsia="仿宋" w:cs="仿宋"/>
          <w:b/>
          <w:bCs/>
          <w:color w:val="000000"/>
          <w:kern w:val="0"/>
          <w:sz w:val="32"/>
          <w:szCs w:val="32"/>
        </w:rPr>
        <w:t>（十六）机关运行经费：</w:t>
      </w:r>
      <w:r>
        <w:rPr>
          <w:rFonts w:hint="eastAsia" w:ascii="仿宋" w:hAnsi="仿宋" w:eastAsia="仿宋" w:cs="仿宋"/>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560" w:lineRule="exact"/>
        <w:ind w:firstLine="643" w:firstLineChars="200"/>
        <w:rPr>
          <w:rFonts w:ascii="仿宋" w:hAnsi="仿宋" w:eastAsia="仿宋" w:cs="仿宋"/>
          <w:kern w:val="0"/>
          <w:sz w:val="32"/>
          <w:szCs w:val="32"/>
        </w:rPr>
        <w:sectPr>
          <w:pgSz w:w="11906" w:h="16838"/>
          <w:pgMar w:top="2098" w:right="1474" w:bottom="1985" w:left="1588" w:header="851" w:footer="992" w:gutter="0"/>
          <w:cols w:space="425" w:num="1"/>
          <w:docGrid w:type="lines" w:linePitch="312" w:charSpace="0"/>
        </w:sectPr>
      </w:pPr>
      <w:r>
        <w:rPr>
          <w:rFonts w:hint="eastAsia" w:ascii="仿宋" w:hAnsi="仿宋" w:eastAsia="仿宋" w:cs="仿宋"/>
          <w:b/>
          <w:bCs/>
          <w:color w:val="000000"/>
          <w:kern w:val="0"/>
          <w:sz w:val="32"/>
          <w:szCs w:val="32"/>
        </w:rPr>
        <w:t>（十七）经费形式:</w:t>
      </w:r>
      <w:r>
        <w:rPr>
          <w:rFonts w:hint="eastAsia" w:ascii="仿宋" w:hAnsi="仿宋" w:eastAsia="仿宋" w:cs="仿宋"/>
          <w:color w:val="000000"/>
          <w:kern w:val="0"/>
          <w:sz w:val="32"/>
          <w:szCs w:val="32"/>
        </w:rPr>
        <w:t>按照经费来源，</w:t>
      </w:r>
      <w:r>
        <w:rPr>
          <w:rFonts w:hint="eastAsia" w:ascii="仿宋" w:hAnsi="仿宋" w:eastAsia="仿宋" w:cs="仿宋"/>
          <w:kern w:val="0"/>
          <w:sz w:val="32"/>
          <w:szCs w:val="32"/>
        </w:rPr>
        <w:t>可分为财政拨款、财政性资金基本保证、财政性资金定额或定项补助、财政性资金零补助四类。</w:t>
      </w:r>
    </w:p>
    <w:p>
      <w:pPr>
        <w:widowControl/>
        <w:spacing w:after="0" w:line="560" w:lineRule="exact"/>
        <w:ind w:firstLine="640" w:firstLineChars="200"/>
        <w:rPr>
          <w:rFonts w:ascii="仿宋_GB2312" w:eastAsia="仿宋_GB2312" w:cs="ArialUnicodeMS" w:hAnsiTheme="minorHAnsi"/>
          <w:kern w:val="0"/>
          <w:sz w:val="32"/>
          <w:szCs w:val="32"/>
        </w:rPr>
      </w:pPr>
      <w:r>
        <w:rPr>
          <w:rFonts w:ascii="仿宋_GB2312" w:eastAsia="仿宋_GB2312" w:cs="ArialUnicodeMS" w:hAnsiTheme="minorHAnsi"/>
          <w:kern w:val="0"/>
          <w:sz w:val="32"/>
          <w:szCs w:val="32"/>
        </w:rPr>
        <w:drawing>
          <wp:anchor distT="0" distB="0" distL="114300" distR="114300" simplePos="0" relativeHeight="251668480" behindDoc="1" locked="0" layoutInCell="1" allowOverlap="1">
            <wp:simplePos x="0" y="0"/>
            <wp:positionH relativeFrom="column">
              <wp:posOffset>-990600</wp:posOffset>
            </wp:positionH>
            <wp:positionV relativeFrom="paragraph">
              <wp:posOffset>-1355090</wp:posOffset>
            </wp:positionV>
            <wp:extent cx="7590155" cy="10735945"/>
            <wp:effectExtent l="0" t="0" r="10795" b="8255"/>
            <wp:wrapNone/>
            <wp:docPr id="101"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3"/>
                    <pic:cNvPicPr>
                      <a:picLocks noChangeAspect="1"/>
                    </pic:cNvPicPr>
                  </pic:nvPicPr>
                  <pic:blipFill>
                    <a:blip r:embed="rId15"/>
                    <a:stretch>
                      <a:fillRect/>
                    </a:stretch>
                  </pic:blipFill>
                  <pic:spPr>
                    <a:xfrm>
                      <a:off x="0" y="0"/>
                      <a:ext cx="7590155" cy="10735945"/>
                    </a:xfrm>
                    <a:prstGeom prst="rect">
                      <a:avLst/>
                    </a:prstGeom>
                  </pic:spPr>
                </pic:pic>
              </a:graphicData>
            </a:graphic>
          </wp:anchor>
        </w:drawing>
      </w:r>
    </w:p>
    <w:sectPr>
      <w:pgSz w:w="11906" w:h="16838"/>
      <w:pgMar w:top="2098" w:right="1474" w:bottom="1985" w:left="1588"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5432E053-8C1C-4A14-8CBE-CAEDF28C5FFD}"/>
  </w:font>
  <w:font w:name="黑体">
    <w:panose1 w:val="02010609060101010101"/>
    <w:charset w:val="86"/>
    <w:family w:val="auto"/>
    <w:pitch w:val="default"/>
    <w:sig w:usb0="800002BF" w:usb1="38CF7CFA" w:usb2="00000016" w:usb3="00000000" w:csb0="00040001" w:csb1="00000000"/>
    <w:embedRegular r:id="rId2" w:fontKey="{5CBECB7D-64C1-4590-AD54-7293F2353B08}"/>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embedRegular r:id="rId3" w:fontKey="{DA0D1054-F605-48C4-AB4C-80E751DD68B6}"/>
  </w:font>
  <w:font w:name="楷体">
    <w:panose1 w:val="02010609060101010101"/>
    <w:charset w:val="86"/>
    <w:family w:val="modern"/>
    <w:pitch w:val="default"/>
    <w:sig w:usb0="800002BF" w:usb1="38CF7CFA" w:usb2="00000016" w:usb3="00000000" w:csb0="00040001" w:csb1="00000000"/>
    <w:embedRegular r:id="rId4" w:fontKey="{CAD55414-0C57-47B9-8056-BE34376CE687}"/>
  </w:font>
  <w:font w:name="楷体_GB2312">
    <w:panose1 w:val="02010609030101010101"/>
    <w:charset w:val="86"/>
    <w:family w:val="modern"/>
    <w:pitch w:val="default"/>
    <w:sig w:usb0="00000001" w:usb1="080E0000" w:usb2="00000000" w:usb3="00000000" w:csb0="00040000" w:csb1="00000000"/>
    <w:embedRegular r:id="rId5" w:fontKey="{22D66056-9761-4BF5-A087-60628769853D}"/>
  </w:font>
  <w:font w:name="仿宋_GB2312">
    <w:panose1 w:val="02010609030101010101"/>
    <w:charset w:val="86"/>
    <w:family w:val="modern"/>
    <w:pitch w:val="default"/>
    <w:sig w:usb0="00000001" w:usb1="080E0000" w:usb2="00000000" w:usb3="00000000" w:csb0="00040000" w:csb1="00000000"/>
    <w:embedRegular r:id="rId6" w:fontKey="{8BC712CB-EC79-43FD-ABE8-2C7E9D269BD4}"/>
  </w:font>
  <w:font w:name="仿宋">
    <w:panose1 w:val="02010609060101010101"/>
    <w:charset w:val="86"/>
    <w:family w:val="modern"/>
    <w:pitch w:val="default"/>
    <w:sig w:usb0="800002BF" w:usb1="38CF7CFA" w:usb2="00000016" w:usb3="00000000" w:csb0="00040001" w:csb1="00000000"/>
    <w:embedRegular r:id="rId7" w:fontKey="{CB6BBBD1-DF21-416F-B730-262F2B426283}"/>
  </w:font>
  <w:font w:name="ArialUnicodeMS">
    <w:altName w:val="Malgun Gothic"/>
    <w:panose1 w:val="00000000000000000000"/>
    <w:charset w:val="81"/>
    <w:family w:val="auto"/>
    <w:pitch w:val="default"/>
    <w:sig w:usb0="00000000" w:usb1="00000000" w:usb2="00000010" w:usb3="00000000" w:csb0="00080001" w:csb1="00000000"/>
    <w:embedRegular r:id="rId8" w:fontKey="{AC0D80C6-79F8-431B-8039-5E034654F5B1}"/>
  </w:font>
  <w:font w:name="Malgun Gothic">
    <w:panose1 w:val="020B0503020000020004"/>
    <w:charset w:val="81"/>
    <w:family w:val="auto"/>
    <w:pitch w:val="default"/>
    <w:sig w:usb0="9000002F" w:usb1="29D77CFB" w:usb2="00000012" w:usb3="00000000" w:csb0="00080001" w:csb1="00000000"/>
  </w:font>
  <w:font w:name="MS-UIGothic,Bold">
    <w:altName w:val="Malgun Gothic"/>
    <w:panose1 w:val="00000000000000000000"/>
    <w:charset w:val="81"/>
    <w:family w:val="auto"/>
    <w:pitch w:val="default"/>
    <w:sig w:usb0="00000000" w:usb1="00000000" w:usb2="00000010" w:usb3="00000000" w:csb0="00080000" w:csb1="00000000"/>
    <w:embedRegular r:id="rId9" w:fontKey="{100629CB-F9D6-4F93-BEA4-312542FBD8F2}"/>
  </w:font>
  <w:font w:name="DengXian-Regular">
    <w:altName w:val="宋体"/>
    <w:panose1 w:val="00000000000000000000"/>
    <w:charset w:val="86"/>
    <w:family w:val="auto"/>
    <w:pitch w:val="default"/>
    <w:sig w:usb0="00000000" w:usb1="00000000" w:usb2="00000010" w:usb3="00000000" w:csb0="00040001" w:csb1="00000000"/>
    <w:embedRegular r:id="rId10" w:fontKey="{D9D8A969-029E-4C92-B350-393203F92457}"/>
  </w:font>
  <w:font w:name="DengXian-Bold">
    <w:altName w:val="宋体"/>
    <w:panose1 w:val="00000000000000000000"/>
    <w:charset w:val="86"/>
    <w:family w:val="auto"/>
    <w:pitch w:val="default"/>
    <w:sig w:usb0="00000000" w:usb1="00000000" w:usb2="00000010" w:usb3="00000000" w:csb0="00040001" w:csb1="00000000"/>
    <w:embedRegular r:id="rId11" w:fontKey="{D77C82A6-BC67-4BC7-BD50-DAA6EC3820CF}"/>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480" w:lineRule="auto"/>
      </w:pPr>
      <w:r>
        <w:separator/>
      </w:r>
    </w:p>
  </w:footnote>
  <w:footnote w:type="continuationSeparator" w:id="1">
    <w:p>
      <w:pPr>
        <w:spacing w:before="0" w:after="0" w:line="48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017EC81"/>
    <w:multiLevelType w:val="singleLevel"/>
    <w:tmpl w:val="A017EC81"/>
    <w:lvl w:ilvl="0" w:tentative="0">
      <w:start w:val="2"/>
      <w:numFmt w:val="decimal"/>
      <w:suff w:val="nothing"/>
      <w:lvlText w:val="%1、"/>
      <w:lvlJc w:val="left"/>
    </w:lvl>
  </w:abstractNum>
  <w:abstractNum w:abstractNumId="1">
    <w:nsid w:val="45DB9A87"/>
    <w:multiLevelType w:val="singleLevel"/>
    <w:tmpl w:val="45DB9A87"/>
    <w:lvl w:ilvl="0" w:tentative="0">
      <w:start w:val="3"/>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embedTrueTypeFonts/>
  <w:saveSubsetFonts/>
  <w:documentProtection w:enforcement="0"/>
  <w:defaultTabStop w:val="420"/>
  <w:drawingGridHorizontalSpacing w:val="105"/>
  <w:drawingGridVerticalSpacing w:val="156"/>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3C1413"/>
    <w:rsid w:val="00024E7F"/>
    <w:rsid w:val="000475A0"/>
    <w:rsid w:val="000838C3"/>
    <w:rsid w:val="000B2446"/>
    <w:rsid w:val="000D7C65"/>
    <w:rsid w:val="000E2F81"/>
    <w:rsid w:val="00117946"/>
    <w:rsid w:val="00117E2C"/>
    <w:rsid w:val="00146C47"/>
    <w:rsid w:val="00152FB8"/>
    <w:rsid w:val="00156A8F"/>
    <w:rsid w:val="00176658"/>
    <w:rsid w:val="0018239E"/>
    <w:rsid w:val="001B3410"/>
    <w:rsid w:val="001C030D"/>
    <w:rsid w:val="001C4A84"/>
    <w:rsid w:val="001E4C0A"/>
    <w:rsid w:val="001E5902"/>
    <w:rsid w:val="00221B5E"/>
    <w:rsid w:val="00224E91"/>
    <w:rsid w:val="00233705"/>
    <w:rsid w:val="00275CA2"/>
    <w:rsid w:val="002A65A5"/>
    <w:rsid w:val="002C04C4"/>
    <w:rsid w:val="002D08B0"/>
    <w:rsid w:val="002D1AE3"/>
    <w:rsid w:val="002F2ECE"/>
    <w:rsid w:val="00341C8F"/>
    <w:rsid w:val="0035463A"/>
    <w:rsid w:val="00391D9D"/>
    <w:rsid w:val="00391E1D"/>
    <w:rsid w:val="003B6C51"/>
    <w:rsid w:val="003C1413"/>
    <w:rsid w:val="003C549F"/>
    <w:rsid w:val="003D5A16"/>
    <w:rsid w:val="003E7DB3"/>
    <w:rsid w:val="003F7EC9"/>
    <w:rsid w:val="00431175"/>
    <w:rsid w:val="0043535E"/>
    <w:rsid w:val="004B6E37"/>
    <w:rsid w:val="004C32BA"/>
    <w:rsid w:val="00502871"/>
    <w:rsid w:val="00575922"/>
    <w:rsid w:val="005A6C90"/>
    <w:rsid w:val="005E3FB0"/>
    <w:rsid w:val="005F4B66"/>
    <w:rsid w:val="005F5208"/>
    <w:rsid w:val="00607095"/>
    <w:rsid w:val="00641318"/>
    <w:rsid w:val="0064405D"/>
    <w:rsid w:val="00685302"/>
    <w:rsid w:val="00695557"/>
    <w:rsid w:val="006D4EA7"/>
    <w:rsid w:val="0070012A"/>
    <w:rsid w:val="0070664B"/>
    <w:rsid w:val="007071B8"/>
    <w:rsid w:val="007414DE"/>
    <w:rsid w:val="0074209C"/>
    <w:rsid w:val="007905A9"/>
    <w:rsid w:val="007E5500"/>
    <w:rsid w:val="007F055B"/>
    <w:rsid w:val="0080644C"/>
    <w:rsid w:val="00811C2F"/>
    <w:rsid w:val="00833D46"/>
    <w:rsid w:val="00836493"/>
    <w:rsid w:val="00840A97"/>
    <w:rsid w:val="008C0149"/>
    <w:rsid w:val="008C689C"/>
    <w:rsid w:val="008D5DED"/>
    <w:rsid w:val="008E25CA"/>
    <w:rsid w:val="008F34FC"/>
    <w:rsid w:val="00935058"/>
    <w:rsid w:val="00944CD7"/>
    <w:rsid w:val="009831B2"/>
    <w:rsid w:val="009A1ABE"/>
    <w:rsid w:val="009E21A4"/>
    <w:rsid w:val="009F22C6"/>
    <w:rsid w:val="00A07E50"/>
    <w:rsid w:val="00A15397"/>
    <w:rsid w:val="00A35CE0"/>
    <w:rsid w:val="00A4462E"/>
    <w:rsid w:val="00A44AA4"/>
    <w:rsid w:val="00A61623"/>
    <w:rsid w:val="00A84687"/>
    <w:rsid w:val="00AB0A0E"/>
    <w:rsid w:val="00AD3B6E"/>
    <w:rsid w:val="00B1751F"/>
    <w:rsid w:val="00B56722"/>
    <w:rsid w:val="00B70A53"/>
    <w:rsid w:val="00B74D39"/>
    <w:rsid w:val="00B91DA4"/>
    <w:rsid w:val="00C12630"/>
    <w:rsid w:val="00C34562"/>
    <w:rsid w:val="00C3774E"/>
    <w:rsid w:val="00C57456"/>
    <w:rsid w:val="00C65387"/>
    <w:rsid w:val="00C87FAB"/>
    <w:rsid w:val="00C91FF7"/>
    <w:rsid w:val="00C92039"/>
    <w:rsid w:val="00C94E53"/>
    <w:rsid w:val="00D0048E"/>
    <w:rsid w:val="00D23E7A"/>
    <w:rsid w:val="00D61063"/>
    <w:rsid w:val="00D82A32"/>
    <w:rsid w:val="00DB35AF"/>
    <w:rsid w:val="00DD72D7"/>
    <w:rsid w:val="00DF5B88"/>
    <w:rsid w:val="00E0589E"/>
    <w:rsid w:val="00E241FA"/>
    <w:rsid w:val="00E2595E"/>
    <w:rsid w:val="00E35374"/>
    <w:rsid w:val="00E50C19"/>
    <w:rsid w:val="00E64655"/>
    <w:rsid w:val="00E73081"/>
    <w:rsid w:val="00E856C9"/>
    <w:rsid w:val="00E8744D"/>
    <w:rsid w:val="00EB6A8B"/>
    <w:rsid w:val="00EF38C6"/>
    <w:rsid w:val="00F679C7"/>
    <w:rsid w:val="00F7711A"/>
    <w:rsid w:val="00FA0D58"/>
    <w:rsid w:val="00FA56F4"/>
    <w:rsid w:val="00FB4EDA"/>
    <w:rsid w:val="00FD3BD5"/>
    <w:rsid w:val="00FE3DC8"/>
    <w:rsid w:val="03151EA3"/>
    <w:rsid w:val="032B2A64"/>
    <w:rsid w:val="04073F84"/>
    <w:rsid w:val="06F742E3"/>
    <w:rsid w:val="0B60750A"/>
    <w:rsid w:val="0DB57B21"/>
    <w:rsid w:val="0E9B4639"/>
    <w:rsid w:val="10686488"/>
    <w:rsid w:val="10DF728A"/>
    <w:rsid w:val="1264200E"/>
    <w:rsid w:val="13897963"/>
    <w:rsid w:val="141C5B77"/>
    <w:rsid w:val="167D245A"/>
    <w:rsid w:val="18D8339D"/>
    <w:rsid w:val="1A21388F"/>
    <w:rsid w:val="1A570D2F"/>
    <w:rsid w:val="1C951B88"/>
    <w:rsid w:val="1D360FC8"/>
    <w:rsid w:val="1EAD197B"/>
    <w:rsid w:val="1F40769D"/>
    <w:rsid w:val="20632A4D"/>
    <w:rsid w:val="22046CFD"/>
    <w:rsid w:val="23DC181D"/>
    <w:rsid w:val="28FB0B8D"/>
    <w:rsid w:val="2A9870FC"/>
    <w:rsid w:val="2D2B7942"/>
    <w:rsid w:val="2D46481D"/>
    <w:rsid w:val="2E733B28"/>
    <w:rsid w:val="2F917CC6"/>
    <w:rsid w:val="2FB53C03"/>
    <w:rsid w:val="31852B5A"/>
    <w:rsid w:val="325F04DE"/>
    <w:rsid w:val="32D01238"/>
    <w:rsid w:val="35EF4CFB"/>
    <w:rsid w:val="37FF03F0"/>
    <w:rsid w:val="387716B1"/>
    <w:rsid w:val="38916DA4"/>
    <w:rsid w:val="3A682384"/>
    <w:rsid w:val="3C925309"/>
    <w:rsid w:val="3D306D78"/>
    <w:rsid w:val="3DEE5533"/>
    <w:rsid w:val="3DFC59A8"/>
    <w:rsid w:val="3EBB516E"/>
    <w:rsid w:val="3ECF245E"/>
    <w:rsid w:val="3F195F6C"/>
    <w:rsid w:val="3F811BE9"/>
    <w:rsid w:val="3FB96314"/>
    <w:rsid w:val="404C4EC5"/>
    <w:rsid w:val="40662B05"/>
    <w:rsid w:val="424D01CA"/>
    <w:rsid w:val="451312BE"/>
    <w:rsid w:val="4581655F"/>
    <w:rsid w:val="489D1190"/>
    <w:rsid w:val="4A531E51"/>
    <w:rsid w:val="4B70434A"/>
    <w:rsid w:val="4E7603D0"/>
    <w:rsid w:val="53710BCB"/>
    <w:rsid w:val="53965A35"/>
    <w:rsid w:val="53A44FAF"/>
    <w:rsid w:val="594329EC"/>
    <w:rsid w:val="5B06729F"/>
    <w:rsid w:val="5BEE1540"/>
    <w:rsid w:val="5D8C2270"/>
    <w:rsid w:val="5DE61A5D"/>
    <w:rsid w:val="5E09782F"/>
    <w:rsid w:val="63C04243"/>
    <w:rsid w:val="649C01C7"/>
    <w:rsid w:val="65B641C7"/>
    <w:rsid w:val="669271C4"/>
    <w:rsid w:val="699A3F60"/>
    <w:rsid w:val="6BE06553"/>
    <w:rsid w:val="6BE35242"/>
    <w:rsid w:val="6C79741E"/>
    <w:rsid w:val="6E531982"/>
    <w:rsid w:val="72122450"/>
    <w:rsid w:val="72902E62"/>
    <w:rsid w:val="73C61104"/>
    <w:rsid w:val="74EE630D"/>
    <w:rsid w:val="75C54E29"/>
    <w:rsid w:val="75E67F8E"/>
    <w:rsid w:val="776452EA"/>
    <w:rsid w:val="78EC203D"/>
    <w:rsid w:val="7DC663B9"/>
    <w:rsid w:val="7E3F1374"/>
    <w:rsid w:val="7E8239B0"/>
    <w:rsid w:val="7F700931"/>
    <w:rsid w:val="7FD21032"/>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7"/>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8"/>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9"/>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30"/>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4">
    <w:name w:val="Default Paragraph Font"/>
    <w:semiHidden/>
    <w:unhideWhenUsed/>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6">
    <w:name w:val="Date"/>
    <w:basedOn w:val="1"/>
    <w:next w:val="1"/>
    <w:link w:val="31"/>
    <w:semiHidden/>
    <w:unhideWhenUsed/>
    <w:qFormat/>
    <w:uiPriority w:val="99"/>
    <w:pPr>
      <w:ind w:left="100" w:leftChars="2500"/>
    </w:pPr>
  </w:style>
  <w:style w:type="paragraph" w:styleId="7">
    <w:name w:val="Balloon Text"/>
    <w:basedOn w:val="1"/>
    <w:link w:val="19"/>
    <w:semiHidden/>
    <w:unhideWhenUsed/>
    <w:qFormat/>
    <w:uiPriority w:val="99"/>
    <w:rPr>
      <w:sz w:val="18"/>
      <w:szCs w:val="18"/>
    </w:rPr>
  </w:style>
  <w:style w:type="paragraph" w:styleId="8">
    <w:name w:val="footer"/>
    <w:basedOn w:val="1"/>
    <w:link w:val="16"/>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9">
    <w:name w:val="header"/>
    <w:basedOn w:val="1"/>
    <w:link w:val="15"/>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0">
    <w:name w:val="Subtitle"/>
    <w:basedOn w:val="1"/>
    <w:next w:val="1"/>
    <w:link w:val="21"/>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rPr>
  </w:style>
  <w:style w:type="paragraph" w:styleId="11">
    <w:name w:val="Title"/>
    <w:basedOn w:val="1"/>
    <w:next w:val="1"/>
    <w:link w:val="20"/>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A2C23" w:themeColor="text2" w:themeShade="BF"/>
      <w:spacing w:val="5"/>
      <w:kern w:val="28"/>
      <w:sz w:val="52"/>
      <w:szCs w:val="52"/>
    </w:rPr>
  </w:style>
  <w:style w:type="table" w:styleId="13">
    <w:name w:val="Table Grid"/>
    <w:basedOn w:val="12"/>
    <w:qFormat/>
    <w:uiPriority w:val="1"/>
    <w:rPr>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customStyle="1" w:styleId="15">
    <w:name w:val="页眉 Char"/>
    <w:basedOn w:val="14"/>
    <w:link w:val="9"/>
    <w:qFormat/>
    <w:uiPriority w:val="99"/>
    <w:rPr>
      <w:sz w:val="18"/>
      <w:szCs w:val="18"/>
    </w:rPr>
  </w:style>
  <w:style w:type="character" w:customStyle="1" w:styleId="16">
    <w:name w:val="页脚 Char"/>
    <w:basedOn w:val="14"/>
    <w:link w:val="8"/>
    <w:qFormat/>
    <w:uiPriority w:val="99"/>
    <w:rPr>
      <w:sz w:val="18"/>
      <w:szCs w:val="18"/>
    </w:rPr>
  </w:style>
  <w:style w:type="paragraph" w:styleId="17">
    <w:name w:val="No Spacing"/>
    <w:link w:val="18"/>
    <w:qFormat/>
    <w:uiPriority w:val="1"/>
    <w:pPr>
      <w:spacing w:after="160" w:line="480" w:lineRule="auto"/>
    </w:pPr>
    <w:rPr>
      <w:rFonts w:asciiTheme="minorHAnsi" w:hAnsiTheme="minorHAnsi" w:eastAsiaTheme="minorEastAsia" w:cstheme="minorBidi"/>
      <w:sz w:val="22"/>
      <w:szCs w:val="22"/>
      <w:lang w:val="en-US" w:eastAsia="zh-CN" w:bidi="ar-SA"/>
    </w:rPr>
  </w:style>
  <w:style w:type="character" w:customStyle="1" w:styleId="18">
    <w:name w:val="无间隔 Char"/>
    <w:basedOn w:val="14"/>
    <w:link w:val="17"/>
    <w:qFormat/>
    <w:uiPriority w:val="1"/>
    <w:rPr>
      <w:kern w:val="0"/>
      <w:sz w:val="22"/>
    </w:rPr>
  </w:style>
  <w:style w:type="character" w:customStyle="1" w:styleId="19">
    <w:name w:val="批注框文本 Char"/>
    <w:basedOn w:val="14"/>
    <w:link w:val="7"/>
    <w:semiHidden/>
    <w:qFormat/>
    <w:uiPriority w:val="99"/>
    <w:rPr>
      <w:rFonts w:ascii="Times New Roman" w:hAnsi="Times New Roman" w:eastAsia="宋体" w:cs="Times New Roman"/>
      <w:sz w:val="18"/>
      <w:szCs w:val="18"/>
    </w:rPr>
  </w:style>
  <w:style w:type="character" w:customStyle="1" w:styleId="20">
    <w:name w:val="标题 Char"/>
    <w:basedOn w:val="14"/>
    <w:link w:val="11"/>
    <w:qFormat/>
    <w:uiPriority w:val="10"/>
    <w:rPr>
      <w:rFonts w:asciiTheme="majorHAnsi" w:hAnsiTheme="majorHAnsi" w:eastAsiaTheme="majorEastAsia" w:cstheme="majorBidi"/>
      <w:color w:val="3A2C23" w:themeColor="text2" w:themeShade="BF"/>
      <w:spacing w:val="5"/>
      <w:kern w:val="28"/>
      <w:sz w:val="52"/>
      <w:szCs w:val="52"/>
    </w:rPr>
  </w:style>
  <w:style w:type="character" w:customStyle="1" w:styleId="21">
    <w:name w:val="副标题 Char"/>
    <w:basedOn w:val="14"/>
    <w:link w:val="10"/>
    <w:qFormat/>
    <w:uiPriority w:val="11"/>
    <w:rPr>
      <w:rFonts w:asciiTheme="majorHAnsi" w:hAnsiTheme="majorHAnsi" w:eastAsiaTheme="majorEastAsia" w:cstheme="majorBidi"/>
      <w:i/>
      <w:iCs/>
      <w:color w:val="F0A22E" w:themeColor="accent1"/>
      <w:spacing w:val="15"/>
      <w:kern w:val="0"/>
      <w:sz w:val="24"/>
      <w:szCs w:val="24"/>
    </w:rPr>
  </w:style>
  <w:style w:type="character" w:customStyle="1" w:styleId="22">
    <w:name w:val="Style1"/>
    <w:basedOn w:val="14"/>
    <w:qFormat/>
    <w:uiPriority w:val="1"/>
    <w:rPr>
      <w:rFonts w:asciiTheme="minorHAnsi" w:hAnsiTheme="minorEastAsia" w:eastAsiaTheme="minorEastAsia" w:cstheme="minorBidi"/>
      <w:sz w:val="22"/>
      <w:szCs w:val="22"/>
      <w:lang w:eastAsia="zh-CN"/>
    </w:rPr>
  </w:style>
  <w:style w:type="character" w:customStyle="1" w:styleId="23">
    <w:name w:val="Style2"/>
    <w:basedOn w:val="14"/>
    <w:qFormat/>
    <w:uiPriority w:val="1"/>
    <w:rPr>
      <w:rFonts w:asciiTheme="minorHAnsi" w:hAnsiTheme="minorEastAsia" w:eastAsiaTheme="minorEastAsia" w:cstheme="minorBidi"/>
      <w:sz w:val="22"/>
      <w:szCs w:val="22"/>
      <w:lang w:eastAsia="zh-CN"/>
    </w:rPr>
  </w:style>
  <w:style w:type="character" w:customStyle="1" w:styleId="24">
    <w:name w:val="Style3"/>
    <w:basedOn w:val="14"/>
    <w:qFormat/>
    <w:uiPriority w:val="1"/>
    <w:rPr>
      <w:rFonts w:asciiTheme="minorHAnsi" w:hAnsiTheme="minorEastAsia" w:eastAsiaTheme="minorEastAsia" w:cstheme="minorBidi"/>
      <w:szCs w:val="22"/>
      <w:lang w:eastAsia="zh-CN"/>
    </w:rPr>
  </w:style>
  <w:style w:type="character" w:customStyle="1" w:styleId="25">
    <w:name w:val="Style4"/>
    <w:basedOn w:val="14"/>
    <w:qFormat/>
    <w:uiPriority w:val="1"/>
    <w:rPr>
      <w:rFonts w:asciiTheme="minorHAnsi" w:hAnsiTheme="minorEastAsia" w:eastAsiaTheme="minorEastAsia" w:cstheme="minorBidi"/>
      <w:szCs w:val="22"/>
      <w:lang w:eastAsia="zh-CN"/>
    </w:rPr>
  </w:style>
  <w:style w:type="character" w:customStyle="1" w:styleId="26">
    <w:name w:val="Style5"/>
    <w:basedOn w:val="14"/>
    <w:qFormat/>
    <w:uiPriority w:val="1"/>
    <w:rPr>
      <w:rFonts w:asciiTheme="minorHAnsi" w:hAnsiTheme="minorEastAsia" w:eastAsiaTheme="minorEastAsia" w:cstheme="minorBidi"/>
      <w:sz w:val="22"/>
      <w:szCs w:val="22"/>
      <w:lang w:eastAsia="zh-CN"/>
    </w:rPr>
  </w:style>
  <w:style w:type="character" w:customStyle="1" w:styleId="27">
    <w:name w:val="标题 1 Char"/>
    <w:basedOn w:val="14"/>
    <w:link w:val="2"/>
    <w:qFormat/>
    <w:uiPriority w:val="9"/>
    <w:rPr>
      <w:rFonts w:ascii="Times New Roman" w:hAnsi="Times New Roman" w:eastAsia="宋体" w:cs="Times New Roman"/>
      <w:b/>
      <w:bCs/>
      <w:kern w:val="44"/>
      <w:sz w:val="44"/>
      <w:szCs w:val="44"/>
    </w:rPr>
  </w:style>
  <w:style w:type="character" w:customStyle="1" w:styleId="28">
    <w:name w:val="标题 2 Char"/>
    <w:basedOn w:val="14"/>
    <w:link w:val="3"/>
    <w:qFormat/>
    <w:uiPriority w:val="9"/>
    <w:rPr>
      <w:rFonts w:asciiTheme="majorHAnsi" w:hAnsiTheme="majorHAnsi" w:eastAsiaTheme="majorEastAsia" w:cstheme="majorBidi"/>
      <w:b/>
      <w:bCs/>
      <w:sz w:val="32"/>
      <w:szCs w:val="32"/>
    </w:rPr>
  </w:style>
  <w:style w:type="character" w:customStyle="1" w:styleId="29">
    <w:name w:val="标题 3 Char"/>
    <w:basedOn w:val="14"/>
    <w:link w:val="4"/>
    <w:qFormat/>
    <w:uiPriority w:val="9"/>
    <w:rPr>
      <w:rFonts w:ascii="Times New Roman" w:hAnsi="Times New Roman" w:eastAsia="宋体" w:cs="Times New Roman"/>
      <w:b/>
      <w:bCs/>
      <w:sz w:val="32"/>
      <w:szCs w:val="32"/>
    </w:rPr>
  </w:style>
  <w:style w:type="character" w:customStyle="1" w:styleId="30">
    <w:name w:val="标题 4 Char"/>
    <w:basedOn w:val="14"/>
    <w:link w:val="5"/>
    <w:qFormat/>
    <w:uiPriority w:val="9"/>
    <w:rPr>
      <w:rFonts w:asciiTheme="majorHAnsi" w:hAnsiTheme="majorHAnsi" w:eastAsiaTheme="majorEastAsia" w:cstheme="majorBidi"/>
      <w:b/>
      <w:bCs/>
      <w:sz w:val="28"/>
      <w:szCs w:val="28"/>
    </w:rPr>
  </w:style>
  <w:style w:type="character" w:customStyle="1" w:styleId="31">
    <w:name w:val="日期 Char"/>
    <w:basedOn w:val="14"/>
    <w:link w:val="6"/>
    <w:semiHidden/>
    <w:qFormat/>
    <w:uiPriority w:val="99"/>
    <w:rPr>
      <w:rFonts w:ascii="Times New Roman" w:hAnsi="Times New Roman" w:eastAsia="宋体" w:cs="Times New Roman"/>
      <w:szCs w:val="24"/>
    </w:rPr>
  </w:style>
  <w:style w:type="paragraph" w:styleId="32">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image" Target="media/image3.png"/><Relationship Id="rId8" Type="http://schemas.openxmlformats.org/officeDocument/2006/relationships/chart" Target="charts/chart1.xml"/><Relationship Id="rId7" Type="http://schemas.openxmlformats.org/officeDocument/2006/relationships/image" Target="media/image2.jpeg"/><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customXml" Target="../customXml/item3.xml"/><Relationship Id="rId18" Type="http://schemas.openxmlformats.org/officeDocument/2006/relationships/customXml" Target="../customXml/item2.xml"/><Relationship Id="rId17" Type="http://schemas.openxmlformats.org/officeDocument/2006/relationships/numbering" Target="numbering.xml"/><Relationship Id="rId16" Type="http://schemas.openxmlformats.org/officeDocument/2006/relationships/customXml" Target="../customXml/item1.xml"/><Relationship Id="rId15" Type="http://schemas.openxmlformats.org/officeDocument/2006/relationships/image" Target="media/image4.jpeg"/><Relationship Id="rId14" Type="http://schemas.openxmlformats.org/officeDocument/2006/relationships/chart" Target="charts/chart6.xml"/><Relationship Id="rId13" Type="http://schemas.openxmlformats.org/officeDocument/2006/relationships/chart" Target="charts/chart5.xml"/><Relationship Id="rId12" Type="http://schemas.openxmlformats.org/officeDocument/2006/relationships/chart" Target="charts/chart4.xml"/><Relationship Id="rId11" Type="http://schemas.openxmlformats.org/officeDocument/2006/relationships/chart" Target="charts/chart3.xml"/><Relationship Id="rId10" Type="http://schemas.openxmlformats.org/officeDocument/2006/relationships/chart" Target="charts/chart2.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1" Type="http://schemas.openxmlformats.org/officeDocument/2006/relationships/oleObject" Target="file:///C:\Users\lenoo\Desktop\&#37096;&#38376;&#20915;&#31639;&#20844;&#24320;&#21046;&#22270;&#27169;&#26495;&#65288;&#20462;&#25913;&#29256;&#65289;(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lenoo\Desktop\&#37096;&#38376;&#20915;&#31639;&#20844;&#24320;&#21046;&#22270;&#27169;&#26495;&#65288;&#20462;&#25913;&#29256;&#65289;(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lenoo\Desktop\&#37096;&#38376;&#20915;&#31639;&#20844;&#24320;&#21046;&#22270;&#27169;&#26495;&#65288;&#20462;&#25913;&#29256;&#65289;(1).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lenoo\Desktop\&#37096;&#38376;&#20915;&#31639;&#20844;&#24320;&#21046;&#22270;&#27169;&#26495;&#65288;&#20462;&#25913;&#29256;&#65289;(1).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lenoo\Desktop\&#37096;&#38376;&#20915;&#31639;&#20844;&#24320;&#21046;&#22270;&#27169;&#26495;&#65288;&#20462;&#25913;&#29256;&#65289;(1).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lenoo\Desktop\&#37096;&#38376;&#20915;&#31639;&#20844;&#24320;&#21046;&#22270;&#27169;&#26495;&#65288;&#20462;&#25913;&#29256;&#65289;(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1</a:t>
            </a:r>
            <a:r>
              <a:rPr lang="zh-CN" altLang="zh-CN" sz="1200" b="0">
                <a:latin typeface="仿宋_GB2312" panose="02010609030101010101" pitchFamily="3" charset="-122"/>
                <a:ea typeface="仿宋_GB2312" panose="02010609030101010101" pitchFamily="3" charset="-122"/>
              </a:rPr>
              <a:t>：收入构成情况</a:t>
            </a:r>
            <a:endParaRPr lang="zh-CN" altLang="zh-CN" sz="1200" b="1">
              <a:latin typeface="仿宋_GB2312" panose="02010609030101010101" pitchFamily="3" charset="-122"/>
              <a:ea typeface="仿宋_GB2312" panose="02010609030101010101" pitchFamily="3" charset="-122"/>
            </a:endParaRPr>
          </a:p>
        </c:rich>
      </c:tx>
      <c:layout>
        <c:manualLayout>
          <c:xMode val="edge"/>
          <c:yMode val="edge"/>
          <c:x val="0.366550862270199"/>
          <c:y val="0.850746268656717"/>
        </c:manualLayout>
      </c:layout>
      <c:overlay val="0"/>
    </c:title>
    <c:autoTitleDeleted val="0"/>
    <c:plotArea>
      <c:layout>
        <c:manualLayout>
          <c:layoutTarget val="inner"/>
          <c:xMode val="edge"/>
          <c:yMode val="edge"/>
          <c:x val="0.0943148809218805"/>
          <c:y val="0.0575245818153328"/>
          <c:w val="0.811370238156239"/>
          <c:h val="0.765547851294708"/>
        </c:manualLayout>
      </c:layout>
      <c:pieChart>
        <c:varyColors val="1"/>
        <c:ser>
          <c:idx val="0"/>
          <c:order val="0"/>
          <c:explosion val="0"/>
          <c:dPt>
            <c:idx val="0"/>
            <c:bubble3D val="0"/>
          </c:dPt>
          <c:dPt>
            <c:idx val="1"/>
            <c:bubble3D val="0"/>
          </c:dPt>
          <c:dPt>
            <c:idx val="2"/>
            <c:bubble3D val="0"/>
          </c:dPt>
          <c:dPt>
            <c:idx val="3"/>
            <c:bubble3D val="0"/>
          </c:dPt>
          <c:dLbls>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'[部门决算公开制图模板（修改版）(1).xlsx]收入情况说明'!$C$9:$C$12</c:f>
              <c:strCache>
                <c:ptCount val="4"/>
                <c:pt idx="0">
                  <c:v>财政拨款收入</c:v>
                </c:pt>
                <c:pt idx="1">
                  <c:v>事业收入</c:v>
                </c:pt>
                <c:pt idx="2">
                  <c:v>经营收入</c:v>
                </c:pt>
                <c:pt idx="3">
                  <c:v>其他收入</c:v>
                </c:pt>
              </c:strCache>
            </c:strRef>
          </c:cat>
          <c:val>
            <c:numRef>
              <c:f>'[部门决算公开制图模板（修改版）(1).xlsx]收入情况说明'!$D$9:$D$12</c:f>
              <c:numCache>
                <c:formatCode>General</c:formatCode>
                <c:ptCount val="4"/>
                <c:pt idx="0">
                  <c:v>42132.75</c:v>
                </c:pt>
              </c:numCache>
            </c:numRef>
          </c:val>
        </c:ser>
        <c:dLbls>
          <c:showLegendKey val="0"/>
          <c:showVal val="0"/>
          <c:showCatName val="1"/>
          <c:showSerName val="0"/>
          <c:showPercent val="1"/>
          <c:showBubbleSize val="0"/>
          <c:showLeaderLines val="1"/>
        </c:dLbls>
        <c:firstSliceAng val="15"/>
      </c:pieChart>
      <c:spPr>
        <a:noFill/>
        <a:ln>
          <a:noFill/>
        </a:ln>
        <a:effectLst/>
      </c:spPr>
    </c:plotArea>
    <c:plotVisOnly val="1"/>
    <c:dispBlanksAs val="zero"/>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2</a:t>
            </a:r>
            <a:r>
              <a:rPr lang="zh-CN" altLang="zh-CN" sz="1200" b="0">
                <a:latin typeface="仿宋_GB2312" panose="02010609030101010101" pitchFamily="3" charset="-122"/>
                <a:ea typeface="仿宋_GB2312" panose="02010609030101010101" pitchFamily="3" charset="-122"/>
              </a:rPr>
              <a:t>：支出构成情况</a:t>
            </a:r>
            <a:endParaRPr lang="zh-CN" altLang="zh-CN" sz="1200" b="1">
              <a:latin typeface="仿宋_GB2312" panose="02010609030101010101" pitchFamily="3" charset="-122"/>
              <a:ea typeface="仿宋_GB2312" panose="02010609030101010101" pitchFamily="3" charset="-122"/>
            </a:endParaRPr>
          </a:p>
        </c:rich>
      </c:tx>
      <c:layout>
        <c:manualLayout>
          <c:xMode val="edge"/>
          <c:yMode val="edge"/>
          <c:x val="0.364138331467032"/>
          <c:y val="0.823232323232323"/>
        </c:manualLayout>
      </c:layout>
      <c:overlay val="0"/>
    </c:title>
    <c:autoTitleDeleted val="0"/>
    <c:plotArea>
      <c:layout>
        <c:manualLayout>
          <c:layoutTarget val="inner"/>
          <c:xMode val="edge"/>
          <c:yMode val="edge"/>
          <c:x val="0.101627059597234"/>
          <c:y val="0.103243458204088"/>
          <c:w val="0.808785007968812"/>
          <c:h val="0.65515469657202"/>
        </c:manualLayout>
      </c:layout>
      <c:pieChart>
        <c:varyColors val="1"/>
        <c:ser>
          <c:idx val="0"/>
          <c:order val="0"/>
          <c:explosion val="0"/>
          <c:dPt>
            <c:idx val="0"/>
            <c:bubble3D val="0"/>
          </c:dPt>
          <c:dPt>
            <c:idx val="1"/>
            <c:bubble3D val="0"/>
          </c:dPt>
          <c:dPt>
            <c:idx val="2"/>
            <c:bubble3D val="0"/>
          </c:dPt>
          <c:dLbls>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'[部门决算公开制图模板（修改版）(1).xlsx]支出情况说明'!$A$5:$A$7</c:f>
              <c:strCache>
                <c:ptCount val="3"/>
                <c:pt idx="0">
                  <c:v>基本支出</c:v>
                </c:pt>
                <c:pt idx="1">
                  <c:v>项目支出</c:v>
                </c:pt>
                <c:pt idx="2">
                  <c:v>经营支出</c:v>
                </c:pt>
              </c:strCache>
            </c:strRef>
          </c:cat>
          <c:val>
            <c:numRef>
              <c:f>'[部门决算公开制图模板（修改版）(1).xlsx]支出情况说明'!$B$5:$B$7</c:f>
              <c:numCache>
                <c:formatCode>General</c:formatCode>
                <c:ptCount val="3"/>
                <c:pt idx="0">
                  <c:v>1227.26</c:v>
                </c:pt>
                <c:pt idx="1">
                  <c:v>28556.48</c:v>
                </c:pt>
              </c:numCache>
            </c:numRef>
          </c:val>
        </c:ser>
        <c:dLbls>
          <c:showLegendKey val="0"/>
          <c:showVal val="0"/>
          <c:showCatName val="1"/>
          <c:showSerName val="0"/>
          <c:showPercent val="1"/>
          <c:showBubbleSize val="0"/>
          <c:showLeaderLines val="1"/>
        </c:dLbls>
        <c:firstSliceAng val="15"/>
      </c:pieChart>
      <c:spPr>
        <a:noFill/>
        <a:ln>
          <a:noFill/>
        </a:ln>
        <a:effectLst/>
      </c:spPr>
    </c:plotArea>
    <c:plotVisOnly val="1"/>
    <c:dispBlanksAs val="zero"/>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3</a:t>
            </a:r>
            <a:r>
              <a:rPr lang="zh-CN" altLang="zh-CN" sz="1200" b="0">
                <a:latin typeface="仿宋_GB2312" panose="02010609030101010101" pitchFamily="3" charset="-122"/>
                <a:ea typeface="仿宋_GB2312" panose="02010609030101010101" pitchFamily="3" charset="-122"/>
              </a:rPr>
              <a:t>：</a:t>
            </a:r>
            <a:r>
              <a:rPr lang="en-US" altLang="zh-CN" sz="1200" b="0">
                <a:latin typeface="仿宋_GB2312" panose="02010609030101010101" pitchFamily="3" charset="-122"/>
                <a:ea typeface="仿宋_GB2312" panose="02010609030101010101" pitchFamily="3" charset="-122"/>
              </a:rPr>
              <a:t>2017-2018</a:t>
            </a:r>
            <a:r>
              <a:rPr lang="zh-CN" altLang="zh-CN" sz="1200" b="0">
                <a:latin typeface="仿宋_GB2312" panose="02010609030101010101" pitchFamily="3" charset="-122"/>
                <a:ea typeface="仿宋_GB2312" panose="02010609030101010101" pitchFamily="3" charset="-122"/>
              </a:rPr>
              <a:t>年财政拨款收支对比情况</a:t>
            </a:r>
            <a:endParaRPr lang="zh-CN" altLang="zh-CN" sz="1200" b="0">
              <a:latin typeface="仿宋_GB2312" panose="02010609030101010101" pitchFamily="3" charset="-122"/>
              <a:ea typeface="仿宋_GB2312" panose="02010609030101010101" pitchFamily="3" charset="-122"/>
            </a:endParaRPr>
          </a:p>
        </c:rich>
      </c:tx>
      <c:layout>
        <c:manualLayout>
          <c:xMode val="edge"/>
          <c:yMode val="edge"/>
          <c:x val="0.222222222222222"/>
          <c:y val="0.864749733759319"/>
        </c:manualLayout>
      </c:layout>
      <c:overlay val="0"/>
    </c:title>
    <c:autoTitleDeleted val="0"/>
    <c:plotArea>
      <c:layout>
        <c:manualLayout>
          <c:layoutTarget val="inner"/>
          <c:xMode val="edge"/>
          <c:yMode val="edge"/>
          <c:x val="0.100155074365704"/>
          <c:y val="0.0702982734186981"/>
          <c:w val="0.869289370078741"/>
          <c:h val="0.601993408970844"/>
        </c:manualLayout>
      </c:layout>
      <c:barChart>
        <c:barDir val="col"/>
        <c:grouping val="clustered"/>
        <c:varyColors val="0"/>
        <c:ser>
          <c:idx val="0"/>
          <c:order val="0"/>
          <c:tx>
            <c:strRef>
              <c:f>'[部门决算公开制图模板（修改版）(1).xlsx]收支与决算对比'!$A$5</c:f>
              <c:strCache>
                <c:ptCount val="1"/>
                <c:pt idx="0">
                  <c:v>2018</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'[部门决算公开制图模板（修改版）(1).xlsx]收支与决算对比'!$B$4:$C$4</c:f>
              <c:strCache>
                <c:ptCount val="2"/>
                <c:pt idx="0">
                  <c:v>财政拨款收入</c:v>
                </c:pt>
                <c:pt idx="1">
                  <c:v>财政拨款支出</c:v>
                </c:pt>
              </c:strCache>
            </c:strRef>
          </c:cat>
          <c:val>
            <c:numRef>
              <c:f>'[部门决算公开制图模板（修改版）(1).xlsx]收支与决算对比'!$B$5:$C$5</c:f>
              <c:numCache>
                <c:formatCode>General</c:formatCode>
                <c:ptCount val="2"/>
                <c:pt idx="0">
                  <c:v>42132.75</c:v>
                </c:pt>
                <c:pt idx="1">
                  <c:v>29783.74</c:v>
                </c:pt>
              </c:numCache>
            </c:numRef>
          </c:val>
        </c:ser>
        <c:ser>
          <c:idx val="1"/>
          <c:order val="1"/>
          <c:tx>
            <c:strRef>
              <c:f>'[部门决算公开制图模板（修改版）(1).xlsx]收支与决算对比'!$A$6</c:f>
              <c:strCache>
                <c:ptCount val="1"/>
                <c:pt idx="0">
                  <c:v>2017</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'[部门决算公开制图模板（修改版）(1).xlsx]收支与决算对比'!$B$4:$C$4</c:f>
              <c:strCache>
                <c:ptCount val="2"/>
                <c:pt idx="0">
                  <c:v>财政拨款收入</c:v>
                </c:pt>
                <c:pt idx="1">
                  <c:v>财政拨款支出</c:v>
                </c:pt>
              </c:strCache>
            </c:strRef>
          </c:cat>
          <c:val>
            <c:numRef>
              <c:f>'[部门决算公开制图模板（修改版）(1).xlsx]收支与决算对比'!$B$6:$C$6</c:f>
              <c:numCache>
                <c:formatCode>General</c:formatCode>
                <c:ptCount val="2"/>
                <c:pt idx="0">
                  <c:v>7676.98</c:v>
                </c:pt>
                <c:pt idx="1">
                  <c:v>7174.66</c:v>
                </c:pt>
              </c:numCache>
            </c:numRef>
          </c:val>
        </c:ser>
        <c:dLbls>
          <c:showLegendKey val="0"/>
          <c:showVal val="1"/>
          <c:showCatName val="0"/>
          <c:showSerName val="0"/>
          <c:showPercent val="0"/>
          <c:showBubbleSize val="0"/>
        </c:dLbls>
        <c:gapWidth val="75"/>
        <c:axId val="185417088"/>
        <c:axId val="185489280"/>
      </c:barChart>
      <c:catAx>
        <c:axId val="185417088"/>
        <c:scaling>
          <c:orientation val="minMax"/>
        </c:scaling>
        <c:delete val="0"/>
        <c:axPos val="b"/>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85489280"/>
        <c:crosses val="autoZero"/>
        <c:auto val="1"/>
        <c:lblAlgn val="ctr"/>
        <c:lblOffset val="100"/>
        <c:noMultiLvlLbl val="0"/>
      </c:catAx>
      <c:valAx>
        <c:axId val="185489280"/>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85417088"/>
        <c:crosses val="autoZero"/>
        <c:crossBetween val="between"/>
      </c:valAx>
    </c:plotArea>
    <c:legend>
      <c:legendPos val="b"/>
      <c:layout>
        <c:manualLayout>
          <c:xMode val="edge"/>
          <c:yMode val="edge"/>
          <c:x val="0.426340551181102"/>
          <c:y val="0.756835299740887"/>
          <c:w val="0.208429790026247"/>
          <c:h val="0.0770305149555987"/>
        </c:manualLayou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3</a:t>
            </a:r>
            <a:r>
              <a:rPr lang="zh-CN" altLang="zh-CN" sz="1200" b="0">
                <a:latin typeface="仿宋_GB2312" panose="02010609030101010101" pitchFamily="3" charset="-122"/>
                <a:ea typeface="仿宋_GB2312" panose="02010609030101010101" pitchFamily="3" charset="-122"/>
              </a:rPr>
              <a:t>：</a:t>
            </a:r>
            <a:r>
              <a:rPr lang="en-US" altLang="zh-CN" sz="1200" b="0">
                <a:latin typeface="仿宋_GB2312" panose="02010609030101010101" pitchFamily="3" charset="-122"/>
                <a:ea typeface="仿宋_GB2312" panose="02010609030101010101" pitchFamily="3" charset="-122"/>
              </a:rPr>
              <a:t>2017-2018</a:t>
            </a:r>
            <a:r>
              <a:rPr lang="zh-CN" altLang="zh-CN" sz="1200" b="0">
                <a:latin typeface="仿宋_GB2312" panose="02010609030101010101" pitchFamily="3" charset="-122"/>
                <a:ea typeface="仿宋_GB2312" panose="02010609030101010101" pitchFamily="3" charset="-122"/>
              </a:rPr>
              <a:t>年财政拨款收支对比情况</a:t>
            </a:r>
            <a:endParaRPr lang="zh-CN" altLang="zh-CN" sz="1200" b="0">
              <a:latin typeface="仿宋_GB2312" panose="02010609030101010101" pitchFamily="3" charset="-122"/>
              <a:ea typeface="仿宋_GB2312" panose="02010609030101010101" pitchFamily="3" charset="-122"/>
            </a:endParaRPr>
          </a:p>
        </c:rich>
      </c:tx>
      <c:layout>
        <c:manualLayout>
          <c:xMode val="edge"/>
          <c:yMode val="edge"/>
          <c:x val="0.222222222222222"/>
          <c:y val="0.864749733759319"/>
        </c:manualLayout>
      </c:layout>
      <c:overlay val="0"/>
    </c:title>
    <c:autoTitleDeleted val="0"/>
    <c:plotArea>
      <c:layout>
        <c:manualLayout>
          <c:layoutTarget val="inner"/>
          <c:xMode val="edge"/>
          <c:yMode val="edge"/>
          <c:x val="0.100155074365704"/>
          <c:y val="0.0702982734186981"/>
          <c:w val="0.869289370078741"/>
          <c:h val="0.601993408970844"/>
        </c:manualLayout>
      </c:layout>
      <c:barChart>
        <c:barDir val="col"/>
        <c:grouping val="clustered"/>
        <c:varyColors val="0"/>
        <c:ser>
          <c:idx val="0"/>
          <c:order val="0"/>
          <c:tx>
            <c:strRef>
              <c:f>'[部门决算公开制图模板（修改版）(1).xlsx]收支与决算对比'!$A$5</c:f>
              <c:strCache>
                <c:ptCount val="1"/>
                <c:pt idx="0">
                  <c:v>2018</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'[部门决算公开制图模板（修改版）(1).xlsx]收支与决算对比'!$B$4:$C$4</c:f>
              <c:strCache>
                <c:ptCount val="2"/>
                <c:pt idx="0">
                  <c:v>财政拨款收入</c:v>
                </c:pt>
                <c:pt idx="1">
                  <c:v>财政拨款支出</c:v>
                </c:pt>
              </c:strCache>
            </c:strRef>
          </c:cat>
          <c:val>
            <c:numRef>
              <c:f>'[部门决算公开制图模板（修改版）(1).xlsx]收支与决算对比'!$B$5:$C$5</c:f>
              <c:numCache>
                <c:formatCode>General</c:formatCode>
                <c:ptCount val="2"/>
                <c:pt idx="0">
                  <c:v>42132.75</c:v>
                </c:pt>
                <c:pt idx="1">
                  <c:v>29783.74</c:v>
                </c:pt>
              </c:numCache>
            </c:numRef>
          </c:val>
        </c:ser>
        <c:ser>
          <c:idx val="1"/>
          <c:order val="1"/>
          <c:tx>
            <c:strRef>
              <c:f>'[部门决算公开制图模板（修改版）(1).xlsx]收支与决算对比'!$A$6</c:f>
              <c:strCache>
                <c:ptCount val="1"/>
                <c:pt idx="0">
                  <c:v>2017</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'[部门决算公开制图模板（修改版）(1).xlsx]收支与决算对比'!$B$4:$C$4</c:f>
              <c:strCache>
                <c:ptCount val="2"/>
                <c:pt idx="0">
                  <c:v>财政拨款收入</c:v>
                </c:pt>
                <c:pt idx="1">
                  <c:v>财政拨款支出</c:v>
                </c:pt>
              </c:strCache>
            </c:strRef>
          </c:cat>
          <c:val>
            <c:numRef>
              <c:f>'[部门决算公开制图模板（修改版）(1).xlsx]收支与决算对比'!$B$6:$C$6</c:f>
              <c:numCache>
                <c:formatCode>General</c:formatCode>
                <c:ptCount val="2"/>
                <c:pt idx="0">
                  <c:v>7676.98</c:v>
                </c:pt>
                <c:pt idx="1">
                  <c:v>7174.66</c:v>
                </c:pt>
              </c:numCache>
            </c:numRef>
          </c:val>
        </c:ser>
        <c:dLbls>
          <c:showLegendKey val="0"/>
          <c:showVal val="1"/>
          <c:showCatName val="0"/>
          <c:showSerName val="0"/>
          <c:showPercent val="0"/>
          <c:showBubbleSize val="0"/>
        </c:dLbls>
        <c:gapWidth val="75"/>
        <c:axId val="187868288"/>
        <c:axId val="187870208"/>
      </c:barChart>
      <c:catAx>
        <c:axId val="187868288"/>
        <c:scaling>
          <c:orientation val="minMax"/>
        </c:scaling>
        <c:delete val="0"/>
        <c:axPos val="b"/>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87870208"/>
        <c:crosses val="autoZero"/>
        <c:auto val="1"/>
        <c:lblAlgn val="ctr"/>
        <c:lblOffset val="100"/>
        <c:noMultiLvlLbl val="0"/>
      </c:catAx>
      <c:valAx>
        <c:axId val="187870208"/>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87868288"/>
        <c:crosses val="autoZero"/>
        <c:crossBetween val="between"/>
      </c:valAx>
    </c:plotArea>
    <c:legend>
      <c:legendPos val="b"/>
      <c:layout>
        <c:manualLayout>
          <c:xMode val="edge"/>
          <c:yMode val="edge"/>
          <c:x val="0.426340551181102"/>
          <c:y val="0.756835299740887"/>
          <c:w val="0.208429790026247"/>
          <c:h val="0.0770305149555987"/>
        </c:manualLayou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i="0" u="none" strike="noStrike" baseline="0">
                <a:latin typeface="仿宋_GB2312" panose="02010609030101010101" pitchFamily="3" charset="-122"/>
                <a:ea typeface="仿宋_GB2312" panose="02010609030101010101" pitchFamily="3" charset="-122"/>
              </a:rPr>
              <a:t>图</a:t>
            </a:r>
            <a:r>
              <a:rPr lang="en-US" altLang="zh-CN" sz="1200" b="0" i="0" u="none" strike="noStrike" baseline="0">
                <a:latin typeface="仿宋_GB2312" panose="02010609030101010101" pitchFamily="3" charset="-122"/>
                <a:ea typeface="仿宋_GB2312" panose="02010609030101010101" pitchFamily="3" charset="-122"/>
              </a:rPr>
              <a:t>4</a:t>
            </a:r>
            <a:r>
              <a:rPr lang="zh-CN" altLang="zh-CN" sz="1200" b="0" i="0" u="none" strike="noStrike" baseline="0">
                <a:latin typeface="仿宋_GB2312" panose="02010609030101010101" pitchFamily="3" charset="-122"/>
                <a:ea typeface="仿宋_GB2312" panose="02010609030101010101" pitchFamily="3" charset="-122"/>
              </a:rPr>
              <a:t>：财政拨款收支预决算对比情况</a:t>
            </a:r>
            <a:endParaRPr lang="zh-CN" altLang="zh-CN" sz="1200" b="0">
              <a:latin typeface="仿宋_GB2312" panose="02010609030101010101" pitchFamily="3" charset="-122"/>
              <a:ea typeface="仿宋_GB2312" panose="02010609030101010101" pitchFamily="3" charset="-122"/>
            </a:endParaRPr>
          </a:p>
        </c:rich>
      </c:tx>
      <c:layout>
        <c:manualLayout>
          <c:xMode val="edge"/>
          <c:yMode val="edge"/>
          <c:x val="0.219444444444445"/>
          <c:y val="0.921675774134791"/>
        </c:manualLayout>
      </c:layout>
      <c:overlay val="0"/>
    </c:title>
    <c:autoTitleDeleted val="0"/>
    <c:plotArea>
      <c:layout>
        <c:manualLayout>
          <c:layoutTarget val="inner"/>
          <c:xMode val="edge"/>
          <c:yMode val="edge"/>
          <c:x val="0.100155074365704"/>
          <c:y val="0.0231156048675734"/>
          <c:w val="0.869289370078741"/>
          <c:h val="0.768818002863279"/>
        </c:manualLayout>
      </c:layout>
      <c:barChart>
        <c:barDir val="col"/>
        <c:grouping val="clustered"/>
        <c:varyColors val="0"/>
        <c:ser>
          <c:idx val="0"/>
          <c:order val="0"/>
          <c:tx>
            <c:strRef>
              <c:f>'[部门决算公开制图模板（修改版）(1).xlsx]收支与预算对比'!$A$5</c:f>
              <c:strCache>
                <c:ptCount val="1"/>
                <c:pt idx="0">
                  <c:v>年初预算数</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'[部门决算公开制图模板（修改版）(1).xlsx]收支与预算对比'!$B$4:$C$4</c:f>
              <c:strCache>
                <c:ptCount val="2"/>
                <c:pt idx="0">
                  <c:v>一般公共预算财政拨款收入</c:v>
                </c:pt>
                <c:pt idx="1">
                  <c:v>一般公共预算财政拨款支出</c:v>
                </c:pt>
              </c:strCache>
            </c:strRef>
          </c:cat>
          <c:val>
            <c:numRef>
              <c:f>'[部门决算公开制图模板（修改版）(1).xlsx]收支与预算对比'!$B$5:$C$5</c:f>
              <c:numCache>
                <c:formatCode>General</c:formatCode>
                <c:ptCount val="2"/>
                <c:pt idx="0">
                  <c:v>7033.86</c:v>
                </c:pt>
                <c:pt idx="1">
                  <c:v>7033.86</c:v>
                </c:pt>
              </c:numCache>
            </c:numRef>
          </c:val>
        </c:ser>
        <c:ser>
          <c:idx val="1"/>
          <c:order val="1"/>
          <c:tx>
            <c:strRef>
              <c:f>'[部门决算公开制图模板（修改版）(1).xlsx]收支与预算对比'!$A$6</c:f>
              <c:strCache>
                <c:ptCount val="1"/>
                <c:pt idx="0">
                  <c:v>决算数</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'[部门决算公开制图模板（修改版）(1).xlsx]收支与预算对比'!$B$4:$C$4</c:f>
              <c:strCache>
                <c:ptCount val="2"/>
                <c:pt idx="0">
                  <c:v>一般公共预算财政拨款收入</c:v>
                </c:pt>
                <c:pt idx="1">
                  <c:v>一般公共预算财政拨款支出</c:v>
                </c:pt>
              </c:strCache>
            </c:strRef>
          </c:cat>
          <c:val>
            <c:numRef>
              <c:f>'[部门决算公开制图模板（修改版）(1).xlsx]收支与预算对比'!$B$6:$C$6</c:f>
              <c:numCache>
                <c:formatCode>General</c:formatCode>
                <c:ptCount val="2"/>
                <c:pt idx="0">
                  <c:v>42132.75</c:v>
                </c:pt>
                <c:pt idx="1">
                  <c:v>29783.74</c:v>
                </c:pt>
              </c:numCache>
            </c:numRef>
          </c:val>
        </c:ser>
        <c:dLbls>
          <c:showLegendKey val="0"/>
          <c:showVal val="1"/>
          <c:showCatName val="0"/>
          <c:showSerName val="0"/>
          <c:showPercent val="0"/>
          <c:showBubbleSize val="0"/>
        </c:dLbls>
        <c:gapWidth val="75"/>
        <c:axId val="188203392"/>
        <c:axId val="188204928"/>
      </c:barChart>
      <c:catAx>
        <c:axId val="188203392"/>
        <c:scaling>
          <c:orientation val="minMax"/>
        </c:scaling>
        <c:delete val="0"/>
        <c:axPos val="b"/>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88204928"/>
        <c:crosses val="autoZero"/>
        <c:auto val="1"/>
        <c:lblAlgn val="ctr"/>
        <c:lblOffset val="100"/>
        <c:noMultiLvlLbl val="0"/>
      </c:catAx>
      <c:valAx>
        <c:axId val="188204928"/>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88203392"/>
        <c:crosses val="autoZero"/>
        <c:crossBetween val="between"/>
      </c:valAx>
    </c:plotArea>
    <c:legend>
      <c:legendPos val="b"/>
      <c:layout>
        <c:manualLayout>
          <c:xMode val="edge"/>
          <c:yMode val="edge"/>
          <c:x val="0.346718285214349"/>
          <c:y val="0.848750340633651"/>
          <c:w val="0.339896544181977"/>
          <c:h val="0.0658758228991868"/>
        </c:manualLayou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b" anchorCtr="0"/>
          <a:lstStyle/>
          <a:p>
            <a:pPr>
              <a:defRPr lang="zh-CN" sz="1800" b="1" i="0" u="none" strike="noStrike" kern="1200" baseline="0">
                <a:solidFill>
                  <a:schemeClr val="tx1"/>
                </a:solidFill>
                <a:latin typeface="+mn-lt"/>
                <a:ea typeface="+mn-ea"/>
                <a:cs typeface="+mn-cs"/>
              </a:defRPr>
            </a:pPr>
            <a:r>
              <a:rPr lang="zh-CN" altLang="zh-CN" sz="1400" b="0" i="0" u="none" strike="noStrike" baseline="0">
                <a:latin typeface="仿宋_GB2312" panose="02010609030101010101" pitchFamily="3" charset="-122"/>
                <a:ea typeface="仿宋_GB2312" panose="02010609030101010101" pitchFamily="3" charset="-122"/>
              </a:rPr>
              <a:t>图</a:t>
            </a:r>
            <a:r>
              <a:rPr lang="en-US" altLang="zh-CN" sz="1400" b="0" i="0" u="none" strike="noStrike" baseline="0">
                <a:latin typeface="仿宋_GB2312" panose="02010609030101010101" pitchFamily="3" charset="-122"/>
                <a:ea typeface="仿宋_GB2312" panose="02010609030101010101" pitchFamily="3" charset="-122"/>
              </a:rPr>
              <a:t>5</a:t>
            </a:r>
            <a:r>
              <a:rPr lang="zh-CN" altLang="zh-CN" sz="1400" b="0" i="0" u="none" strike="noStrike" baseline="0">
                <a:latin typeface="仿宋_GB2312" panose="02010609030101010101" pitchFamily="3" charset="-122"/>
                <a:ea typeface="仿宋_GB2312" panose="02010609030101010101" pitchFamily="3" charset="-122"/>
              </a:rPr>
              <a:t>：财政拨款支出决算结构（按功能分类）</a:t>
            </a:r>
            <a:endParaRPr lang="zh-CN" altLang="en-US" sz="1400" b="0">
              <a:latin typeface="仿宋_GB2312" panose="02010609030101010101" pitchFamily="3" charset="-122"/>
              <a:ea typeface="仿宋_GB2312" panose="02010609030101010101" pitchFamily="3" charset="-122"/>
            </a:endParaRPr>
          </a:p>
        </c:rich>
      </c:tx>
      <c:layout>
        <c:manualLayout>
          <c:xMode val="edge"/>
          <c:yMode val="edge"/>
          <c:x val="0.126388888888889"/>
          <c:y val="0.837120962443044"/>
        </c:manualLayout>
      </c:layout>
      <c:overlay val="0"/>
    </c:title>
    <c:autoTitleDeleted val="0"/>
    <c:plotArea>
      <c:layout>
        <c:manualLayout>
          <c:layoutTarget val="inner"/>
          <c:xMode val="edge"/>
          <c:yMode val="edge"/>
          <c:x val="0.242777777777778"/>
          <c:y val="0.0719696755041531"/>
          <c:w val="0.514444663167104"/>
          <c:h val="0.70151524054067"/>
        </c:manualLayout>
      </c:layout>
      <c:pieChart>
        <c:varyColors val="1"/>
        <c:ser>
          <c:idx val="0"/>
          <c:order val="0"/>
          <c:explosion val="0"/>
          <c:dPt>
            <c:idx val="0"/>
            <c:bubble3D val="0"/>
          </c:dPt>
          <c:dPt>
            <c:idx val="1"/>
            <c:bubble3D val="0"/>
          </c:dPt>
          <c:dPt>
            <c:idx val="2"/>
            <c:bubble3D val="0"/>
          </c:dPt>
          <c:dPt>
            <c:idx val="3"/>
            <c:bubble3D val="0"/>
          </c:dPt>
          <c:dPt>
            <c:idx val="4"/>
            <c:bubble3D val="0"/>
          </c:dPt>
          <c:dPt>
            <c:idx val="5"/>
            <c:bubble3D val="0"/>
          </c:dPt>
          <c:dPt>
            <c:idx val="6"/>
            <c:bubble3D val="0"/>
          </c:dPt>
          <c:dPt>
            <c:idx val="7"/>
            <c:bubble3D val="0"/>
          </c:dPt>
          <c:dPt>
            <c:idx val="8"/>
            <c:bubble3D val="0"/>
          </c:dPt>
          <c:dPt>
            <c:idx val="9"/>
            <c:bubble3D val="0"/>
          </c:dPt>
          <c:dPt>
            <c:idx val="10"/>
            <c:bubble3D val="0"/>
          </c:dPt>
          <c:dPt>
            <c:idx val="11"/>
            <c:bubble3D val="0"/>
          </c:dPt>
          <c:dPt>
            <c:idx val="12"/>
            <c:bubble3D val="0"/>
          </c:dPt>
          <c:dPt>
            <c:idx val="13"/>
            <c:bubble3D val="0"/>
          </c:dPt>
          <c:dPt>
            <c:idx val="14"/>
            <c:bubble3D val="0"/>
          </c:dPt>
          <c:dPt>
            <c:idx val="15"/>
            <c:bubble3D val="0"/>
          </c:dPt>
          <c:dPt>
            <c:idx val="16"/>
            <c:bubble3D val="0"/>
          </c:dPt>
          <c:dPt>
            <c:idx val="17"/>
            <c:bubble3D val="0"/>
          </c:dPt>
          <c:dPt>
            <c:idx val="18"/>
            <c:bubble3D val="0"/>
          </c:dPt>
          <c:dLbls>
            <c:dLbl>
              <c:idx val="0"/>
              <c:delete val="1"/>
            </c:dLbl>
            <c:dLbl>
              <c:idx val="1"/>
              <c:delete val="1"/>
            </c:dLbl>
            <c:dLbl>
              <c:idx val="2"/>
              <c:delete val="1"/>
            </c:dLbl>
            <c:dLbl>
              <c:idx val="3"/>
              <c:layout>
                <c:manualLayout>
                  <c:x val="0.19096062992126"/>
                  <c:y val="0.000983284169124877"/>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4"/>
              <c:delete val="1"/>
            </c:dLbl>
            <c:dLbl>
              <c:idx val="5"/>
              <c:layout>
                <c:manualLayout>
                  <c:x val="-0.234596019247594"/>
                  <c:y val="0.000983284169124877"/>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6"/>
              <c:layout>
                <c:manualLayout>
                  <c:x val="-0.00439238845144357"/>
                  <c:y val="0.11897738446411"/>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10"/>
              <c:delete val="1"/>
            </c:dLbl>
            <c:dLbl>
              <c:idx val="11"/>
              <c:delete val="1"/>
            </c:dLbl>
            <c:dLbl>
              <c:idx val="12"/>
              <c:delete val="1"/>
            </c:dLbl>
            <c:dLbl>
              <c:idx val="13"/>
              <c:delete val="1"/>
            </c:dLbl>
            <c:dLbl>
              <c:idx val="14"/>
              <c:delete val="1"/>
            </c:dLbl>
            <c:dLbl>
              <c:idx val="15"/>
              <c:delete val="1"/>
            </c:dLbl>
            <c:dLbl>
              <c:idx val="16"/>
              <c:delete val="1"/>
            </c:dLbl>
            <c:dLbl>
              <c:idx val="17"/>
              <c:delete val="1"/>
            </c:dLbl>
            <c:dLbl>
              <c:idx val="18"/>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'[部门决算公开制图模板（修改版）(1).xlsx]支出决算结构'!$A$5:$A$23</c:f>
              <c:strCache>
                <c:ptCount val="19"/>
                <c:pt idx="0">
                  <c:v>一般公共服务支出</c:v>
                </c:pt>
                <c:pt idx="1">
                  <c:v>公共安全支出</c:v>
                </c:pt>
                <c:pt idx="2">
                  <c:v>教育支出</c:v>
                </c:pt>
                <c:pt idx="3">
                  <c:v>科学技术支出</c:v>
                </c:pt>
                <c:pt idx="4">
                  <c:v>文化体育与传媒支出</c:v>
                </c:pt>
                <c:pt idx="5">
                  <c:v>社会保障和就业支出</c:v>
                </c:pt>
                <c:pt idx="6">
                  <c:v>医疗卫生与计划生育支出</c:v>
                </c:pt>
                <c:pt idx="7">
                  <c:v>节能环保支出</c:v>
                </c:pt>
                <c:pt idx="8">
                  <c:v>城乡社区支出</c:v>
                </c:pt>
                <c:pt idx="9">
                  <c:v>农林水支出</c:v>
                </c:pt>
                <c:pt idx="10">
                  <c:v>交通运输支出</c:v>
                </c:pt>
                <c:pt idx="11">
                  <c:v>资源勘探信息等支出</c:v>
                </c:pt>
                <c:pt idx="12">
                  <c:v>商业服务业等支出</c:v>
                </c:pt>
                <c:pt idx="13">
                  <c:v>国土海洋气象等支出</c:v>
                </c:pt>
                <c:pt idx="14">
                  <c:v>住房保障支出</c:v>
                </c:pt>
                <c:pt idx="15">
                  <c:v>粮油物资储备支出</c:v>
                </c:pt>
                <c:pt idx="16">
                  <c:v>其他支出</c:v>
                </c:pt>
                <c:pt idx="17">
                  <c:v>债务还本支出</c:v>
                </c:pt>
                <c:pt idx="18">
                  <c:v>债务付息支出</c:v>
                </c:pt>
              </c:strCache>
            </c:strRef>
          </c:cat>
          <c:val>
            <c:numRef>
              <c:f>'[部门决算公开制图模板（修改版）(1).xlsx]支出决算结构'!$B$5:$B$23</c:f>
              <c:numCache>
                <c:formatCode>General</c:formatCode>
                <c:ptCount val="19"/>
                <c:pt idx="3">
                  <c:v>560</c:v>
                </c:pt>
                <c:pt idx="5">
                  <c:v>44.8</c:v>
                </c:pt>
                <c:pt idx="6">
                  <c:v>118.83</c:v>
                </c:pt>
                <c:pt idx="7">
                  <c:v>23161.05</c:v>
                </c:pt>
                <c:pt idx="8">
                  <c:v>96.49</c:v>
                </c:pt>
                <c:pt idx="9">
                  <c:v>5802.56</c:v>
                </c:pt>
              </c:numCache>
            </c:numRef>
          </c:val>
        </c:ser>
        <c:dLbls>
          <c:showLegendKey val="0"/>
          <c:showVal val="0"/>
          <c:showCatName val="1"/>
          <c:showSerName val="0"/>
          <c:showPercent val="1"/>
          <c:showBubbleSize val="0"/>
          <c:showLeaderLines val="1"/>
        </c:dLbls>
        <c:firstSliceAng val="0"/>
      </c:pieChart>
    </c:plotArea>
    <c:plotVisOnly val="1"/>
    <c:dispBlanksAs val="zero"/>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Info spid="_x0000_s1030"/>
    <customShpInfo spid="_x0000_s1029"/>
    <customShpInfo spid="_x0000_s1028"/>
    <customShpInfo spid="_x0000_s1027"/>
  </customShpExts>
</s:customData>
</file>

<file path=customXml/item2.xml><?xml version="1.0" encoding="utf-8"?>
<CoverPageProperties xmlns="http://schemas.microsoft.com/office/2006/coverPageProps">
  <PublishDate>2017</PublishDate>
  <Abstract/>
  <CompanyAddress/>
  <CompanyPhone/>
  <CompanyFax/>
  <CompanyEmail/>
</CoverPageProperties>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5AF091B-3C7A-41E3-B477-F2FDAA23CFDA}">
  <ds:schemaRefs/>
</ds:datastoreItem>
</file>

<file path=customXml/itemProps3.xml><?xml version="1.0" encoding="utf-8"?>
<ds:datastoreItem xmlns:ds="http://schemas.openxmlformats.org/officeDocument/2006/customXml" ds:itemID="{F169D0D6-2F6F-4379-8F4B-3D86C2BBFC3B}">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34</Pages>
  <Words>2077</Words>
  <Characters>11841</Characters>
  <Lines>98</Lines>
  <Paragraphs>27</Paragraphs>
  <TotalTime>12</TotalTime>
  <ScaleCrop>false</ScaleCrop>
  <LinksUpToDate>false</LinksUpToDate>
  <CharactersWithSpaces>13891</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2019-08-28T08:40:00Z</dcterms:created>
  <dc:creator>User</dc:creator>
  <cp:lastModifiedBy>浮生</cp:lastModifiedBy>
  <cp:lastPrinted>2019-09-09T08:43:00Z</cp:lastPrinted>
  <dcterms:modified xsi:type="dcterms:W3CDTF">2025-01-15T02:03:32Z</dcterms:modified>
  <dc:subject>石家庄市xxx部门</dc:subject>
  <dc:title>2017年度部门决算</dc:title>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324F840948D5402AA25F4B919F27677D</vt:lpwstr>
  </property>
</Properties>
</file>