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DedJhXGAQAAhQ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XSJnBmhaGBH398&#10;P/78ffz1jVVZn8FjTWF3ngLj+MaNKZZ0S3YkY6I9dsGkLxFi5Cd1D2d1YYxMknFRXc1flgvOJPmq&#10;slpcXS8STnFJ9wHjO3CGpUvDA40vqyr27zFOoX9DUjXrbpXWeYTa/mcgzMkCeQdO2ZeO0y2Om/FE&#10;Y+PaA7EbaA8ajl93IgBnIeq3Lq9Ngkb/ehepXm4jpU851H560HQykdMmpfH/+85Rl79n9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i9lks2QAAAA4BAAAPAAAAAAAAAAEAIAAAACIAAABkcnMvZG93&#10;bnJldi54bWxQSwECFAAUAAAACACHTuJAN50mFcYBAACFAwAADgAAAAAAAAABACAAAAAoAQAAZHJz&#10;L2Uyb0RvYy54bWxQSwUGAAAAAAYABgBZAQAAY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yXOe2QAAAAsBAAAPAAAAAAAAAAEAIAAAACIAAABkcnMvZG93bnJl&#10;di54bWxQSwECFAAUAAAACACHTuJAw/ztCvwBAADxAwAADgAAAAAAAAABACAAAAAoAQAAZHJzL2Uy&#10;b0RvYy54bWxQSwUGAAAAAAYABgBZAQAAl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0Chgu2AAAAAsBAAAPAAAAAAAAAAEAIAAA&#10;ACIAAABkcnMvZG93bnJldi54bWxQSwECFAAUAAAACACHTuJA916PDwwCAAD9AwAADgAAAAAAAAAB&#10;ACAAAAAnAQAAZHJzL2Uyb0RvYy54bWxQSwUGAAAAAAYABgBZAQAAp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4"/>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4"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01yfJdoAAAAMAQAADwAAAAAAAAABACAAAAAiAAAAZHJzL2Rvd25yZXYueG1sUEsB&#10;AhQAFAAAAAgAh07iQC73WPaeAgAAKgcAAA4AAAAAAAAAAQAgAAAAKQEAAGRycy9lMm9Eb2MueG1s&#10;UEsFBgAAAAAGAAYAWQEAADk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179705</wp:posOffset>
                </wp:positionV>
                <wp:extent cx="7623175" cy="3963670"/>
                <wp:effectExtent l="0" t="0" r="15875" b="0"/>
                <wp:wrapNone/>
                <wp:docPr id="4" name="组合 11"/>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1" o:spid="_x0000_s1026" o:spt="203" style="position:absolute;left:0pt;margin-left:389.45pt;margin-top:14.15pt;height:312.1pt;width:600.25pt;z-index:-251649024;mso-width-relative:page;mso-height-relative:page;" coordorigin="13622,283" coordsize="12005,6517" o:gfxdata="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FHTN2dwAAAALAQAADwAAAAAAAAABACAAAAAiAAAAZHJzL2Rv&#10;d25yZXYueG1sUEsBAhQAFAAAAAgAh07iQO1WS6rhAgAAzgYAAA4AAAAAAAAAAQAgAAAAKwEAAGRy&#10;cy9lMm9Eb2MueG1sUEsFBgAAAAAGAAYAWQEAAH4GA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rPr>
          <w:rFonts w:ascii="黑体" w:hAnsi="黑体" w:eastAsia="黑体" w:cs="黑体"/>
          <w:sz w:val="56"/>
          <w:szCs w:val="72"/>
        </w:rPr>
      </w:pPr>
    </w:p>
    <w:p>
      <w:pPr>
        <w:shd w:val="clear" w:color="auto" w:fill="FFFFFF" w:themeFill="background1"/>
        <w:snapToGrid w:val="0"/>
        <w:spacing w:line="480" w:lineRule="auto"/>
        <w:jc w:val="center"/>
        <w:rPr>
          <w:rFonts w:ascii="黑体" w:hAnsi="黑体" w:eastAsia="黑体" w:cs="黑体"/>
          <w:sz w:val="56"/>
          <w:szCs w:val="72"/>
        </w:rPr>
      </w:pPr>
      <w:r>
        <w:rPr>
          <w:rFonts w:hint="eastAsia" w:ascii="黑体" w:hAnsi="黑体" w:eastAsia="黑体" w:cs="黑体"/>
          <w:sz w:val="56"/>
          <w:szCs w:val="72"/>
        </w:rPr>
        <w:t>无极县郝庄乡人民政府</w:t>
      </w: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9"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EdhMyncAAAADQEAAA8AAAAAAAAAAQAgAAAAIgAAAGRy&#10;cy9kb3ducmV2LnhtbFBLAQIUABQAAAAIAIdO4kCnNGGEOgIAAJwEAAAOAAAAAAAAAAEAIAAAACsB&#10;AABkcnMvZTJvRG9jLnhtbFBLBQYAAAAABgAGAFkBAADXBQAAAAA=&#10;">
                <v:fill type="pattern" on="t" color2="#FFFFFF" o:title="5%"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ascii="仿宋_GB2312" w:hAnsi="Calibri" w:eastAsia="仿宋_GB2312" w:cs="ArialUnicodeMS"/>
          <w:kern w:val="0"/>
          <w:sz w:val="32"/>
          <w:szCs w:val="32"/>
        </w:rPr>
      </w:pPr>
      <w:r>
        <w:rPr>
          <w:rFonts w:ascii="仿宋_GB2312" w:hAnsi="Calibri" w:eastAsia="仿宋_GB2312" w:cs="ArialUnicodeMS"/>
          <w:kern w:val="0"/>
          <w:sz w:val="32"/>
          <w:szCs w:val="32"/>
        </w:rPr>
        <w:t>乡镇党委、政府要通过组织群众、宣传群众、教育群众，切实贯彻落实党和国家在农村的各项方针政策和法律法规，执行本级人民代表大会的决议和上级行政机关的决定和命令，围绕农业、农村、农民搞好服务。</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1.促进经济发展</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搞好本乡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2.加强社会管理</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3.提供公共服务</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4.维护农村稳定</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主要包括:（1）做好社会治安</w:t>
      </w:r>
      <w:r>
        <w:rPr>
          <w:rFonts w:hint="eastAsia" w:ascii="仿宋_GB2312" w:hAnsi="Calibri" w:eastAsia="仿宋_GB2312" w:cs="ArialUnicodeMS"/>
          <w:kern w:val="0"/>
          <w:sz w:val="32"/>
          <w:szCs w:val="32"/>
          <w:lang w:eastAsia="zh-CN"/>
        </w:rPr>
        <w:t>综合治理</w:t>
      </w:r>
      <w:r>
        <w:rPr>
          <w:rFonts w:hint="eastAsia" w:ascii="仿宋_GB2312" w:hAnsi="Calibri" w:eastAsia="仿宋_GB2312" w:cs="ArialUnicodeMS"/>
          <w:kern w:val="0"/>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autoSpaceDN w:val="0"/>
        <w:spacing w:line="560" w:lineRule="exact"/>
        <w:ind w:firstLine="546"/>
        <w:jc w:val="left"/>
        <w:rPr>
          <w:rFonts w:ascii="仿宋" w:hAnsi="宋体"/>
          <w:sz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无极县郝庄乡人民政府</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7" o:spid="_x0000_s1026" o:spt="202" type="#_x0000_t202" style="position:absolute;left:0pt;margin-left:-90.8pt;margin-top:4.35pt;height:263.1pt;width:613.65pt;z-index:25167155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9QfPi2gAAAAsBAAAPAAAAAAAAAAEAIAAAACIAAABkcnMv&#10;ZG93bnJldi54bWxQSwECFAAUAAAACACHTuJAq0JOYToCAACbBAAADgAAAAAAAAABACAAAAApAQAA&#10;ZHJzL2Uyb0RvYy54bWxQSwUGAAAAAAYABgBZAQAA1QU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本部门2019年度收支总计4763.14万元。与2018年度决算相比，收支各增加3801.24万元，增长395.18%%，主要原因是人员增加，项目增加。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本部门2019年度本年收入合计4763.14万元，其中：财政拨款收入4763.14万元，占100%；事业收入0万元，占0%；经营收入0万元，占0%；其他收入0万元，占0%。如图所示：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75648" behindDoc="1" locked="0" layoutInCell="1" allowOverlap="1">
            <wp:simplePos x="0" y="0"/>
            <wp:positionH relativeFrom="column">
              <wp:posOffset>686435</wp:posOffset>
            </wp:positionH>
            <wp:positionV relativeFrom="paragraph">
              <wp:posOffset>221615</wp:posOffset>
            </wp:positionV>
            <wp:extent cx="4055745" cy="2496820"/>
            <wp:effectExtent l="0" t="0" r="0" b="0"/>
            <wp:wrapTight wrapText="bothSides">
              <wp:wrapPolygon>
                <wp:start x="0" y="0"/>
                <wp:lineTo x="0" y="21095"/>
                <wp:lineTo x="101" y="21424"/>
                <wp:lineTo x="21407" y="21424"/>
                <wp:lineTo x="21509" y="21095"/>
                <wp:lineTo x="21509" y="0"/>
                <wp:lineTo x="0" y="0"/>
              </wp:wrapPolygon>
            </wp:wrapTight>
            <wp:docPr id="32" name="图片 3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图片1"/>
                    <pic:cNvPicPr>
                      <a:picLocks noChangeAspect="1"/>
                    </pic:cNvPicPr>
                  </pic:nvPicPr>
                  <pic:blipFill>
                    <a:blip r:embed="rId32"/>
                    <a:stretch>
                      <a:fillRect/>
                    </a:stretch>
                  </pic:blipFill>
                  <pic:spPr>
                    <a:xfrm>
                      <a:off x="0" y="0"/>
                      <a:ext cx="4055745" cy="2496820"/>
                    </a:xfrm>
                    <a:prstGeom prst="rect">
                      <a:avLst/>
                    </a:prstGeom>
                  </pic:spPr>
                </pic:pic>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本部门2019年度本年支出合计4763.14万元，其中：基本支出</w:t>
      </w:r>
      <w:r>
        <w:rPr>
          <w:rFonts w:hint="eastAsia" w:ascii="宋体" w:hAnsi="宋体" w:cs="仿宋_GB2312"/>
          <w:sz w:val="32"/>
          <w:szCs w:val="32"/>
        </w:rPr>
        <w:t>1160.84</w:t>
      </w:r>
      <w:r>
        <w:rPr>
          <w:rFonts w:hint="eastAsia" w:ascii="仿宋_GB2312" w:hAnsi="Times New Roman" w:eastAsia="仿宋_GB2312" w:cs="DengXian-Regular"/>
          <w:sz w:val="32"/>
          <w:szCs w:val="32"/>
        </w:rPr>
        <w:t>万元，占24.37%；项目支出</w:t>
      </w:r>
      <w:r>
        <w:rPr>
          <w:rFonts w:hint="eastAsia" w:ascii="宋体" w:hAnsi="宋体" w:cs="仿宋_GB2312"/>
          <w:sz w:val="32"/>
          <w:szCs w:val="32"/>
        </w:rPr>
        <w:t>3602.3</w:t>
      </w:r>
      <w:r>
        <w:rPr>
          <w:rFonts w:hint="eastAsia" w:ascii="仿宋_GB2312" w:hAnsi="Times New Roman" w:eastAsia="仿宋_GB2312" w:cs="DengXian-Regular"/>
          <w:sz w:val="32"/>
          <w:szCs w:val="32"/>
        </w:rPr>
        <w:t>万元，占75.63%；经营支出0万元，占0%。如图所示：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w:drawing>
          <wp:anchor distT="0" distB="0" distL="114300" distR="114300" simplePos="0" relativeHeight="251676672" behindDoc="1" locked="0" layoutInCell="1" allowOverlap="1">
            <wp:simplePos x="0" y="0"/>
            <wp:positionH relativeFrom="column">
              <wp:posOffset>420370</wp:posOffset>
            </wp:positionH>
            <wp:positionV relativeFrom="paragraph">
              <wp:posOffset>-175260</wp:posOffset>
            </wp:positionV>
            <wp:extent cx="4975225" cy="2609850"/>
            <wp:effectExtent l="4445" t="4445" r="68580" b="52705"/>
            <wp:wrapTight wrapText="bothSides">
              <wp:wrapPolygon>
                <wp:start x="-19" y="-37"/>
                <wp:lineTo x="-19" y="21563"/>
                <wp:lineTo x="21567" y="21563"/>
                <wp:lineTo x="21567" y="-37"/>
                <wp:lineTo x="-19" y="-37"/>
              </wp:wrapPolygon>
            </wp:wrapTight>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w:drawing>
          <wp:inline distT="0" distB="0" distL="114300" distR="114300">
            <wp:extent cx="4843145" cy="3449955"/>
            <wp:effectExtent l="4445" t="4445" r="10160" b="12700"/>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keepNext/>
        <w:keepLines/>
        <w:snapToGrid w:val="0"/>
        <w:spacing w:line="580" w:lineRule="exact"/>
        <w:ind w:firstLine="640" w:firstLineChars="200"/>
        <w:outlineLvl w:val="1"/>
        <w:rPr>
          <w:sz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1383665</wp:posOffset>
                </wp:positionH>
                <wp:positionV relativeFrom="paragraph">
                  <wp:posOffset>9525</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10146665"/>
                          <a:ext cx="3314065" cy="483235"/>
                        </a:xfrm>
                        <a:prstGeom prst="rect">
                          <a:avLst/>
                        </a:prstGeom>
                        <a:solidFill>
                          <a:srgbClr val="FFFFFF"/>
                        </a:solidFill>
                        <a:ln w="6350">
                          <a:noFill/>
                        </a:ln>
                        <a:effectLst/>
                      </wps:spPr>
                      <wps:txbx>
                        <w:txbxContent>
                          <w:p>
                            <w:pPr>
                              <w:adjustRightInd w:val="0"/>
                              <w:snapToGrid w:val="0"/>
                              <w:spacing w:line="560" w:lineRule="exact"/>
                              <w:jc w:val="center"/>
                              <w:rPr>
                                <w:rFonts w:ascii="黑体" w:hAnsi="Calibri" w:eastAsia="黑体" w:cs="Times New Roman"/>
                                <w:sz w:val="32"/>
                                <w:szCs w:val="32"/>
                              </w:rPr>
                            </w:pPr>
                            <w:r>
                              <w:rPr>
                                <w:rFonts w:hint="eastAsia" w:ascii="仿宋_GB2312" w:eastAsia="仿宋_GB2312" w:cs="DengXian-Regular"/>
                                <w:sz w:val="28"/>
                                <w:szCs w:val="28"/>
                              </w:rPr>
                              <w:t>图2：支出构成情况（按支出性质）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8.95pt;margin-top:0.75pt;height:38.05pt;width:260.95pt;z-index:-251645952;mso-width-relative:page;mso-height-relative:page;" fillcolor="#FFFFFF" filled="t" stroked="f" coordsize="21600,21600" o:gfxdata="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prnYy1AAAAAgBAAAPAAAAAAAAAAEAIAAAACIAAABkcnMvZG93bnJldi54bWxQSwECFAAUAAAA&#10;CACHTuJAp9OchGQCAACsBAAADgAAAAAAAAABACAAAAAjAQAAZHJzL2Uyb0RvYy54bWxQSwUGAAAA&#10;AAYABgBZAQAA+QUAAAAA&#10;">
                <v:fill on="t" focussize="0,0"/>
                <v:stroke on="f" weight="0.5pt"/>
                <v:imagedata o:title=""/>
                <o:lock v:ext="edit" aspectratio="f"/>
                <v:textbox>
                  <w:txbxContent>
                    <w:p>
                      <w:pPr>
                        <w:adjustRightInd w:val="0"/>
                        <w:snapToGrid w:val="0"/>
                        <w:spacing w:line="560" w:lineRule="exact"/>
                        <w:jc w:val="center"/>
                        <w:rPr>
                          <w:rFonts w:ascii="黑体" w:hAnsi="Calibri" w:eastAsia="黑体" w:cs="Times New Roman"/>
                          <w:sz w:val="32"/>
                          <w:szCs w:val="32"/>
                        </w:rPr>
                      </w:pPr>
                      <w:r>
                        <w:rPr>
                          <w:rFonts w:hint="eastAsia" w:ascii="仿宋_GB2312" w:eastAsia="仿宋_GB2312" w:cs="DengXian-Regular"/>
                          <w:sz w:val="28"/>
                          <w:szCs w:val="28"/>
                        </w:rPr>
                        <w:t>图2：支出构成情况（按支出性质）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sz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本部门2019年度财政拨款本年收入</w:t>
      </w:r>
      <w:r>
        <w:rPr>
          <w:rFonts w:hint="eastAsia" w:ascii="仿宋_GB2312" w:hAnsi="Times New Roman" w:eastAsia="仿宋_GB2312" w:cs="DengXian-Regular"/>
          <w:sz w:val="32"/>
          <w:szCs w:val="32"/>
        </w:rPr>
        <w:t>4763.14</w:t>
      </w:r>
      <w:r>
        <w:rPr>
          <w:rFonts w:hint="eastAsia" w:ascii="仿宋_GB2312" w:eastAsia="仿宋_GB2312" w:cs="DengXian-Regular"/>
          <w:sz w:val="32"/>
          <w:szCs w:val="32"/>
        </w:rPr>
        <w:t>万元,比2018年度增加</w:t>
      </w:r>
      <w:r>
        <w:rPr>
          <w:rFonts w:hint="eastAsia" w:ascii="仿宋_GB2312" w:hAnsi="Times New Roman" w:eastAsia="仿宋_GB2312" w:cs="DengXian-Regular"/>
          <w:sz w:val="32"/>
          <w:szCs w:val="32"/>
        </w:rPr>
        <w:t>3801.24万元，增长395.18%，主要原因是人员增加，项目增加，</w:t>
      </w:r>
      <w:r>
        <w:rPr>
          <w:rFonts w:hint="eastAsia" w:ascii="仿宋_GB2312" w:eastAsia="仿宋_GB2312" w:cs="DengXian-Regular"/>
          <w:sz w:val="32"/>
          <w:szCs w:val="32"/>
        </w:rPr>
        <w:t>财政拨款较上年度增加；本年支出</w:t>
      </w:r>
      <w:r>
        <w:rPr>
          <w:rFonts w:hint="eastAsia" w:ascii="仿宋_GB2312" w:hAnsi="Times New Roman" w:eastAsia="仿宋_GB2312" w:cs="DengXian-Regular"/>
          <w:sz w:val="32"/>
          <w:szCs w:val="32"/>
        </w:rPr>
        <w:t>4763.14</w:t>
      </w:r>
      <w:r>
        <w:rPr>
          <w:rFonts w:hint="eastAsia" w:ascii="仿宋_GB2312" w:eastAsia="仿宋_GB2312" w:cs="DengXian-Regular"/>
          <w:sz w:val="32"/>
          <w:szCs w:val="32"/>
        </w:rPr>
        <w:t>万元，增加</w:t>
      </w:r>
      <w:r>
        <w:rPr>
          <w:rFonts w:hint="eastAsia" w:ascii="仿宋_GB2312" w:hAnsi="仿宋_GB2312" w:eastAsia="仿宋_GB2312" w:cs="仿宋_GB2312"/>
          <w:sz w:val="32"/>
          <w:szCs w:val="32"/>
        </w:rPr>
        <w:t>3797.08</w:t>
      </w:r>
      <w:r>
        <w:rPr>
          <w:rFonts w:hint="eastAsia" w:ascii="仿宋_GB2312" w:eastAsia="仿宋_GB2312" w:cs="DengXian-Regular"/>
          <w:sz w:val="32"/>
          <w:szCs w:val="32"/>
        </w:rPr>
        <w:t>万元，增长</w:t>
      </w:r>
      <w:r>
        <w:rPr>
          <w:rFonts w:hint="eastAsia" w:ascii="仿宋_GB2312" w:hAnsi="仿宋_GB2312" w:eastAsia="仿宋_GB2312" w:cs="仿宋_GB2312"/>
          <w:sz w:val="32"/>
          <w:szCs w:val="32"/>
        </w:rPr>
        <w:t>393.05</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业务量增加，支出增加。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1、一般公共预算财政拨款本年收入4710.1万元，比上年增加3752.49万元，增长391.86%；主要是本部门2019年度人员增加，项目增加，主要增加项目是环境整治项目拨款153万元，财政拨款较上年度增加；本年支出</w:t>
      </w:r>
      <w:r>
        <w:rPr>
          <w:rFonts w:hint="eastAsia" w:ascii="宋体" w:hAnsi="宋体" w:cs="仿宋_GB2312"/>
          <w:sz w:val="32"/>
          <w:szCs w:val="32"/>
        </w:rPr>
        <w:t>1160.84</w:t>
      </w:r>
      <w:r>
        <w:rPr>
          <w:rFonts w:hint="eastAsia" w:ascii="仿宋_GB2312" w:eastAsia="仿宋_GB2312" w:cs="DengXian-Regular"/>
          <w:sz w:val="32"/>
          <w:szCs w:val="32"/>
        </w:rPr>
        <w:t>万元，比上年增加199.07万元，增长20.70%，主要是是本部门业务增加，增加了支出。</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eastAsia="仿宋_GB2312" w:cs="DengXian-Regular"/>
          <w:sz w:val="32"/>
          <w:szCs w:val="32"/>
        </w:rPr>
        <w:t>2、政府性基金预算财政拨款本年收入53.04万元，比上年增加48.75万元，增长113.63%，主要原因是本部门2019年度</w:t>
      </w:r>
      <w:r>
        <w:rPr>
          <w:rFonts w:hint="eastAsia" w:ascii="仿宋_GB2312" w:hAnsi="仿宋_GB2312" w:eastAsia="仿宋_GB2312" w:cs="仿宋_GB2312"/>
          <w:sz w:val="32"/>
          <w:szCs w:val="32"/>
        </w:rPr>
        <w:t>财政拨款增加</w:t>
      </w:r>
      <w:r>
        <w:rPr>
          <w:rFonts w:hint="eastAsia" w:ascii="仿宋_GB2312" w:eastAsia="仿宋_GB2312" w:cs="DengXian-Regular"/>
          <w:sz w:val="32"/>
          <w:szCs w:val="32"/>
        </w:rPr>
        <w:t>；本年支出53.04万元，比上年增加48.75万元，增长113.63%，主要是本部门2019年度</w:t>
      </w:r>
      <w:r>
        <w:rPr>
          <w:rFonts w:hint="eastAsia" w:ascii="仿宋_GB2312" w:hAnsi="仿宋_GB2312" w:eastAsia="仿宋_GB2312" w:cs="仿宋_GB2312"/>
          <w:sz w:val="32"/>
          <w:szCs w:val="32"/>
        </w:rPr>
        <w:t>财政拨款增加</w:t>
      </w:r>
      <w:r>
        <w:rPr>
          <w:rFonts w:hint="eastAsia" w:ascii="仿宋_GB2312" w:eastAsia="仿宋_GB2312" w:cs="DengXian-Regular"/>
          <w:sz w:val="32"/>
          <w:szCs w:val="32"/>
        </w:rPr>
        <w:t>。</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77696" behindDoc="0" locked="0" layoutInCell="1" allowOverlap="1">
            <wp:simplePos x="0" y="0"/>
            <wp:positionH relativeFrom="column">
              <wp:posOffset>467360</wp:posOffset>
            </wp:positionH>
            <wp:positionV relativeFrom="paragraph">
              <wp:posOffset>143510</wp:posOffset>
            </wp:positionV>
            <wp:extent cx="4871085" cy="2915285"/>
            <wp:effectExtent l="4445" t="4445" r="20320" b="13970"/>
            <wp:wrapSquare wrapText="bothSides"/>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本部门2019年度财政拨款本年收入4763.14万元，完成年初预算的</w:t>
      </w:r>
      <w:r>
        <w:rPr>
          <w:rFonts w:hint="eastAsia" w:ascii="宋体" w:hAnsi="宋体" w:cs="DengXian-Regular"/>
          <w:sz w:val="32"/>
          <w:szCs w:val="32"/>
        </w:rPr>
        <w:t>255.26%</w:t>
      </w:r>
      <w:r>
        <w:rPr>
          <w:rFonts w:hint="eastAsia" w:ascii="仿宋_GB2312" w:hAnsi="Times New Roman" w:eastAsia="仿宋_GB2312" w:cs="DengXian-Regular"/>
          <w:sz w:val="32"/>
          <w:szCs w:val="32"/>
        </w:rPr>
        <w:t>（如图4）,比年初预算增加</w:t>
      </w:r>
      <w:r>
        <w:rPr>
          <w:rFonts w:hint="eastAsia" w:ascii="宋体" w:hAnsi="宋体" w:cs="DengXian-Regular"/>
          <w:sz w:val="32"/>
          <w:szCs w:val="32"/>
        </w:rPr>
        <w:t>3422.38</w:t>
      </w:r>
      <w:r>
        <w:rPr>
          <w:rFonts w:hint="eastAsia" w:ascii="仿宋_GB2312" w:hAnsi="Times New Roman" w:eastAsia="仿宋_GB2312" w:cs="DengXian-Regular"/>
          <w:sz w:val="32"/>
          <w:szCs w:val="32"/>
        </w:rPr>
        <w:t>万元，决算数大于预算数主要原因是人员增加，项目增加，财政拨款增加；本年支出4763.14万元，完成年初预算的</w:t>
      </w:r>
      <w:r>
        <w:rPr>
          <w:rFonts w:hint="eastAsia" w:ascii="宋体" w:hAnsi="宋体" w:cs="DengXian-Regular"/>
          <w:sz w:val="32"/>
          <w:szCs w:val="32"/>
        </w:rPr>
        <w:t>255.26%</w:t>
      </w:r>
      <w:r>
        <w:rPr>
          <w:rFonts w:hint="eastAsia" w:ascii="仿宋_GB2312" w:hAnsi="Times New Roman" w:eastAsia="仿宋_GB2312" w:cs="DengXian-Regular"/>
          <w:sz w:val="32"/>
          <w:szCs w:val="32"/>
        </w:rPr>
        <w:t>（如图4）,比年初预算增加</w:t>
      </w:r>
      <w:r>
        <w:rPr>
          <w:rFonts w:hint="eastAsia" w:ascii="宋体" w:hAnsi="宋体" w:cs="DengXian-Regular"/>
          <w:sz w:val="32"/>
          <w:szCs w:val="32"/>
        </w:rPr>
        <w:t>3422.38</w:t>
      </w:r>
      <w:r>
        <w:rPr>
          <w:rFonts w:hint="eastAsia" w:ascii="仿宋_GB2312" w:hAnsi="Times New Roman" w:eastAsia="仿宋_GB2312" w:cs="DengXian-Regular"/>
          <w:sz w:val="32"/>
          <w:szCs w:val="32"/>
        </w:rPr>
        <w:t>万元，决算数大于预算数主要原因是主要是废旧汽车、拆解市场清零等业务增加，支出增加。具体情况如下：</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一般公共预算财政拨款本年收入完成年初预算251.3%，比年初预算增加3369.34万元，主要是业务增加，财政拨款增加；支出完成年初预算251.3%，比年初预算增加3369.34万元，主要是废旧汽车、拆解市场清零等业务增加，支出增加。</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2、政府性基金预算财政拨款本年收入年初无预算，比年初预算增加53.04万元，主要是本部门2019年度无相关收入预算情况；支</w:t>
      </w:r>
      <w:r>
        <w:rPr>
          <w:rFonts w:hint="eastAsia" w:ascii="仿宋_GB2312" w:hAnsi="Times New Roman" w:eastAsia="仿宋_GB2312" w:cs="DengXian-Regular"/>
          <w:sz w:val="32"/>
          <w:szCs w:val="32"/>
        </w:rPr>
        <w:t>出年初无预算，比年初预算增加53.04万元，主要是</w:t>
      </w:r>
      <w:r>
        <w:rPr>
          <w:rFonts w:hint="eastAsia" w:ascii="仿宋_GB2312" w:eastAsia="仿宋_GB2312" w:cs="DengXian-Regular"/>
          <w:sz w:val="32"/>
          <w:szCs w:val="32"/>
        </w:rPr>
        <w:t>本部门2019年度无相关收入预算情况</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8720" behindDoc="1" locked="0" layoutInCell="1" allowOverlap="1">
            <wp:simplePos x="0" y="0"/>
            <wp:positionH relativeFrom="column">
              <wp:posOffset>269240</wp:posOffset>
            </wp:positionH>
            <wp:positionV relativeFrom="paragraph">
              <wp:posOffset>351790</wp:posOffset>
            </wp:positionV>
            <wp:extent cx="5021580" cy="2931795"/>
            <wp:effectExtent l="4445" t="4445" r="22225" b="16510"/>
            <wp:wrapThrough wrapText="bothSides">
              <wp:wrapPolygon>
                <wp:start x="-19" y="-33"/>
                <wp:lineTo x="-19" y="21441"/>
                <wp:lineTo x="21532" y="21441"/>
                <wp:lineTo x="21532" y="-33"/>
                <wp:lineTo x="-19" y="-33"/>
              </wp:wrapPolygon>
            </wp:wrapThrough>
            <wp:docPr id="39" name="图表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4763.14万元，主要用于以下方面：一般公共服务（类）支出4,593.25万元，占96.43%；社会保障和就业（类）支出102.47万元，占2.15%；卫生建康（类）支出14.38万元，占0.31%；城乡社区（类）支出53.04万元，占 1.11%。</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79744" behindDoc="1" locked="0" layoutInCell="1" allowOverlap="1">
            <wp:simplePos x="0" y="0"/>
            <wp:positionH relativeFrom="column">
              <wp:posOffset>623570</wp:posOffset>
            </wp:positionH>
            <wp:positionV relativeFrom="paragraph">
              <wp:posOffset>222885</wp:posOffset>
            </wp:positionV>
            <wp:extent cx="4328160" cy="2353310"/>
            <wp:effectExtent l="4445" t="4445" r="48895" b="80645"/>
            <wp:wrapTight wrapText="bothSides">
              <wp:wrapPolygon>
                <wp:start x="-22" y="-41"/>
                <wp:lineTo x="-22" y="21466"/>
                <wp:lineTo x="21559" y="21466"/>
                <wp:lineTo x="21559" y="-41"/>
                <wp:lineTo x="-22" y="-41"/>
              </wp:wrapPolygon>
            </wp:wrapTight>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宋体" w:hAnsi="宋体" w:cs="仿宋_GB2312"/>
          <w:sz w:val="32"/>
          <w:szCs w:val="32"/>
        </w:rPr>
        <w:t>1160.84</w:t>
      </w:r>
      <w:r>
        <w:rPr>
          <w:rFonts w:hint="eastAsia" w:ascii="仿宋_GB2312" w:hAnsi="Times New Roman" w:eastAsia="仿宋_GB2312" w:cs="DengXian-Regular"/>
          <w:sz w:val="32"/>
          <w:szCs w:val="32"/>
        </w:rPr>
        <w:t xml:space="preserve">万元，其中：人员经费 </w:t>
      </w:r>
      <w:r>
        <w:rPr>
          <w:rFonts w:hint="eastAsia" w:ascii="宋体" w:hAnsi="宋体" w:cs="仿宋_GB2312"/>
          <w:sz w:val="32"/>
          <w:szCs w:val="32"/>
        </w:rPr>
        <w:t>529.58</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宋体" w:hAnsi="宋体" w:cs="仿宋_GB2312"/>
          <w:sz w:val="32"/>
          <w:szCs w:val="32"/>
        </w:rPr>
        <w:t>631.26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utoSpaceDN w:val="0"/>
        <w:spacing w:line="560" w:lineRule="exact"/>
        <w:ind w:firstLine="64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eastAsia="仿宋_GB2312" w:cs="DengXian-Regular"/>
          <w:sz w:val="32"/>
          <w:szCs w:val="32"/>
        </w:rPr>
        <w:t>0.82</w:t>
      </w:r>
      <w:r>
        <w:rPr>
          <w:rFonts w:hint="eastAsia" w:ascii="仿宋_GB2312" w:hAnsi="Times New Roman" w:eastAsia="仿宋_GB2312" w:cs="DengXian-Regular"/>
          <w:sz w:val="32"/>
          <w:szCs w:val="32"/>
        </w:rPr>
        <w:t>万元，完成预算的27.33%,较预算减少2.18万元，降低72.67%，主要是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w:t>
      </w:r>
      <w:r>
        <w:rPr>
          <w:rFonts w:hint="eastAsia" w:ascii="仿宋_GB2312" w:hAnsi="仿宋_GB2312" w:eastAsia="仿宋_GB2312" w:cs="仿宋_GB2312"/>
          <w:sz w:val="32"/>
          <w:szCs w:val="32"/>
        </w:rPr>
        <w:t>增加0.39万元，增加90.7%，主要是公车正常运行支出增加。</w:t>
      </w:r>
      <w:r>
        <w:rPr>
          <w:rFonts w:hint="eastAsia" w:ascii="仿宋_GB2312" w:eastAsia="仿宋_GB2312" w:cs="DengXian-Regular"/>
          <w:sz w:val="32"/>
          <w:szCs w:val="32"/>
        </w:rPr>
        <w:t>全年实际支出比预算有所节约</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w:t>
      </w:r>
      <w:r>
        <w:rPr>
          <w:rFonts w:hint="eastAsia" w:ascii="仿宋_GB2312" w:eastAsia="仿宋_GB2312" w:cs="DengXian-Regular"/>
          <w:sz w:val="32"/>
          <w:szCs w:val="32"/>
        </w:rPr>
        <w:t>因公出国（境）费支出较预算持平，本部门2019年度未发生“因公出国（境）费支出”经费支出，“较2018年度决算支出持平。”。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（二）公务用车购置及运行维护费支出0.82万元。</w:t>
      </w:r>
      <w:r>
        <w:rPr>
          <w:rFonts w:hint="eastAsia" w:ascii="仿宋_GB2312" w:hAnsi="Times New Roman" w:eastAsia="仿宋_GB2312" w:cs="DengXian-Regular"/>
          <w:sz w:val="32"/>
          <w:szCs w:val="32"/>
        </w:rPr>
        <w:t>本部门2019年度公务用车购置及运行维护费较预算减少2.18万元，降低72.67%,主要是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w:t>
      </w:r>
      <w:r>
        <w:rPr>
          <w:rFonts w:hint="eastAsia" w:ascii="仿宋_GB2312" w:hAnsi="仿宋_GB2312" w:eastAsia="仿宋_GB2312" w:cs="仿宋_GB2312"/>
          <w:sz w:val="32"/>
          <w:szCs w:val="32"/>
        </w:rPr>
        <w:t>增加0.39万元，增加90.7%，主要是公车正常运行支出增加。</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本部门2019年度公务用车购置量0辆，发生“公务用车购置”经费支出0万元。公务用车购置费支出较预算持平，本部门2019年度未发生“公务用车购置”经费支出；与2018年度决算支出持平。</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本部门2019年度单位公务用车保有量1辆。公车运行维护费支出较预算减少2.18万元，降低72.67%,主要是</w:t>
      </w:r>
      <w:bookmarkStart w:id="0" w:name="_GoBack"/>
      <w:bookmarkEnd w:id="0"/>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w:t>
      </w:r>
      <w:r>
        <w:rPr>
          <w:rFonts w:hint="eastAsia" w:ascii="仿宋_GB2312" w:hAnsi="仿宋_GB2312" w:eastAsia="仿宋_GB2312" w:cs="仿宋_GB2312"/>
          <w:sz w:val="32"/>
          <w:szCs w:val="32"/>
        </w:rPr>
        <w:t>增加0.39万元，增加90.7%，主要是公车正常运行支出增加。</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eastAsia="仿宋_GB2312" w:cs="DengXian-Regular"/>
          <w:sz w:val="32"/>
          <w:szCs w:val="32"/>
        </w:rPr>
        <w:t>本部门2019年度公务接待共0批次、0人次。公务接待费支出较预算持平,本部门2018年度未发生公务接待经费支出，“较2018年度决算支出持平。”。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部门组织对2019年度一般公共预算项目支出全面开展绩效自评，其中，一级项目3个，共涉及资金682万元，占一般公共预算项目支出总额的18.93%。组织对环境整治、滹沱河河道拆违、拆车市场清零三个项目开展了部门评价，涉及一般公共预算支出682万元。从评价情况来看，评价结果为优秀的项目有3个。</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本部门在今年部门决算公开中反映环境整治项目、滹沱河河道拆违项目、拆车市场清零项目三个项目绩效自评结果。</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环境整治项目自评综述：根据年初设定的绩效目标，环境整治项目绩效自评得分为95分。全年预算数为153万元，执行数为153万元，完成预算的100%。项目绩效目标完成情况：一是项目自评组织情况.通过多方收集资料，然后进行了严格的自评过程得出评价结果；二是绩效评价结果分为优、良、合格、不合格四个等级。即：分值≥90分为优，90＞分值≥70分为良，70＞分值≥60分为合格，分值＜60为不合格。发现的主要问题及原因：一是项目进行中可能出现的一系列的问题；二是项目进行中和群众要求有时出现不一致情况。下一步改进措施：一是在前期准备的过程中要进行充分的准备，提前做好应急预案；二是要加强对群众的宣传力度，倾听群众意见，多途径、多方式的做好群众工作。</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滹沱河河道拆违项目绩效自评综述：根据年初设定的绩效目标，滹沱河河道拆违项目绩效自评得分为95分。全年预算数为329万元，执行数为329万元，完成预算的100%。项目绩效目标完成情况：一是项目自评组织情况.通过多方收集资料，然后进行了严格的自评过程得出评价结果；二是绩效评价结果分为优、良、合格、不合格四个等级。即：分值≥90分为优，90＞分值≥70分为良，70＞分值≥60分为合格，分值＜60为不合格。发现的主要问题及原因：一是项目进行中可能出现的一系列的问题；二是项目进行中和群众要求有时出现不一致情况。下一步改进措施：一是在前期准备的过程中要进行充分的准备，提前做好应急预案；二是要加强对群众的宣传力度，倾听群众意见，多途径、多方式的做好群众工作。</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拆车市场清零项目绩效自评综述：根据年初设定的绩效目标，拆车市场清零项目绩效自评得分为95分。全年预算数为200万元，执行数为200万元，完成预算的100%。项目绩效目标完成情况：一是项目自评组织情况.通过多方收集资料，然后进行了严格的自评过程得出评价结果；二是绩效评价结果分为优、良、合格、不合格四个等级。即：分值≥90分为优，90＞分值≥70分为良，70＞分值≥60分为合格，分值＜60为不合格。发现的主要问题及原因：一是项目进行中可能出现的一系列的问题；二是项目进行中和群众要求有时出现不一致情况。下一步改进措施：一是在前期准备的过程中要进行充分的准备，提前做好应急预案；二是要加强对群众的宣传力度，倾听群众意见，多途径、多方式的做好群众工作。</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环境整治</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无极县财政局</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郝庄乡人民政府</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153</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153</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153</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153</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对郝庄乡境内环境卫生进行整治</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21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指标1：质量达标率:对所属工作检查、指导、考核和落实检查情况。</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11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指标1：完成及时性：是否能按期保证按质按量地完成相应工作。</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08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指标1：项目实施所产生的效益：所进行的工作是否对环境整治起到相应的效果。</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85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指标1：满意度：群众以及工作人员对此次活动的具体评价如何。</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bl>
    <w:p>
      <w:pPr>
        <w:spacing w:line="360" w:lineRule="auto"/>
        <w:rPr>
          <w:rFonts w:ascii="仿宋_GB2312" w:eastAsia="仿宋_GB2312" w:cs="DengXian-Regular"/>
          <w:sz w:val="32"/>
          <w:szCs w:val="32"/>
        </w:rPr>
      </w:pP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滹沱河河道拆违</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无极县财政局</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郝庄乡人民政府</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noWrap/>
            <w:vAlign w:val="center"/>
          </w:tcPr>
          <w:p>
            <w:pPr>
              <w:widowControl/>
              <w:tabs>
                <w:tab w:val="left" w:pos="373"/>
                <w:tab w:val="center" w:pos="519"/>
              </w:tabs>
              <w:spacing w:line="240" w:lineRule="exact"/>
              <w:rPr>
                <w:rFonts w:ascii="宋体" w:hAnsi="宋体" w:eastAsia="宋体" w:cs="宋体"/>
                <w:kern w:val="0"/>
                <w:sz w:val="18"/>
                <w:szCs w:val="18"/>
              </w:rPr>
            </w:pPr>
            <w:r>
              <w:rPr>
                <w:rFonts w:hint="eastAsia" w:ascii="宋体" w:hAnsi="宋体" w:eastAsia="宋体" w:cs="宋体"/>
                <w:kern w:val="0"/>
                <w:sz w:val="18"/>
                <w:szCs w:val="18"/>
              </w:rPr>
              <w:t xml:space="preserve"> 329</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329</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329</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329</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对滹沱河道内违法建筑进行拆除</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88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指标1：实际完成率：是否能够按照预期的任务量完成。</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4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指标1：质量达标率：组织每周均应对所属拆违现场进行全面检查。</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63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指标1：完成及时性：是否能按期保证按质按量地完成相应工作。拆除违建过程中的每一个环节是否都能按时完成，顺利地进行下一环节。</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6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指标1：社会认可度：社会公众对拆违给予的反馈</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00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指标1：满意度：拆违后续解决对策是否落实，村民们的反馈如何。</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74" w:hRule="exact"/>
          <w:jc w:val="center"/>
        </w:trPr>
        <w:tc>
          <w:tcPr>
            <w:tcW w:w="9080" w:type="dxa"/>
            <w:gridSpan w:val="14"/>
            <w:tcBorders>
              <w:top w:val="nil"/>
              <w:left w:val="nil"/>
              <w:bottom w:val="nil"/>
              <w:right w:val="nil"/>
            </w:tcBorders>
            <w:noWrap/>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拆车市场清零</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无极县财政局</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郝庄乡人民政府</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200</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200</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200</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200</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对废旧汽车、拆车市场进行清零</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112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指标1：实际完成率：是否能够按照预期的任务量完成。</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32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指标1：质量达标率：根据考核要求对所属质量标准化达标情况做好统计工作。</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21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指标1：完成及时性：是否能按期对拆车市场进行清零</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18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指标1：成本节约率：能否在保证质量的情况下尽可能地节约成本，达到节约的目的。</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855"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指标1：满意度：企业们对此次活动的认可度以及评价。</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bl>
    <w:p>
      <w:pPr>
        <w:spacing w:line="360" w:lineRule="auto"/>
        <w:rPr>
          <w:rFonts w:ascii="仿宋_GB2312" w:eastAsia="仿宋_GB2312" w:cs="DengXian-Regular"/>
          <w:sz w:val="32"/>
          <w:szCs w:val="32"/>
        </w:rPr>
      </w:pP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仿宋_GB2312" w:hAnsi="仿宋_GB2312" w:eastAsia="仿宋_GB2312" w:cs="仿宋_GB2312"/>
          <w:sz w:val="32"/>
          <w:szCs w:val="32"/>
        </w:rPr>
        <w:t>本部门无财政评价项目绩效评价情况。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本部门2019年度机关运行经费支出631.26万元，2018年度机关运行经费支出159.19万元，，比上年度增加472.07万元，增长296.55%。主要原因是本部门2019年度工作业务量增加，机关运行经费支出增加。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本部门2019年度政府采购支出总额142.67万元，从采购类型来看，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142.67</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截至2019年12月31日，本部门共有车辆4辆，比上年增加1辆，主要是购置环保车辆。其中，副部（省）级及以上领导用车0辆，主要领导干部用车0辆，机要通信用车1辆，应急保障用车0辆，执法执勤用车1辆，特种专业技术用车0辆，离退休干部用车0辆，其他用车2辆，其他用车主要是</w:t>
      </w:r>
      <w:r>
        <w:rPr>
          <w:rFonts w:hint="eastAsia" w:ascii="仿宋_GB2312" w:eastAsia="仿宋_GB2312" w:cs="DengXian-Regular"/>
          <w:sz w:val="32"/>
          <w:szCs w:val="32"/>
        </w:rPr>
        <w:t>其他用车主要是洒水车；单位价值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万元以上通用设备0台，比上年增加0台，主要是没有相关项目的支出，单位价值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万元以上专用设备0台，比上年增加0套,主要是没有相关项目的支出。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本部门2019年度国有资本经营预算财政拨款收入支出无收支及结转结余情况，故国有资本经营预算财政拨款收入支出决算表以空表列示。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7257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hub7J9sAAAAMAQAADwAAAAAAAAABACAAAAAiAAAAZHJz&#10;L2Rvd25yZXYueG1sUEsBAhQAFAAAAAgAh07iQGEboRs6AgAAmwQAAA4AAAAAAAAAAQAgAAAAKgEA&#10;AGRycy9lMm9Eb2MueG1sUEsFBgAAAAAGAAYAWQEAANYFAAAAAA==&#10;">
                <v:fill type="pattern" on="t" color2="#FFFFFF" o:title="5%"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7360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4GX3Z3QAAAA0BAAAPAAAAAAAAAAEAIAAAACIAAABk&#10;cnMvZG93bnJldi54bWxQSwECFAAUAAAACACHTuJA29tHFzoCAACcBAAADgAAAAAAAAABACAAAAAs&#10;AQAAZHJzL2Uyb0RvYy54bWxQSwUGAAAAAAYABgBZAQAA2AU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616"/>
        <w:gridCol w:w="806"/>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部门：无极县郝庄乡人民政府</w:t>
            </w:r>
          </w:p>
        </w:tc>
        <w:tc>
          <w:tcPr>
            <w:tcW w:w="6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4710.10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4593.25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53.04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102.47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14.38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53.04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4763.14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4763.14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6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4763.14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4763.14　</w:t>
            </w:r>
          </w:p>
        </w:tc>
      </w:tr>
    </w:tbl>
    <w:tbl>
      <w:tblPr>
        <w:tblStyle w:val="7"/>
        <w:tblW w:w="5000" w:type="pct"/>
        <w:tblInd w:w="0" w:type="dxa"/>
        <w:shd w:val="clear" w:color="auto" w:fill="FFFFFF" w:themeFill="background1"/>
        <w:tblLayout w:type="fixed"/>
        <w:tblCellMar>
          <w:top w:w="0" w:type="dxa"/>
          <w:left w:w="0" w:type="dxa"/>
          <w:bottom w:w="0" w:type="dxa"/>
          <w:right w:w="0" w:type="dxa"/>
        </w:tblCellMar>
      </w:tblPr>
      <w:tblGrid>
        <w:gridCol w:w="896"/>
        <w:gridCol w:w="239"/>
        <w:gridCol w:w="241"/>
        <w:gridCol w:w="3449"/>
        <w:gridCol w:w="1140"/>
        <w:gridCol w:w="1325"/>
        <w:gridCol w:w="563"/>
        <w:gridCol w:w="539"/>
        <w:gridCol w:w="525"/>
        <w:gridCol w:w="523"/>
        <w:gridCol w:w="1056"/>
      </w:tblGrid>
      <w:tr>
        <w:tblPrEx>
          <w:tblCellMar>
            <w:top w:w="0" w:type="dxa"/>
            <w:left w:w="0" w:type="dxa"/>
            <w:bottom w:w="0" w:type="dxa"/>
            <w:right w:w="0" w:type="dxa"/>
          </w:tblCellMar>
        </w:tblPrEx>
        <w:trPr>
          <w:trHeight w:val="1134" w:hRule="atLeast"/>
        </w:trPr>
        <w:tc>
          <w:tcPr>
            <w:tcW w:w="5000" w:type="pct"/>
            <w:gridSpan w:val="11"/>
            <w:tcBorders>
              <w:top w:val="nil"/>
              <w:left w:val="nil"/>
              <w:bottom w:val="nil"/>
              <w:right w:val="nil"/>
            </w:tcBorders>
            <w:shd w:val="clear" w:color="auto" w:fill="FFFFFF" w:themeFill="background1"/>
            <w:noWrap/>
            <w:tcMar>
              <w:top w:w="15" w:type="dxa"/>
              <w:left w:w="15" w:type="dxa"/>
              <w:right w:w="15" w:type="dxa"/>
            </w:tcMar>
            <w:vAlign w:val="bottom"/>
          </w:tcPr>
          <w:p>
            <w:pPr>
              <w:jc w:val="center"/>
              <w:rPr>
                <w:rFonts w:ascii="Arial" w:hAnsi="Arial" w:cs="Arial"/>
                <w:color w:val="000000"/>
                <w:sz w:val="20"/>
                <w:szCs w:val="20"/>
              </w:rPr>
            </w:pPr>
            <w:r>
              <w:rPr>
                <w:rFonts w:hint="eastAsia" w:ascii="黑体" w:hAnsi="宋体" w:eastAsia="黑体" w:cs="黑体"/>
                <w:color w:val="000000"/>
                <w:kern w:val="0"/>
                <w:sz w:val="32"/>
                <w:szCs w:val="32"/>
              </w:rPr>
              <w:t>收入决算表</w:t>
            </w:r>
          </w:p>
        </w:tc>
      </w:tr>
      <w:tr>
        <w:tblPrEx>
          <w:shd w:val="clear" w:color="auto" w:fill="FFFFFF" w:themeFill="background1"/>
          <w:tblCellMar>
            <w:top w:w="0" w:type="dxa"/>
            <w:left w:w="0" w:type="dxa"/>
            <w:bottom w:w="0" w:type="dxa"/>
            <w:right w:w="0" w:type="dxa"/>
          </w:tblCellMar>
        </w:tblPrEx>
        <w:trPr>
          <w:trHeight w:val="255" w:hRule="atLeast"/>
        </w:trPr>
        <w:tc>
          <w:tcPr>
            <w:tcW w:w="427"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643"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543"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631"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68"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57"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50"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49"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500"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shd w:val="clear" w:color="auto" w:fill="FFFFFF" w:themeFill="background1"/>
          <w:tblCellMar>
            <w:top w:w="0" w:type="dxa"/>
            <w:left w:w="0" w:type="dxa"/>
            <w:bottom w:w="0" w:type="dxa"/>
            <w:right w:w="0" w:type="dxa"/>
          </w:tblCellMar>
        </w:tblPrEx>
        <w:trPr>
          <w:trHeight w:val="255" w:hRule="atLeast"/>
        </w:trPr>
        <w:tc>
          <w:tcPr>
            <w:tcW w:w="427"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643"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部门：无极县郝庄乡人民政府</w:t>
            </w:r>
          </w:p>
        </w:tc>
        <w:tc>
          <w:tcPr>
            <w:tcW w:w="543"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631"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68"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57"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50"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249"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500"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shd w:val="clear" w:color="auto" w:fill="FFFFFF" w:themeFill="background1"/>
          <w:tblCellMar>
            <w:top w:w="0" w:type="dxa"/>
            <w:left w:w="0" w:type="dxa"/>
            <w:bottom w:w="0" w:type="dxa"/>
            <w:right w:w="0" w:type="dxa"/>
          </w:tblCellMar>
        </w:tblPrEx>
        <w:trPr>
          <w:trHeight w:val="308" w:hRule="atLeast"/>
        </w:trPr>
        <w:tc>
          <w:tcPr>
            <w:tcW w:w="2299" w:type="pct"/>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3"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631"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268"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257"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250"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249"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00"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shd w:val="clear" w:color="auto" w:fill="FFFFFF" w:themeFill="background1"/>
          <w:tblCellMar>
            <w:top w:w="0" w:type="dxa"/>
            <w:left w:w="0" w:type="dxa"/>
            <w:bottom w:w="0" w:type="dxa"/>
            <w:right w:w="0" w:type="dxa"/>
          </w:tblCellMar>
        </w:tblPrEx>
        <w:trPr>
          <w:trHeight w:val="312" w:hRule="atLeast"/>
        </w:trPr>
        <w:tc>
          <w:tcPr>
            <w:tcW w:w="656" w:type="pct"/>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43" w:type="pct"/>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43"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631"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6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57"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5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49"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50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12" w:hRule="atLeast"/>
        </w:trPr>
        <w:tc>
          <w:tcPr>
            <w:tcW w:w="656" w:type="pct"/>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643" w:type="pct"/>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ascii="宋体" w:hAnsi="宋体" w:eastAsia="宋体" w:cs="宋体"/>
                <w:color w:val="000000"/>
                <w:sz w:val="22"/>
              </w:rPr>
            </w:pPr>
          </w:p>
        </w:tc>
        <w:tc>
          <w:tcPr>
            <w:tcW w:w="543"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631"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6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57"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5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49"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50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698" w:hRule="atLeast"/>
        </w:trPr>
        <w:tc>
          <w:tcPr>
            <w:tcW w:w="656" w:type="pct"/>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643" w:type="pct"/>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ascii="宋体" w:hAnsi="宋体" w:eastAsia="宋体" w:cs="宋体"/>
                <w:color w:val="000000"/>
                <w:sz w:val="22"/>
              </w:rPr>
            </w:pPr>
          </w:p>
        </w:tc>
        <w:tc>
          <w:tcPr>
            <w:tcW w:w="543"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631"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6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57"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5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49"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50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2299" w:type="pct"/>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3"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31"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68"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257"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250"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249"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00"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shd w:val="clear" w:color="auto" w:fill="FFFFFF" w:themeFill="background1"/>
          <w:tblCellMar>
            <w:top w:w="0" w:type="dxa"/>
            <w:left w:w="0" w:type="dxa"/>
            <w:bottom w:w="0" w:type="dxa"/>
            <w:right w:w="0" w:type="dxa"/>
          </w:tblCellMar>
        </w:tblPrEx>
        <w:trPr>
          <w:trHeight w:val="308" w:hRule="atLeast"/>
        </w:trPr>
        <w:tc>
          <w:tcPr>
            <w:tcW w:w="2299" w:type="pct"/>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Cs w:val="21"/>
              </w:rPr>
            </w:pPr>
            <w:r>
              <w:rPr>
                <w:rFonts w:hint="eastAsia" w:ascii="宋体" w:hAnsi="宋体" w:eastAsia="宋体" w:cs="宋体"/>
                <w:b/>
                <w:color w:val="000000"/>
                <w:kern w:val="0"/>
                <w:szCs w:val="21"/>
              </w:rPr>
              <w:t>4,763.14</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Cs w:val="21"/>
              </w:rPr>
            </w:pPr>
            <w:r>
              <w:rPr>
                <w:rFonts w:hint="eastAsia" w:ascii="宋体" w:hAnsi="宋体" w:eastAsia="宋体" w:cs="宋体"/>
                <w:b/>
                <w:color w:val="000000"/>
                <w:kern w:val="0"/>
                <w:szCs w:val="21"/>
              </w:rPr>
              <w:t>4,763.14</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Cs w:val="21"/>
              </w:rPr>
            </w:pPr>
          </w:p>
        </w:tc>
      </w:tr>
      <w:tr>
        <w:tblPrEx>
          <w:shd w:val="clear" w:color="auto" w:fill="FFFFFF" w:themeFill="background1"/>
          <w:tblCellMar>
            <w:top w:w="0" w:type="dxa"/>
            <w:left w:w="0" w:type="dxa"/>
            <w:bottom w:w="0" w:type="dxa"/>
            <w:right w:w="0" w:type="dxa"/>
          </w:tblCellMar>
        </w:tblPrEx>
        <w:trPr>
          <w:trHeight w:val="477"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一般公共服务支出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4,593.25</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4,593.25</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402"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政府办公厅（室）及相关机构事务</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4,593.25</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4,593.25</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447"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行政运行</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1,053.99</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1,053.99</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其他政府办公厅（室）及相关机构事务支出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3,539.27</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3,539.27</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社会保障和就业支出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102.47</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102.47</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行政事业单位离退休</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57.52</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57.52</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归口管理的行政单位离退休</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15.88</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15.88</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机关事业单位基本养老保险缴费支出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40.71</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40.71</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机关事业单位职业年金缴费支出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0.93</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0.93</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退役安置</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10.00</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10.00</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其他退役安置支出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10.00</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10.00</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财政对其他社会保险基金的补助</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1.82</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1.82</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财政对工伤保险基金的补助</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1.06</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1.06</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财政对生育保险基金的补助</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0.76</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0.76</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其他社会保障和就业支出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33.14</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33.14</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其他社会保障和就业支出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33.14</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33.14</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卫生健康支出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14.38</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14.38</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行政事业单位医疗</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14.38</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14.38</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行政单位医疗</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14.38</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14.38</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城乡社区支出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53.04</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53.04</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国有土地使用权出让收入及对应专项债务收入安排的支出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53.04</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53.04</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征地和拆迁补偿支出</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47.70</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47.70</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656"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2120809</w:t>
            </w:r>
          </w:p>
        </w:tc>
        <w:tc>
          <w:tcPr>
            <w:tcW w:w="16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支付破产或改制企业职工安置费</w:t>
            </w:r>
          </w:p>
        </w:tc>
        <w:tc>
          <w:tcPr>
            <w:tcW w:w="543"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5.34</w:t>
            </w:r>
          </w:p>
        </w:tc>
        <w:tc>
          <w:tcPr>
            <w:tcW w:w="63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5.34</w:t>
            </w:r>
          </w:p>
        </w:tc>
        <w:tc>
          <w:tcPr>
            <w:tcW w:w="56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52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c>
          <w:tcPr>
            <w:tcW w:w="10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Cs w:val="21"/>
              </w:rPr>
            </w:pPr>
          </w:p>
        </w:tc>
      </w:tr>
      <w:tr>
        <w:tblPrEx>
          <w:shd w:val="clear" w:color="auto" w:fill="FFFFFF" w:themeFill="background1"/>
          <w:tblCellMar>
            <w:top w:w="0" w:type="dxa"/>
            <w:left w:w="0" w:type="dxa"/>
            <w:bottom w:w="0" w:type="dxa"/>
            <w:right w:w="0" w:type="dxa"/>
          </w:tblCellMar>
        </w:tblPrEx>
        <w:trPr>
          <w:trHeight w:val="308" w:hRule="atLeast"/>
        </w:trPr>
        <w:tc>
          <w:tcPr>
            <w:tcW w:w="5000" w:type="pct"/>
            <w:gridSpan w:val="11"/>
            <w:tcBorders>
              <w:top w:val="nil"/>
              <w:left w:val="nil"/>
              <w:bottom w:val="nil"/>
              <w:right w:val="nil"/>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r>
        <w:br w:type="page"/>
      </w:r>
    </w:p>
    <w:tbl>
      <w:tblPr>
        <w:tblStyle w:val="7"/>
        <w:tblW w:w="5000" w:type="pct"/>
        <w:tblInd w:w="0" w:type="dxa"/>
        <w:shd w:val="clear" w:color="auto" w:fill="FFFFFF" w:themeFill="background1"/>
        <w:tblLayout w:type="fixed"/>
        <w:tblCellMar>
          <w:top w:w="0" w:type="dxa"/>
          <w:left w:w="0" w:type="dxa"/>
          <w:bottom w:w="0" w:type="dxa"/>
          <w:right w:w="0" w:type="dxa"/>
        </w:tblCellMar>
      </w:tblPr>
      <w:tblGrid>
        <w:gridCol w:w="1032"/>
        <w:gridCol w:w="239"/>
        <w:gridCol w:w="241"/>
        <w:gridCol w:w="2941"/>
        <w:gridCol w:w="1333"/>
        <w:gridCol w:w="1318"/>
        <w:gridCol w:w="1108"/>
        <w:gridCol w:w="703"/>
        <w:gridCol w:w="630"/>
        <w:gridCol w:w="951"/>
      </w:tblGrid>
      <w:tr>
        <w:tblPrEx>
          <w:tblCellMar>
            <w:top w:w="0" w:type="dxa"/>
            <w:left w:w="0" w:type="dxa"/>
            <w:bottom w:w="0" w:type="dxa"/>
            <w:right w:w="0" w:type="dxa"/>
          </w:tblCellMar>
        </w:tblPrEx>
        <w:trPr>
          <w:trHeight w:val="390" w:hRule="atLeast"/>
        </w:trPr>
        <w:tc>
          <w:tcPr>
            <w:tcW w:w="5000" w:type="pct"/>
            <w:gridSpan w:val="10"/>
            <w:tcBorders>
              <w:top w:val="nil"/>
              <w:left w:val="nil"/>
              <w:bottom w:val="nil"/>
              <w:right w:val="nil"/>
            </w:tcBorders>
            <w:shd w:val="clear" w:color="auto" w:fill="FFFFFF" w:themeFill="background1"/>
            <w:noWrap/>
            <w:tcMar>
              <w:top w:w="15" w:type="dxa"/>
              <w:left w:w="15" w:type="dxa"/>
              <w:right w:w="15" w:type="dxa"/>
            </w:tcMar>
            <w:vAlign w:val="bottom"/>
          </w:tcPr>
          <w:p>
            <w:pPr>
              <w:jc w:val="center"/>
              <w:rPr>
                <w:rFonts w:ascii="Arial" w:hAnsi="Arial" w:cs="Arial"/>
                <w:color w:val="000000"/>
                <w:sz w:val="20"/>
                <w:szCs w:val="20"/>
              </w:rPr>
            </w:pPr>
            <w:r>
              <w:rPr>
                <w:rFonts w:hint="eastAsia" w:ascii="黑体" w:hAnsi="宋体" w:eastAsia="黑体" w:cs="黑体"/>
                <w:color w:val="000000"/>
                <w:kern w:val="0"/>
                <w:sz w:val="32"/>
                <w:szCs w:val="32"/>
              </w:rPr>
              <w:t>支出决算表</w:t>
            </w:r>
          </w:p>
        </w:tc>
      </w:tr>
      <w:tr>
        <w:tblPrEx>
          <w:shd w:val="clear" w:color="auto" w:fill="FFFFFF" w:themeFill="background1"/>
          <w:tblCellMar>
            <w:top w:w="0" w:type="dxa"/>
            <w:left w:w="0" w:type="dxa"/>
            <w:bottom w:w="0" w:type="dxa"/>
            <w:right w:w="0" w:type="dxa"/>
          </w:tblCellMar>
        </w:tblPrEx>
        <w:trPr>
          <w:trHeight w:val="255" w:hRule="atLeast"/>
        </w:trPr>
        <w:tc>
          <w:tcPr>
            <w:tcW w:w="491"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1401"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635"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628"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528"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335"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300"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449"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shd w:val="clear" w:color="auto" w:fill="FFFFFF" w:themeFill="background1"/>
          <w:tblCellMar>
            <w:top w:w="0" w:type="dxa"/>
            <w:left w:w="0" w:type="dxa"/>
            <w:bottom w:w="0" w:type="dxa"/>
            <w:right w:w="0" w:type="dxa"/>
          </w:tblCellMar>
        </w:tblPrEx>
        <w:trPr>
          <w:trHeight w:val="591" w:hRule="atLeast"/>
        </w:trPr>
        <w:tc>
          <w:tcPr>
            <w:tcW w:w="491"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1401"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r>
              <w:rPr>
                <w:rFonts w:hint="eastAsia" w:ascii="宋体" w:hAnsi="宋体" w:eastAsia="宋体" w:cs="宋体"/>
                <w:color w:val="000000"/>
                <w:kern w:val="0"/>
                <w:sz w:val="20"/>
                <w:szCs w:val="20"/>
              </w:rPr>
              <w:t>部门：无极县郝庄乡人民政府</w:t>
            </w:r>
          </w:p>
        </w:tc>
        <w:tc>
          <w:tcPr>
            <w:tcW w:w="635"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628"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528"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335"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300" w:type="pct"/>
            <w:tcBorders>
              <w:top w:val="nil"/>
              <w:left w:val="nil"/>
              <w:bottom w:val="nil"/>
              <w:right w:val="nil"/>
            </w:tcBorders>
            <w:shd w:val="clear" w:color="auto" w:fill="FFFFFF" w:themeFill="background1"/>
            <w:noWrap/>
            <w:tcMar>
              <w:top w:w="15" w:type="dxa"/>
              <w:left w:w="15" w:type="dxa"/>
              <w:right w:w="15" w:type="dxa"/>
            </w:tcMar>
            <w:vAlign w:val="bottom"/>
          </w:tcPr>
          <w:p>
            <w:pPr>
              <w:jc w:val="left"/>
              <w:rPr>
                <w:rFonts w:ascii="Arial" w:hAnsi="Arial" w:cs="Arial"/>
                <w:color w:val="000000"/>
                <w:sz w:val="20"/>
                <w:szCs w:val="20"/>
              </w:rPr>
            </w:pPr>
          </w:p>
        </w:tc>
        <w:tc>
          <w:tcPr>
            <w:tcW w:w="449"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shd w:val="clear" w:color="auto" w:fill="FFFFFF" w:themeFill="background1"/>
          <w:tblCellMar>
            <w:top w:w="0" w:type="dxa"/>
            <w:left w:w="0" w:type="dxa"/>
            <w:bottom w:w="0" w:type="dxa"/>
            <w:right w:w="0" w:type="dxa"/>
          </w:tblCellMar>
        </w:tblPrEx>
        <w:trPr>
          <w:trHeight w:val="308" w:hRule="atLeast"/>
        </w:trPr>
        <w:tc>
          <w:tcPr>
            <w:tcW w:w="2121" w:type="pct"/>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35"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628"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528"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335"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300"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449" w:type="pct"/>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shd w:val="clear" w:color="auto" w:fill="FFFFFF" w:themeFill="background1"/>
          <w:tblCellMar>
            <w:top w:w="0" w:type="dxa"/>
            <w:left w:w="0" w:type="dxa"/>
            <w:bottom w:w="0" w:type="dxa"/>
            <w:right w:w="0" w:type="dxa"/>
          </w:tblCellMar>
        </w:tblPrEx>
        <w:trPr>
          <w:trHeight w:val="312" w:hRule="atLeast"/>
        </w:trPr>
        <w:tc>
          <w:tcPr>
            <w:tcW w:w="720" w:type="pct"/>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01" w:type="pct"/>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35"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62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52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335"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30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449"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12" w:hRule="atLeast"/>
        </w:trPr>
        <w:tc>
          <w:tcPr>
            <w:tcW w:w="720" w:type="pct"/>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1401" w:type="pct"/>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2"/>
              </w:rPr>
            </w:pPr>
          </w:p>
        </w:tc>
        <w:tc>
          <w:tcPr>
            <w:tcW w:w="635"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62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52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335"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30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449"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12" w:hRule="atLeast"/>
        </w:trPr>
        <w:tc>
          <w:tcPr>
            <w:tcW w:w="720" w:type="pct"/>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1401" w:type="pct"/>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2"/>
              </w:rPr>
            </w:pPr>
          </w:p>
        </w:tc>
        <w:tc>
          <w:tcPr>
            <w:tcW w:w="635"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62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528"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335"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300"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c>
          <w:tcPr>
            <w:tcW w:w="449" w:type="pct"/>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2121" w:type="pct"/>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35"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28"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28"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335"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300"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449" w:type="pc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shd w:val="clear" w:color="auto" w:fill="FFFFFF" w:themeFill="background1"/>
          <w:tblCellMar>
            <w:top w:w="0" w:type="dxa"/>
            <w:left w:w="0" w:type="dxa"/>
            <w:bottom w:w="0" w:type="dxa"/>
            <w:right w:w="0" w:type="dxa"/>
          </w:tblCellMar>
        </w:tblPrEx>
        <w:trPr>
          <w:trHeight w:val="308" w:hRule="atLeast"/>
        </w:trPr>
        <w:tc>
          <w:tcPr>
            <w:tcW w:w="2121" w:type="pct"/>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 w:val="22"/>
              </w:rPr>
            </w:pPr>
            <w:r>
              <w:rPr>
                <w:rFonts w:hint="eastAsia" w:ascii="宋体" w:hAnsi="宋体" w:eastAsia="宋体" w:cs="宋体"/>
                <w:b/>
                <w:color w:val="000000"/>
                <w:kern w:val="0"/>
                <w:sz w:val="22"/>
              </w:rPr>
              <w:t>4,763.14</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 w:val="22"/>
              </w:rPr>
            </w:pPr>
            <w:r>
              <w:rPr>
                <w:rFonts w:hint="eastAsia" w:ascii="宋体" w:hAnsi="宋体" w:eastAsia="宋体" w:cs="宋体"/>
                <w:b/>
                <w:color w:val="000000"/>
                <w:kern w:val="0"/>
                <w:sz w:val="22"/>
              </w:rPr>
              <w:t>1,160.84</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 w:val="22"/>
              </w:rPr>
            </w:pPr>
            <w:r>
              <w:rPr>
                <w:rFonts w:hint="eastAsia" w:ascii="宋体" w:hAnsi="宋体" w:eastAsia="宋体" w:cs="宋体"/>
                <w:b/>
                <w:color w:val="000000"/>
                <w:kern w:val="0"/>
                <w:sz w:val="22"/>
              </w:rPr>
              <w:t>3,602.31</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b/>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一般公共服务支出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4,593.25</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政府办公厅（室）及相关机构事务</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4,593.25</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行政运行</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其他政府办公厅（室）及相关机构事务支出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社会保障和就业支出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102.47</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92.47</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行政事业单位离退休</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57.52</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57.52</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归口管理的行政单位离退休</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15.88</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15.88</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机关事业单位基本养老保险缴费支出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40.71</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40.71</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机关事业单位职业年金缴费支出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退役安置</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其他退役安置支出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504"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财政对其他社会保险基金的补助</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1.82</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1.82</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财政对工伤保险基金的补助</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1.06</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1.06</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财政对生育保险基金的补助</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0.76</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0.76</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其他社会保障和就业支出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其他社会保障和就业支出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卫生健康支出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行政事业单位医疗</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行政单位医疗</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城乡社区支出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53.04</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53.04</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国有土地使用权出让收入及对应专项债务收入安排的支出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53.04</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53.04</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征地和拆迁补偿支出</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47.70</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47.70</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20"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2120809</w:t>
            </w:r>
          </w:p>
        </w:tc>
        <w:tc>
          <w:tcPr>
            <w:tcW w:w="140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extAlignment w:val="center"/>
              <w:rPr>
                <w:rFonts w:ascii="宋体" w:hAnsi="宋体" w:eastAsia="宋体" w:cs="宋体"/>
                <w:color w:val="000000"/>
                <w:szCs w:val="21"/>
              </w:rPr>
            </w:pPr>
            <w:r>
              <w:rPr>
                <w:rFonts w:hint="eastAsia" w:ascii="宋体" w:hAnsi="宋体" w:eastAsia="宋体" w:cs="宋体"/>
                <w:color w:val="000000"/>
                <w:kern w:val="0"/>
                <w:szCs w:val="21"/>
              </w:rPr>
              <w:t>支付破产或改制企业职工安置费</w:t>
            </w:r>
          </w:p>
        </w:tc>
        <w:tc>
          <w:tcPr>
            <w:tcW w:w="6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5.34</w:t>
            </w:r>
          </w:p>
        </w:tc>
        <w:tc>
          <w:tcPr>
            <w:tcW w:w="6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5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5.34</w:t>
            </w:r>
          </w:p>
        </w:tc>
        <w:tc>
          <w:tcPr>
            <w:tcW w:w="335"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30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c>
          <w:tcPr>
            <w:tcW w:w="449"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5000" w:type="pct"/>
            <w:gridSpan w:val="10"/>
            <w:tcBorders>
              <w:top w:val="nil"/>
              <w:left w:val="nil"/>
              <w:bottom w:val="nil"/>
              <w:right w:val="nil"/>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615"/>
        <w:gridCol w:w="360"/>
        <w:gridCol w:w="825"/>
        <w:gridCol w:w="2700"/>
        <w:gridCol w:w="465"/>
        <w:gridCol w:w="911"/>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6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5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61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部门：无极县郝庄乡人民政府</w:t>
            </w:r>
          </w:p>
        </w:tc>
        <w:tc>
          <w:tcPr>
            <w:tcW w:w="3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5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72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61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7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1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61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一、一般公共预算财政拨款</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4710.10</w:t>
            </w: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一、一般公共服务支出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4593.25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4593.25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二、政府性基金预算财政拨款</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53.04</w:t>
            </w: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二、外交支出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三、国防支出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四、公共安全支出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五、教育支出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六、科学技术支出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七、文化旅游体育与传媒支出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八、社会保障和就业支出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102.47</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102.47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九、卫生健康支出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十、节能环保支出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十一、城乡社区支出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53.04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53.04</w:t>
            </w: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十二、农林水支出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十三、交通运输支出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十四、资源勘探信息等支出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十五、商业服务业等支出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十六、金融支出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十七、援助其他地区支出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十八、自然资源海洋气象等支出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十九、住房保障支出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二十、粮油物资储备支出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二十一、灾害防治及应急管理支出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二十二、其他支出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二十四、债务付息支出</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4763.14</w:t>
            </w: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Cs w:val="21"/>
              </w:rPr>
            </w:pPr>
            <w:r>
              <w:rPr>
                <w:rFonts w:hint="eastAsia" w:ascii="宋体" w:hAnsi="宋体" w:eastAsia="宋体" w:cs="宋体"/>
                <w:b/>
                <w:color w:val="000000"/>
                <w:kern w:val="0"/>
                <w:szCs w:val="21"/>
              </w:rPr>
              <w:t>本年支出合计</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4763.14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4710.10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53.04</w:t>
            </w: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年末财政拨款结转和结余</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4763.14</w:t>
            </w:r>
          </w:p>
        </w:tc>
        <w:tc>
          <w:tcPr>
            <w:tcW w:w="2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4763.14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4710.10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53.04</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5000" w:type="pct"/>
        <w:tblInd w:w="0" w:type="dxa"/>
        <w:shd w:val="clear" w:color="auto" w:fill="FFFFFF" w:themeFill="background1"/>
        <w:tblLayout w:type="fixed"/>
        <w:tblCellMar>
          <w:top w:w="0" w:type="dxa"/>
          <w:left w:w="0" w:type="dxa"/>
          <w:bottom w:w="0" w:type="dxa"/>
          <w:right w:w="0" w:type="dxa"/>
        </w:tblCellMar>
      </w:tblPr>
      <w:tblGrid>
        <w:gridCol w:w="883"/>
        <w:gridCol w:w="239"/>
        <w:gridCol w:w="241"/>
        <w:gridCol w:w="3044"/>
        <w:gridCol w:w="2038"/>
        <w:gridCol w:w="1784"/>
        <w:gridCol w:w="2267"/>
      </w:tblGrid>
      <w:tr>
        <w:tblPrEx>
          <w:shd w:val="clear" w:color="auto" w:fill="FFFFFF" w:themeFill="background1"/>
          <w:tblCellMar>
            <w:top w:w="0" w:type="dxa"/>
            <w:left w:w="0" w:type="dxa"/>
            <w:bottom w:w="0" w:type="dxa"/>
            <w:right w:w="0" w:type="dxa"/>
          </w:tblCellMar>
        </w:tblPrEx>
        <w:trPr>
          <w:trHeight w:val="390" w:hRule="atLeast"/>
        </w:trPr>
        <w:tc>
          <w:tcPr>
            <w:tcW w:w="5000" w:type="pct"/>
            <w:gridSpan w:val="7"/>
            <w:tcBorders>
              <w:top w:val="nil"/>
              <w:left w:val="nil"/>
              <w:bottom w:val="nil"/>
              <w:right w:val="nil"/>
            </w:tcBorders>
            <w:shd w:val="clear" w:color="auto" w:fill="FFFFFF" w:themeFill="background1"/>
            <w:noWrap/>
            <w:tcMar>
              <w:top w:w="15" w:type="dxa"/>
              <w:left w:w="15" w:type="dxa"/>
              <w:right w:w="15" w:type="dxa"/>
            </w:tcMar>
            <w:vAlign w:val="bottom"/>
          </w:tcPr>
          <w:p>
            <w:pPr>
              <w:jc w:val="center"/>
              <w:rPr>
                <w:rFonts w:ascii="Arial" w:hAnsi="Arial" w:cs="Arial"/>
                <w:color w:val="000000"/>
                <w:sz w:val="20"/>
                <w:szCs w:val="20"/>
              </w:rPr>
            </w:pPr>
            <w:r>
              <w:rPr>
                <w:rFonts w:hint="eastAsia" w:ascii="黑体" w:hAnsi="宋体" w:eastAsia="黑体" w:cs="黑体"/>
                <w:color w:val="000000"/>
                <w:kern w:val="0"/>
                <w:sz w:val="32"/>
                <w:szCs w:val="32"/>
              </w:rPr>
              <w:t>一般公共预算财政拨款支出决算表</w:t>
            </w:r>
          </w:p>
        </w:tc>
      </w:tr>
      <w:tr>
        <w:tblPrEx>
          <w:shd w:val="clear" w:color="auto" w:fill="FFFFFF" w:themeFill="background1"/>
          <w:tblCellMar>
            <w:top w:w="0" w:type="dxa"/>
            <w:left w:w="0" w:type="dxa"/>
            <w:bottom w:w="0" w:type="dxa"/>
            <w:right w:w="0" w:type="dxa"/>
          </w:tblCellMar>
        </w:tblPrEx>
        <w:trPr>
          <w:trHeight w:val="255" w:hRule="atLeast"/>
        </w:trPr>
        <w:tc>
          <w:tcPr>
            <w:tcW w:w="420"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450"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971"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850"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078"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shd w:val="clear" w:color="auto" w:fill="FFFFFF" w:themeFill="background1"/>
          <w:tblCellMar>
            <w:top w:w="0" w:type="dxa"/>
            <w:left w:w="0" w:type="dxa"/>
            <w:bottom w:w="0" w:type="dxa"/>
            <w:right w:w="0" w:type="dxa"/>
          </w:tblCellMar>
        </w:tblPrEx>
        <w:trPr>
          <w:trHeight w:val="255" w:hRule="atLeast"/>
        </w:trPr>
        <w:tc>
          <w:tcPr>
            <w:tcW w:w="420"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14"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450"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部门：无极县郝庄乡人民政府</w:t>
            </w:r>
          </w:p>
        </w:tc>
        <w:tc>
          <w:tcPr>
            <w:tcW w:w="971"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850" w:type="pct"/>
            <w:tcBorders>
              <w:top w:val="nil"/>
              <w:left w:val="nil"/>
              <w:bottom w:val="nil"/>
              <w:right w:val="nil"/>
            </w:tcBorders>
            <w:shd w:val="clear" w:color="auto" w:fill="FFFFFF" w:themeFill="background1"/>
            <w:noWrap/>
            <w:tcMar>
              <w:top w:w="15" w:type="dxa"/>
              <w:left w:w="15" w:type="dxa"/>
              <w:right w:w="15" w:type="dxa"/>
            </w:tcMar>
            <w:vAlign w:val="bottom"/>
          </w:tcPr>
          <w:p>
            <w:pPr>
              <w:rPr>
                <w:rFonts w:ascii="Arial" w:hAnsi="Arial" w:cs="Arial"/>
                <w:color w:val="000000"/>
                <w:sz w:val="20"/>
                <w:szCs w:val="20"/>
              </w:rPr>
            </w:pPr>
          </w:p>
        </w:tc>
        <w:tc>
          <w:tcPr>
            <w:tcW w:w="1078" w:type="pct"/>
            <w:tcBorders>
              <w:top w:val="nil"/>
              <w:left w:val="nil"/>
              <w:bottom w:val="nil"/>
              <w:right w:val="nil"/>
            </w:tcBorders>
            <w:shd w:val="clear" w:color="auto" w:fill="FFFFFF" w:themeFill="background1"/>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shd w:val="clear" w:color="auto" w:fill="FFFFFF" w:themeFill="background1"/>
          <w:tblCellMar>
            <w:top w:w="0" w:type="dxa"/>
            <w:left w:w="0" w:type="dxa"/>
            <w:bottom w:w="0" w:type="dxa"/>
            <w:right w:w="0" w:type="dxa"/>
          </w:tblCellMar>
        </w:tblPrEx>
        <w:trPr>
          <w:trHeight w:val="308" w:hRule="atLeast"/>
        </w:trPr>
        <w:tc>
          <w:tcPr>
            <w:tcW w:w="2099" w:type="pct"/>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2900" w:type="pct"/>
            <w:gridSpan w:val="3"/>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shd w:val="clear" w:color="auto" w:fill="FFFFFF" w:themeFill="background1"/>
          <w:tblCellMar>
            <w:top w:w="0" w:type="dxa"/>
            <w:left w:w="0" w:type="dxa"/>
            <w:bottom w:w="0" w:type="dxa"/>
            <w:right w:w="0" w:type="dxa"/>
          </w:tblCellMar>
        </w:tblPrEx>
        <w:trPr>
          <w:trHeight w:val="312" w:hRule="atLeast"/>
        </w:trPr>
        <w:tc>
          <w:tcPr>
            <w:tcW w:w="649" w:type="pct"/>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18"/>
                <w:szCs w:val="18"/>
              </w:rPr>
              <w:t>功能分类科目编码</w:t>
            </w:r>
          </w:p>
        </w:tc>
        <w:tc>
          <w:tcPr>
            <w:tcW w:w="1450" w:type="pct"/>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71"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50"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78"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trPr>
        <w:tc>
          <w:tcPr>
            <w:tcW w:w="649" w:type="pct"/>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450" w:type="pct"/>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ascii="宋体" w:hAnsi="宋体" w:eastAsia="宋体" w:cs="宋体"/>
                <w:color w:val="000000"/>
                <w:sz w:val="22"/>
              </w:rPr>
            </w:pPr>
          </w:p>
        </w:tc>
        <w:tc>
          <w:tcPr>
            <w:tcW w:w="971"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50"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078"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12" w:hRule="atLeast"/>
        </w:trPr>
        <w:tc>
          <w:tcPr>
            <w:tcW w:w="649" w:type="pct"/>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450" w:type="pct"/>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ascii="宋体" w:hAnsi="宋体" w:eastAsia="宋体" w:cs="宋体"/>
                <w:color w:val="000000"/>
                <w:sz w:val="22"/>
              </w:rPr>
            </w:pPr>
          </w:p>
        </w:tc>
        <w:tc>
          <w:tcPr>
            <w:tcW w:w="971"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50"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078"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2099" w:type="pct"/>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trPr>
        <w:tc>
          <w:tcPr>
            <w:tcW w:w="2099" w:type="pct"/>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 w:val="22"/>
              </w:rPr>
            </w:pPr>
            <w:r>
              <w:rPr>
                <w:rFonts w:hint="eastAsia" w:ascii="宋体" w:hAnsi="宋体" w:eastAsia="宋体" w:cs="宋体"/>
                <w:b/>
                <w:color w:val="000000"/>
                <w:kern w:val="0"/>
                <w:sz w:val="22"/>
              </w:rPr>
              <w:t>4,710.10</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 w:val="22"/>
              </w:rPr>
            </w:pPr>
            <w:r>
              <w:rPr>
                <w:rFonts w:hint="eastAsia" w:ascii="宋体" w:hAnsi="宋体" w:eastAsia="宋体" w:cs="宋体"/>
                <w:b/>
                <w:color w:val="000000"/>
                <w:kern w:val="0"/>
                <w:sz w:val="22"/>
              </w:rPr>
              <w:t>1,160.84</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b/>
                <w:color w:val="000000"/>
                <w:sz w:val="22"/>
              </w:rPr>
            </w:pPr>
            <w:r>
              <w:rPr>
                <w:rFonts w:hint="eastAsia" w:ascii="宋体" w:hAnsi="宋体" w:eastAsia="宋体" w:cs="宋体"/>
                <w:b/>
                <w:color w:val="000000"/>
                <w:kern w:val="0"/>
                <w:sz w:val="22"/>
              </w:rPr>
              <w:t>3,549.27</w:t>
            </w:r>
          </w:p>
        </w:tc>
      </w:tr>
      <w:tr>
        <w:tblPrEx>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一般公共服务支出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4,593.25</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r>
      <w:tr>
        <w:tblPrEx>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政府办公厅（室）及相关机构事务</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4,593.25</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行政运行</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1,053.99</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其他政府办公厅（室）及相关机构事务支出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3,539.27</w:t>
            </w: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社会保障和就业支出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102.47</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92.47</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r>
      <w:tr>
        <w:tblPrEx>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行政事业单位离退休</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57.52</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57.52</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归口管理的行政单位离退休</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15.88</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15.88</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机关事业单位基本养老保险缴费支出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40.71</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40.71</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机关事业单位职业年金缴费支出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退役安置</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其他退役安置支出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财政对其他社会保险基金的补助</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1.82</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1.82</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财政对工伤保险基金的补助</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1.06</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1.06</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财政对生育保险基金的补助</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0.76</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0.76</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其他社会保障和就业支出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其他社会保障和就业支出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33.14</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卫生健康支出</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行政事业单位医疗</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649" w:type="pct"/>
            <w:gridSpan w:val="3"/>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4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行政单位医疗</w:t>
            </w:r>
          </w:p>
        </w:tc>
        <w:tc>
          <w:tcPr>
            <w:tcW w:w="971"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850"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14.38</w:t>
            </w:r>
          </w:p>
        </w:tc>
        <w:tc>
          <w:tcPr>
            <w:tcW w:w="10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shd w:val="clear" w:color="auto" w:fill="FFFFFF" w:themeFill="background1"/>
          <w:tblCellMar>
            <w:top w:w="0" w:type="dxa"/>
            <w:left w:w="0" w:type="dxa"/>
            <w:bottom w:w="0" w:type="dxa"/>
            <w:right w:w="0" w:type="dxa"/>
          </w:tblCellMar>
        </w:tblPrEx>
        <w:trPr>
          <w:trHeight w:val="308" w:hRule="atLeast"/>
        </w:trPr>
        <w:tc>
          <w:tcPr>
            <w:tcW w:w="5000" w:type="pct"/>
            <w:gridSpan w:val="7"/>
            <w:tcBorders>
              <w:top w:val="nil"/>
              <w:left w:val="nil"/>
              <w:bottom w:val="nil"/>
              <w:right w:val="nil"/>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2"/>
              </w:rPr>
            </w:pPr>
          </w:p>
        </w:tc>
      </w:tr>
    </w:tbl>
    <w:p>
      <w:r>
        <w:br w:type="page"/>
      </w:r>
    </w:p>
    <w:tbl>
      <w:tblPr>
        <w:tblStyle w:val="7"/>
        <w:tblW w:w="5000" w:type="pct"/>
        <w:tblInd w:w="0" w:type="dxa"/>
        <w:tblLayout w:type="fixed"/>
        <w:tblCellMar>
          <w:top w:w="0" w:type="dxa"/>
          <w:left w:w="0" w:type="dxa"/>
          <w:bottom w:w="0" w:type="dxa"/>
          <w:right w:w="0" w:type="dxa"/>
        </w:tblCellMar>
      </w:tblPr>
      <w:tblGrid>
        <w:gridCol w:w="597"/>
        <w:gridCol w:w="1965"/>
        <w:gridCol w:w="720"/>
        <w:gridCol w:w="689"/>
        <w:gridCol w:w="1948"/>
        <w:gridCol w:w="793"/>
        <w:gridCol w:w="644"/>
        <w:gridCol w:w="2330"/>
        <w:gridCol w:w="810"/>
      </w:tblGrid>
      <w:tr>
        <w:tblPrEx>
          <w:tblCellMar>
            <w:top w:w="0" w:type="dxa"/>
            <w:left w:w="0" w:type="dxa"/>
            <w:bottom w:w="0" w:type="dxa"/>
            <w:right w:w="0" w:type="dxa"/>
          </w:tblCellMar>
        </w:tblPrEx>
        <w:trPr>
          <w:trHeight w:val="390" w:hRule="atLeast"/>
        </w:trPr>
        <w:tc>
          <w:tcPr>
            <w:tcW w:w="5000" w:type="pct"/>
            <w:gridSpan w:val="9"/>
            <w:tcBorders>
              <w:top w:val="nil"/>
              <w:left w:val="nil"/>
              <w:bottom w:val="nil"/>
              <w:right w:val="nil"/>
            </w:tcBorders>
            <w:shd w:val="clear" w:color="auto" w:fill="auto"/>
            <w:noWrap/>
            <w:tcMar>
              <w:top w:w="15" w:type="dxa"/>
              <w:left w:w="15" w:type="dxa"/>
              <w:right w:w="15" w:type="dxa"/>
            </w:tcMar>
            <w:vAlign w:val="bottom"/>
          </w:tcPr>
          <w:p>
            <w:pPr>
              <w:jc w:val="center"/>
              <w:rPr>
                <w:rFonts w:ascii="Arial" w:hAnsi="Arial" w:cs="Arial"/>
                <w:color w:val="000000"/>
                <w:sz w:val="16"/>
                <w:szCs w:val="16"/>
              </w:rPr>
            </w:pPr>
            <w:r>
              <w:rPr>
                <w:rFonts w:hint="eastAsia" w:ascii="黑体" w:hAnsi="宋体" w:eastAsia="黑体" w:cs="黑体"/>
                <w:color w:val="000000"/>
                <w:kern w:val="0"/>
                <w:sz w:val="24"/>
                <w:szCs w:val="24"/>
              </w:rPr>
              <w:t>一般公共预算财政拨款基本支出决算表</w:t>
            </w:r>
          </w:p>
        </w:tc>
      </w:tr>
      <w:tr>
        <w:tblPrEx>
          <w:tblCellMar>
            <w:top w:w="0" w:type="dxa"/>
            <w:left w:w="0" w:type="dxa"/>
            <w:bottom w:w="0" w:type="dxa"/>
            <w:right w:w="0" w:type="dxa"/>
          </w:tblCellMar>
        </w:tblPrEx>
        <w:trPr>
          <w:trHeight w:val="384" w:hRule="atLeast"/>
        </w:trPr>
        <w:tc>
          <w:tcPr>
            <w:tcW w:w="284"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936"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42"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28"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928"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78"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07"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1107"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r>
              <w:rPr>
                <w:rFonts w:hint="eastAsia" w:ascii="宋体" w:hAnsi="宋体" w:eastAsia="宋体" w:cs="宋体"/>
                <w:color w:val="000000"/>
                <w:kern w:val="0"/>
                <w:sz w:val="15"/>
                <w:szCs w:val="15"/>
              </w:rPr>
              <w:t>公开06表</w:t>
            </w:r>
          </w:p>
        </w:tc>
        <w:tc>
          <w:tcPr>
            <w:tcW w:w="384" w:type="pct"/>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15"/>
                <w:szCs w:val="15"/>
              </w:rPr>
            </w:pPr>
          </w:p>
        </w:tc>
      </w:tr>
      <w:tr>
        <w:tblPrEx>
          <w:tblCellMar>
            <w:top w:w="0" w:type="dxa"/>
            <w:left w:w="0" w:type="dxa"/>
            <w:bottom w:w="0" w:type="dxa"/>
            <w:right w:w="0" w:type="dxa"/>
          </w:tblCellMar>
        </w:tblPrEx>
        <w:trPr>
          <w:trHeight w:val="459" w:hRule="atLeast"/>
        </w:trPr>
        <w:tc>
          <w:tcPr>
            <w:tcW w:w="284" w:type="pct"/>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16"/>
                <w:szCs w:val="16"/>
              </w:rPr>
            </w:pPr>
          </w:p>
        </w:tc>
        <w:tc>
          <w:tcPr>
            <w:tcW w:w="936"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r>
              <w:rPr>
                <w:rFonts w:hint="eastAsia" w:ascii="宋体" w:hAnsi="宋体" w:eastAsia="宋体" w:cs="宋体"/>
                <w:color w:val="000000"/>
                <w:kern w:val="0"/>
                <w:sz w:val="16"/>
                <w:szCs w:val="16"/>
              </w:rPr>
              <w:t>部门：无极县郝庄乡人民政府</w:t>
            </w:r>
          </w:p>
        </w:tc>
        <w:tc>
          <w:tcPr>
            <w:tcW w:w="342"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28"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928"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78"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07"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1107" w:type="pct"/>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16"/>
                <w:szCs w:val="16"/>
              </w:rPr>
            </w:pPr>
          </w:p>
        </w:tc>
        <w:tc>
          <w:tcPr>
            <w:tcW w:w="384" w:type="pct"/>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15"/>
                <w:szCs w:val="15"/>
              </w:rPr>
            </w:pPr>
            <w:r>
              <w:rPr>
                <w:rFonts w:hint="eastAsia" w:ascii="宋体" w:hAnsi="宋体" w:eastAsia="宋体" w:cs="宋体"/>
                <w:color w:val="000000"/>
                <w:kern w:val="0"/>
                <w:sz w:val="15"/>
                <w:szCs w:val="15"/>
              </w:rPr>
              <w:t>金额单位：万元</w:t>
            </w:r>
          </w:p>
        </w:tc>
      </w:tr>
      <w:tr>
        <w:tblPrEx>
          <w:tblCellMar>
            <w:top w:w="0" w:type="dxa"/>
            <w:left w:w="0" w:type="dxa"/>
            <w:bottom w:w="0" w:type="dxa"/>
            <w:right w:w="0" w:type="dxa"/>
          </w:tblCellMar>
        </w:tblPrEx>
        <w:trPr>
          <w:trHeight w:val="308" w:hRule="atLeast"/>
        </w:trPr>
        <w:tc>
          <w:tcPr>
            <w:tcW w:w="1563" w:type="pct"/>
            <w:gridSpan w:val="3"/>
            <w:tcBorders>
              <w:top w:val="single" w:color="000000" w:sz="4" w:space="0"/>
              <w:left w:val="single" w:color="000000" w:sz="4" w:space="0"/>
              <w:bottom w:val="single" w:color="000000" w:sz="4" w:space="0"/>
              <w:right w:val="single" w:color="000000" w:sz="4" w:space="0"/>
            </w:tcBorders>
            <w:shd w:val="clear" w:color="FFFFFF"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w:t>
            </w:r>
          </w:p>
        </w:tc>
        <w:tc>
          <w:tcPr>
            <w:tcW w:w="3436" w:type="pct"/>
            <w:gridSpan w:val="6"/>
            <w:tcBorders>
              <w:top w:val="single" w:color="000000" w:sz="4" w:space="0"/>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w:t>
            </w:r>
          </w:p>
        </w:tc>
      </w:tr>
      <w:tr>
        <w:tblPrEx>
          <w:tblCellMar>
            <w:top w:w="0" w:type="dxa"/>
            <w:left w:w="0" w:type="dxa"/>
            <w:bottom w:w="0" w:type="dxa"/>
            <w:right w:w="0" w:type="dxa"/>
          </w:tblCellMar>
        </w:tblPrEx>
        <w:trPr>
          <w:trHeight w:val="312" w:hRule="atLeast"/>
        </w:trPr>
        <w:tc>
          <w:tcPr>
            <w:tcW w:w="284" w:type="pct"/>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科目编码</w:t>
            </w:r>
          </w:p>
        </w:tc>
        <w:tc>
          <w:tcPr>
            <w:tcW w:w="936"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342"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c>
          <w:tcPr>
            <w:tcW w:w="328"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科目编码</w:t>
            </w:r>
          </w:p>
        </w:tc>
        <w:tc>
          <w:tcPr>
            <w:tcW w:w="928"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378"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c>
          <w:tcPr>
            <w:tcW w:w="307"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科目编码</w:t>
            </w:r>
          </w:p>
        </w:tc>
        <w:tc>
          <w:tcPr>
            <w:tcW w:w="1107"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384" w:type="pct"/>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r>
      <w:tr>
        <w:tblPrEx>
          <w:tblCellMar>
            <w:top w:w="0" w:type="dxa"/>
            <w:left w:w="0" w:type="dxa"/>
            <w:bottom w:w="0" w:type="dxa"/>
            <w:right w:w="0" w:type="dxa"/>
          </w:tblCellMar>
        </w:tblPrEx>
        <w:trPr>
          <w:trHeight w:val="312" w:hRule="atLeast"/>
        </w:trPr>
        <w:tc>
          <w:tcPr>
            <w:tcW w:w="284" w:type="pct"/>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936"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342"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328"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928"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378"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307"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1107"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c>
          <w:tcPr>
            <w:tcW w:w="384" w:type="pct"/>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455.70</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621.26</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184.88</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10.04</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149.47</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43.41</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8.31</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10.00</w:t>
            </w: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tabs>
                <w:tab w:val="center" w:pos="480"/>
              </w:tabs>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0.06</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15.12</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2.00</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40.71</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8.00</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0.93</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1.68</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114"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职工基本医疗保险缴费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14.38</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15.00</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公务员医疗补助缴费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34.96</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0.28</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29"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42.03</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6.94</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73.88</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15.88</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10.00</w:t>
            </w: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48.24</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52.98</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7.98</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47.52</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323.22</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6.45</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对民间非营利组织和群众性自治组织补贴</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0.82</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5.03</w:t>
            </w: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13.52</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0.00</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284" w:type="pct"/>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936"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3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92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378"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50.01</w:t>
            </w:r>
          </w:p>
        </w:tc>
        <w:tc>
          <w:tcPr>
            <w:tcW w:w="3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1107"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trPr>
        <w:tc>
          <w:tcPr>
            <w:tcW w:w="1220" w:type="pct"/>
            <w:gridSpan w:val="2"/>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342"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529.58</w:t>
            </w:r>
          </w:p>
        </w:tc>
        <w:tc>
          <w:tcPr>
            <w:tcW w:w="3051" w:type="pct"/>
            <w:gridSpan w:val="5"/>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384" w:type="pc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631.26</w:t>
            </w:r>
          </w:p>
        </w:tc>
      </w:tr>
      <w:tr>
        <w:tblPrEx>
          <w:tblCellMar>
            <w:top w:w="0" w:type="dxa"/>
            <w:left w:w="0" w:type="dxa"/>
            <w:bottom w:w="0" w:type="dxa"/>
            <w:right w:w="0" w:type="dxa"/>
          </w:tblCellMar>
        </w:tblPrEx>
        <w:trPr>
          <w:trHeight w:val="308" w:hRule="atLeast"/>
        </w:trPr>
        <w:tc>
          <w:tcPr>
            <w:tcW w:w="5000" w:type="pct"/>
            <w:gridSpan w:val="9"/>
            <w:tcBorders>
              <w:top w:val="nil"/>
              <w:left w:val="nil"/>
              <w:bottom w:val="nil"/>
              <w:right w:val="nil"/>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r>
    </w:tbl>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16"/>
                <w:szCs w:val="16"/>
              </w:rPr>
              <w:t>无极县郝庄乡人民政府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0.82</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0.82</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0.82</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754"/>
        <w:gridCol w:w="43"/>
        <w:gridCol w:w="43"/>
        <w:gridCol w:w="1952"/>
        <w:gridCol w:w="850"/>
        <w:gridCol w:w="1389"/>
        <w:gridCol w:w="1389"/>
        <w:gridCol w:w="850"/>
        <w:gridCol w:w="1389"/>
        <w:gridCol w:w="851"/>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16"/>
                <w:szCs w:val="16"/>
              </w:rPr>
              <w:t>无极县郝庄乡人民政府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47.70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47.70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47.70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53.04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9915" w:type="dxa"/>
        <w:jc w:val="center"/>
        <w:tblLayout w:type="autofit"/>
        <w:tblCellMar>
          <w:top w:w="0" w:type="dxa"/>
          <w:left w:w="0" w:type="dxa"/>
          <w:bottom w:w="0" w:type="dxa"/>
          <w:right w:w="0" w:type="dxa"/>
        </w:tblCellMar>
      </w:tblPr>
      <w:tblGrid>
        <w:gridCol w:w="1199"/>
        <w:gridCol w:w="69"/>
        <w:gridCol w:w="69"/>
        <w:gridCol w:w="4221"/>
        <w:gridCol w:w="894"/>
        <w:gridCol w:w="1732"/>
        <w:gridCol w:w="1731"/>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16"/>
                <w:szCs w:val="16"/>
              </w:rPr>
              <w:t>无极县郝庄乡人民政府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ind w:firstLine="220" w:firstLineChars="100"/>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注：本表反映部门本年度国有资本经营预算财政拨款支出情况。</w:t>
      </w:r>
    </w:p>
    <w:p>
      <w:pPr>
        <w:ind w:firstLine="220" w:firstLineChars="100"/>
      </w:pPr>
      <w:r>
        <w:rPr>
          <w:rFonts w:hint="eastAsia" w:ascii="宋体" w:hAnsi="宋体" w:eastAsia="宋体" w:cs="宋体"/>
          <w:color w:val="000000"/>
          <w:kern w:val="0"/>
          <w:sz w:val="22"/>
        </w:rPr>
        <w:t>本部门本年度无支出，空表列示。</w:t>
      </w:r>
      <w:r>
        <w:br w:type="page"/>
      </w:r>
    </w:p>
    <w:p>
      <w:r>
        <mc:AlternateContent>
          <mc:Choice Requires="wps">
            <w:drawing>
              <wp:anchor distT="0" distB="0" distL="114300" distR="114300" simplePos="0" relativeHeight="25167462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462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gm8tf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p>
    <w:sectPr>
      <w:headerReference r:id="rId28" w:type="first"/>
      <w:headerReference r:id="rId27" w:type="default"/>
      <w:footerReference r:id="rId29" w:type="default"/>
      <w:pgSz w:w="11906" w:h="16838"/>
      <w:pgMar w:top="720" w:right="720" w:bottom="720" w:left="720"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A00002BF" w:usb1="38CF7CFA" w:usb2="00082016" w:usb3="00000000" w:csb0="00040001"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203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8"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9203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4paM2gAAAAoBAAAPAAAAAAAAAAEAIAAAACIAAABkcnMv&#10;ZG93bnJldi54bWxQSwECFAAUAAAACACHTuJA9nHvnjoCAABlBAAADgAAAAAAAAABACAAAAApAQAA&#10;ZHJzL2Uyb0RvYy54bWxQSwUGAAAAAAYABgBZAQAA1Q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510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6"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9510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GyNlF85AgAAZAQAAA4AAABkcnMvZTJvRG9jLnhtbK1U&#10;zW7UMBC+I/EOlu9sttsfllWz1dKqCKmilQri7HWcTSTbY9neJuUB4A04ceHOc/U5+Oxstqhw6IGL&#10;M/aMv5nv80x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GyNlF85AgAAZAQAAA4AAAAAAAAAAQAgAAAAKAEAAGRy&#10;cy9lMm9Eb2MueG1sUEsFBgAAAAAGAAYAWQEAANM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- 26 -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896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5"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8896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5RxP9kAAAAJAQAADwAAAAAAAAABACAAAAAiAAAAZHJzL2Rv&#10;d25yZXYueG1sUEsBAhQAFAAAAAgAh07iQH3/Wc85AgAAZAQAAA4AAAAAAAAAAQAgAAAAKAEAAGRy&#10;cy9lMm9Eb2MueG1sUEsFBgAAAAAGAAYAWQEAANM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998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6"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8998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F1c372QAAAAoBAAAPAAAAAAAAAAEAIAAAACIAAABkcnMvZG93&#10;bnJldi54bWxQSwECFAAUAAAACACHTuJAEuAbCjgCAABkBAAADgAAAAAAAAABACAAAAAoAQAAZHJz&#10;L2Uyb0RvYy54bWxQSwUGAAAAAAYABgBZAQAA0gU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100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7"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9100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J4BF5jgCAABjBAAADgAAAAAAAAABACAAAAAoAQAAZHJz&#10;L2Uyb0RvYy54bWxQSwUGAAAAAAYABgBZAQAA0g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7Mb3udcAAAAHAQAADwAAAAAAAAABACAAAAAiAAAAZHJzL2Rvd25yZXYueG1sUEsBAhQAFAAA&#10;AAgAh07iQB3odF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">
              <o:lock v:ext="edit" aspectratio="f"/>
              <v:rect id="矩形 2" o:spid="_x0000_s1026" o:spt="1" style="position:absolute;left:881;top:1538;height:146;width:11925;v-text-anchor:middle;" fillcolor="#FFD966" filled="t" stroked="f" coordsize="21600,21600" o:gfxdata="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Eajf2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7rK3boAAADb&#10;AAAADwAAAGRycy9kb3ducmV2LnhtbEVPS4vCMBC+C/sfwizsTdN6WKVr6kHZRcSDL/A6NLNtaTMp&#10;Saz13xtB8DYf33MWy8G0oifna8sK0kkCgriwuuZSwfn0O56D8AFZY2uZFNzJwzL/GC0w0/bGB+qP&#10;oRQxhH2GCqoQukxKX1Rk0E9sRxy5f+sMhghdKbXDWww3rZwmybc0WHNsqLCjVUVFc7waBdd+vd8e&#10;NvP0stsNf/fm4vyJnFJfn2nyAyLQEN7il3uj4/wZPH+JB8j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usrd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9VcF7wAAADb&#10;AAAADwAAAGRycy9kb3ducmV2LnhtbEWPQW/CMAyF75P4D5GRdpkgLYcNFQICJrTdpgI/wGpMU9E4&#10;VZNBx6+fD0jcbL3n9z4v14Nv1ZX62AQ2kE8zUMRVsA3XBk7H/WQOKiZki21gMvBHEdar0csSCxtu&#10;XNL1kGolIRwLNOBS6gqtY+XIY5yGjli0c+g9Jln7WtsebxLuWz3LsnftsWFpcNjRzlF1Ofx6A/RF&#10;pct3kYey2vx0H2/3Ld0/jXkd59kCVKIhPc2P628r+AIrv8gA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XBe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2816"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82816;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AXocOx1wAAAAUBAAAPAAAAAAAAAAEAIAAAACIAAABkcnMvZG93bnJl&#10;di54bWxQSwECFAAUAAAACACHTuJACjW/OMYDAAD8DAAADgAAAAAAAAABACAAAAAm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Bkg7jL0AAADb&#10;AAAADwAAAGRycy9kb3ducmV2LnhtbEWPT4vCMBTE7wv7HcITvK1pBUW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SDu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D2qnQ7wAAADb&#10;AAAADwAAAGRycy9kb3ducmV2LnhtbEWP3YrCMBSE7xd8h3AEbxZN64UrXaP4g6x30uoDHJqzTbE5&#10;KU3U6tNvBGEvh5n5hlmsetuIG3W+dqwgnSQgiEuna64UnE/78RyED8gaG8ek4EEeVsvBxwIz7e6c&#10;060IlYgQ9hkqMCG0mZS+NGTRT1xLHL1f11kMUXaV1B3eI9w2cpokM2mx5rhgsKWtofJSXK0C+qHc&#10;pFvPfV6uj+3X53NDz51So2GafIMI1If/8Lt90AqmM3h9iT9AL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9qp0O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8384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588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858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page">
                <wp:posOffset>0</wp:posOffset>
              </wp:positionV>
              <wp:extent cx="7575550" cy="748665"/>
              <wp:effectExtent l="0" t="0" r="0" b="0"/>
              <wp:wrapNone/>
              <wp:docPr id="34"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anchorCtr="0" upright="1"/>
                    </wps:wsp>
                    <wps:wsp>
                      <wps:cNvPr id="3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848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C+U0b31QAAAAYBAAAPAAAAAAAAAAEAIAAAACIAAABkcnMvZG93bnJldi54bWxQSwEC&#10;FAAUAAAACACHTuJABVw/rL8DAAD8DAAADgAAAAAAAAABACAAAAAkAQAAZHJzL2Uyb0RvYy54bWxQ&#10;SwUGAAAAAAYABgBZAQAAVQcAAAAA&#10;">
              <o:lock v:ext="edit" aspectratio="f"/>
              <v:rect id="矩形 2" o:spid="_x0000_s1026" o:spt="1" style="position:absolute;left:881;top:1538;height:146;width:11925;v-text-anchor:middle;" fillcolor="#FFD966" filled="t" stroked="f" coordsize="21600,21600" o:gfxdata="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Gldqm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KqrUrwAAADb&#10;AAAADwAAAGRycy9kb3ducmV2LnhtbEWPT4vCMBTE78J+h/AW9qZpXRDpmnpQdhHx4D/w+mjetqXN&#10;S0lird/eCILHYWZ+wyyWg2lFT87XlhWkkwQEcWF1zaWC8+l3PAfhA7LG1jIpuJOHZf4xWmCm7Y0P&#10;1B9DKSKEfYYKqhC6TEpfVGTQT2xHHL1/6wyGKF0ptcNbhJtWTpNkJg3WHBcq7GhVUdEcr0bBtV/v&#10;t4fNPL3sdsPfvbk4fyKn1NdnmvyACDSEd/jV3mgF3yk8v8QfI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qq1K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msSSBrsAAADb&#10;AAAADwAAAGRycy9kb3ducmV2LnhtbEWP3YrCMBSE7xd8h3AEbxZNq7A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SSB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8176"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7"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4" name="矩形 2"/>
                      <wps:cNvSpPr/>
                      <wps:spPr>
                        <a:xfrm>
                          <a:off x="881" y="1538"/>
                          <a:ext cx="11925" cy="146"/>
                        </a:xfrm>
                        <a:prstGeom prst="rect">
                          <a:avLst/>
                        </a:prstGeom>
                        <a:solidFill>
                          <a:srgbClr val="FFD966"/>
                        </a:solidFill>
                        <a:ln w="12700">
                          <a:noFill/>
                        </a:ln>
                      </wps:spPr>
                      <wps:bodyPr anchor="ctr" anchorCtr="0" upright="1"/>
                    </wps:wsp>
                    <wps:wsp>
                      <wps:cNvPr id="6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6"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9817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">
              <o:lock v:ext="edit" aspectratio="f"/>
              <v:rect id="矩形 2" o:spid="_x0000_s1026" o:spt="1" style="position:absolute;left:881;top:1538;height:146;width:11925;v-text-anchor:middle;" fillcolor="#FFD966" filled="t" stroked="f" coordsize="21600,21600" o:gfxdata="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gsV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kCKCTL0AAADb&#10;AAAADwAAAGRycy9kb3ducmV2LnhtbEWPT4vCMBTE78J+h/AEb5pWWJ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IoJ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mQAeg7sAAADb&#10;AAAADwAAAGRycy9kb3ducmV2LnhtbEWPQYvCMBSE78L+h/CEvYim3UNdqlFcZdGbVPcHPJpnU2xe&#10;ShO16683guBxmJlvmPmyt424UudrxwrSSQKCuHS65krB3/F3/A3CB2SNjWNS8E8elouPwRxz7W5c&#10;0PUQKhEh7HNUYEJocyl9aciin7iWOHon11kMUXaV1B3eItw28itJMmmx5rhgsKW1ofJ8uFgFtKXC&#10;pGvPfVGu9u10dP+h+0apz2GazEAE6sM7/GrvtIIsg+eX+APk4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Aeg7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9920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8"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920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6FnAdsAAAAKAQAADwAAAAAAAAABACAA&#10;AAAiAAAAZHJzL2Rvd25yZXYueG1sUEsBAhQAFAAAAAgAh07iQO2l61lDAgAAdQQAAA4AAAAAAAAA&#10;AQAgAAAAKgEAAGRycy9lMm9Eb2MueG1sUEsFBgAAAAAGAAYAWQEAAN8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6128"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60"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7" name="矩形 2"/>
                      <wps:cNvSpPr/>
                      <wps:spPr>
                        <a:xfrm>
                          <a:off x="881" y="1538"/>
                          <a:ext cx="11925" cy="146"/>
                        </a:xfrm>
                        <a:prstGeom prst="rect">
                          <a:avLst/>
                        </a:prstGeom>
                        <a:solidFill>
                          <a:srgbClr val="FFD966"/>
                        </a:solidFill>
                        <a:ln w="12700">
                          <a:noFill/>
                        </a:ln>
                      </wps:spPr>
                      <wps:bodyPr anchor="ctr" anchorCtr="0" upright="1"/>
                    </wps:wsp>
                    <wps:wsp>
                      <wps:cNvPr id="58"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9"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96128;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BE/KzX2gAAAAkBAAAPAAAAAAAAAAEAIAAAACIAAABkcnMvZG93bnJl&#10;di54bWxQSwECFAAUAAAACACHTuJA+8hxAMMDAAD7DAAADgAAAAAAAAABACAAAAAp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GDyRprsAAADb&#10;AAAADwAAAGRycy9kb3ducmV2LnhtbEWPQYvCMBSE78L+h/AW9iKaKKhLNXpYFD0oou4PeDRvm9Lm&#10;pTSpuv/eCILHYWa+YRaru6vFldpQetYwGioQxLk3JRcafi+bwTeIEJEN1p5Jwz8FWC0/egvMjL/x&#10;ia7nWIgE4ZChBhtjk0kZcksOw9A3xMn7863DmGRbSNPiLcFdLcdKTaXDktOCxYZ+LOXVuXMaumAm&#10;nT2qal8dphy3bl3lfaX11+dIzUFEusd3+NXeGQ2TGTy/pB8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DyRpr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sE/nb7oAAADb&#10;AAAADwAAAGRycy9kb3ducmV2LnhtbEVPz2vCMBS+D/wfwhN2m2kHDumMHhSHSA9WB14fzbMtNi8l&#10;SWv73y8HYceP7/d6O5pWDOR8Y1lBukhAEJdWN1wp+L0ePlYgfEDW2FomBRN52G5mb2vMtH1yQcMl&#10;VCKGsM9QQR1Cl0npy5oM+oXtiCN3t85giNBVUjt8xnDTys8k+ZIGG44NNXa0q6l8XHqjoB/251Nx&#10;XKW3PB9/psfN+Ss5pd7nafINItAY/sUv91ErWMax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T+dv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JvNATLwAAADb&#10;AAAADwAAAGRycy9kb3ducmV2LnhtbEWP3WrCQBSE7wu+w3IEb6RuImhtdBV/EHtXon2AQ/Y0G8ye&#10;DdlVo0/vCoVeDjPzDbNYdbYWV2p95VhBOkpAEBdOV1wq+Dnt32cgfEDWWDsmBXfysFr23haYaXfj&#10;nK7HUIoIYZ+hAhNCk0npC0MW/cg1xNH7da3FEGVbSt3iLcJtLcdJMpUWK44LBhvaGirOx4tVQAfK&#10;Tbr13OXF+rv5GD429NgpNeinyRxEoC78h//aX1rB5BN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bzQE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97152" behindDoc="0" locked="0" layoutInCell="1" allowOverlap="1">
              <wp:simplePos x="0" y="0"/>
              <wp:positionH relativeFrom="page">
                <wp:posOffset>0</wp:posOffset>
              </wp:positionH>
              <wp:positionV relativeFrom="page">
                <wp:posOffset>377825</wp:posOffset>
              </wp:positionV>
              <wp:extent cx="3556000" cy="406400"/>
              <wp:effectExtent l="0" t="0" r="0" b="0"/>
              <wp:wrapNone/>
              <wp:docPr id="61"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9715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x6bsHtcAAAAHAQAADwAAAAAAAAABACAAAAAiAAAAZHJzL2Rvd25yZXYueG1sUEsBAhQAFAAA&#10;AAgAh07iQHcnFEV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DLwBEb0AAADb&#10;AAAADwAAAGRycy9kb3ducmV2LnhtbEWPS6vCMBSE94L/IRzBnaYWFKlGuRREEV342Lg7Nse23Oak&#10;NvFx7683guBymJlvmOn8aSpxp8aVlhUM+hEI4szqknMFx8OiNwbhPLLGyjIp+CMH81m7NcVE2wfv&#10;6L73uQgQdgkqKLyvEyldVpBB17c1cfAutjHog2xyqRt8BLipZBxFI2mw5LBQYE1pQdnv/mYUrNPF&#10;Fnfn2Iz/q3S5ufzU1+NpqFS3M4gmIDw9/Tf8aa+0glEM7y/h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vAER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i07WTLwAAADb&#10;AAAADwAAAGRycy9kb3ducmV2LnhtbEWPQWsCMRSE7wX/Q3iCl6LJ2la2W6OIKPTqVjy/bl53Fzcv&#10;SxJX/femUOhxmJlvmOX6ZjsxkA+tYw3ZTIEgrpxpudZw/NpPcxAhIhvsHJOGOwVYr0ZPSyyMu/KB&#10;hjLWIkE4FKihibEvpAxVQxbDzPXEyftx3mJM0tfSeLwmuO3kXKmFtNhyWmiwp21D1bm82EQ5vm/e&#10;5C7/zl6ft6fcD1l5UHutJ+NMfYCIdIv/4b/2p9GweIHfL+kH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tO1ky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3056" behindDoc="0" locked="0" layoutInCell="1" allowOverlap="1">
              <wp:simplePos x="0" y="0"/>
              <wp:positionH relativeFrom="page">
                <wp:posOffset>0</wp:posOffset>
              </wp:positionH>
              <wp:positionV relativeFrom="page">
                <wp:posOffset>0</wp:posOffset>
              </wp:positionV>
              <wp:extent cx="7575550" cy="483235"/>
              <wp:effectExtent l="0" t="0" r="0" b="0"/>
              <wp:wrapNone/>
              <wp:docPr id="52"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9" name="矩形 2"/>
                      <wps:cNvSpPr/>
                      <wps:spPr>
                        <a:xfrm>
                          <a:off x="881" y="1538"/>
                          <a:ext cx="11925" cy="146"/>
                        </a:xfrm>
                        <a:prstGeom prst="rect">
                          <a:avLst/>
                        </a:prstGeom>
                        <a:solidFill>
                          <a:srgbClr val="FFD966"/>
                        </a:solidFill>
                        <a:ln w="12700">
                          <a:noFill/>
                        </a:ln>
                      </wps:spPr>
                      <wps:bodyPr anchor="ctr" anchorCtr="0" upright="1"/>
                    </wps:wsp>
                    <wps:wsp>
                      <wps:cNvPr id="50"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93056;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">
              <o:lock v:ext="edit" aspectratio="f"/>
              <v:rect id="矩形 2" o:spid="_x0000_s1026" o:spt="1" style="position:absolute;left:881;top:1538;height:146;width:11925;v-text-anchor:middle;" fillcolor="#FFD966" filled="t" stroked="f" coordsize="21600,21600" o:gfxdata="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Nja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TjnraboAAADb&#10;AAAADwAAAGRycy9kb3ducmV2LnhtbEVPz2vCMBS+D/wfwhN2m2kHDumMHhSHSA9WB14fzbMtNi8l&#10;SWv73y8HYceP7/d6O5pWDOR8Y1lBukhAEJdWN1wp+L0ePlYgfEDW2FomBRN52G5mb2vMtH1yQcMl&#10;VCKGsM9QQR1Cl0npy5oM+oXtiCN3t85giNBVUjt8xnDTys8k+ZIGG44NNXa0q6l8XHqjoB/251Nx&#10;XKW3PB9/psfN+Ss5pd7nafINItAY/sUv91ErWMb1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OOetp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2IVMSrsAAADb&#10;AAAADwAAAGRycy9kb3ducmV2LnhtbEWP0YrCMBRE3xf8h3AXfFnWtIK6VKO4iuibVP2AS3NtyjY3&#10;pclq9euNIPg4zMwZZrbobC0u1PrKsYJ0kIAgLpyuuFRwOm6+f0D4gKyxdkwKbuRhMe99zDDT7so5&#10;XQ6hFBHCPkMFJoQmk9IXhiz6gWuIo3d2rcUQZVtK3eI1wm0th0kylhYrjgsGG1oZKv4O/1YBbSk3&#10;6cpzlxfLfTP5uv/Sfa1U/zNNpiACdeEdfrV3WsEoheeX+AP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IVMS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94080" behindDoc="0" locked="0" layoutInCell="1" allowOverlap="1">
              <wp:simplePos x="0" y="0"/>
              <wp:positionH relativeFrom="page">
                <wp:align>left</wp:align>
              </wp:positionH>
              <wp:positionV relativeFrom="page">
                <wp:posOffset>377825</wp:posOffset>
              </wp:positionV>
              <wp:extent cx="3228975" cy="406400"/>
              <wp:effectExtent l="0" t="0" r="0" b="0"/>
              <wp:wrapNone/>
              <wp:docPr id="53"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4"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5"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9408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PCAQPtcAAAAHAQAADwAAAAAAAAABACAAAAAiAAAAZHJzL2Rvd25yZXYueG1sUEsBAhQA&#10;FAAAAAgAh07iQBJaQqdJAwAArQgAAA4AAAAAAAAAAQAgAAAAJgEAAGRycy9lMm9Eb2MueG1sUEsF&#10;BgAAAAAGAAYAWQEAAOEGAAAAAA==&#10;">
              <o:lock v:ext="edit" aspectratio="f"/>
              <v:shape id="文本框 6" o:spid="_x0000_s1026" o:spt="202" type="#_x0000_t202" style="position:absolute;left:1401;top:880;height:641;width:3087;" filled="f" stroked="f" coordsize="21600,21600" o:gfxdata="UEsDBAoAAAAAAIdO4kAAAAAAAAAAAAAAAAAEAAAAZHJzL1BLAwQUAAAACACHTuJAInX2Q78AAADb&#10;AAAADwAAAGRycy9kb3ducmV2LnhtbEWPQWvCQBSE7wX/w/IEb3UTaY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19kO/&#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pYchHrwAAADb&#10;AAAADwAAAGRycy9kb3ducmV2LnhtbEWPQWvCQBSE74X+h+UVeim6m9JIjK4iUqFXo3h+Zp9JMPs2&#10;7K7R/vtuodDjMDPfMMv1w/ZiJB86xxqyqQJBXDvTcaPheNhNChAhIhvsHZOGbwqwXj0/LbE07s57&#10;GqvYiAThUKKGNsahlDLULVkMUzcQJ+/ivMWYpG+k8XhPcNvLd6Vm0mLHaaHFgbYt1dfqZhPlON/k&#10;8rM4Zx9v21Phx6zaq53Wry+ZWoCI9Ij/4b/2l9GQ5/D7Jf0Auf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HIR6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6912" behindDoc="0" locked="0" layoutInCell="1" allowOverlap="1">
              <wp:simplePos x="0" y="0"/>
              <wp:positionH relativeFrom="page">
                <wp:posOffset>0</wp:posOffset>
              </wp:positionH>
              <wp:positionV relativeFrom="page">
                <wp:posOffset>682625</wp:posOffset>
              </wp:positionV>
              <wp:extent cx="7553960" cy="400050"/>
              <wp:effectExtent l="0" t="0" r="0" b="0"/>
              <wp:wrapNone/>
              <wp:docPr id="44"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7" name="矩形 2"/>
                      <wps:cNvSpPr/>
                      <wps:spPr>
                        <a:xfrm>
                          <a:off x="881" y="1538"/>
                          <a:ext cx="11925" cy="146"/>
                        </a:xfrm>
                        <a:prstGeom prst="rect">
                          <a:avLst/>
                        </a:prstGeom>
                        <a:solidFill>
                          <a:srgbClr val="FFD966"/>
                        </a:solidFill>
                        <a:ln w="12700">
                          <a:noFill/>
                        </a:ln>
                      </wps:spPr>
                      <wps:bodyPr anchor="ctr" anchorCtr="0" upright="1"/>
                    </wps:wsp>
                    <wps:wsp>
                      <wps:cNvPr id="42"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86912;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">
              <o:lock v:ext="edit" aspectratio="f"/>
              <v:rect id="矩形 2" o:spid="_x0000_s1026" o:spt="1" style="position:absolute;left:881;top:1538;height:146;width:11925;v-text-anchor:middle;" fillcolor="#FFD966" filled="t" stroked="f" coordsize="21600,21600" o:gfxdata="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43QG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H5GWL0AAADb&#10;AAAADwAAAGRycy9kb3ducmV2LnhtbEWPT4vCMBTE7wv7HcITvK1pRUS6ph6UFREP/lnw+miebWnz&#10;UpJY67c3wsIeh5n5DbNcDaYVPTlfW1aQThIQxIXVNZcKfi8/XwsQPiBrbC2Tgid5WOWfH0vMtH3w&#10;ifpzKEWEsM9QQRVCl0npi4oM+ontiKN3s85giNKVUjt8RLhp5TRJ5tJgzXGhwo7WFRXN+W4U3PvN&#10;cX/aLdLr4TBsn83V+Qs5pcajNPkGEWgI/+G/9k4rmE3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fkZY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wsLhe7wAAADb&#10;AAAADwAAAGRycy9kb3ducmV2LnhtbEWP3WrCQBSE7wu+w3IEb6RuolJLdBV/EHtXon2AQ/Y0G8ye&#10;DdlVo0/vCoVeDjPzDbNYdbYWV2p95VhBOkpAEBdOV1wq+Dnt3z9B+ICssXZMCu7kYbXsvS0w0+7G&#10;OV2PoRQRwj5DBSaEJpPSF4Ys+pFriKP361qLIcq2lLrFW4TbWo6T5ENarDguGGxoa6g4Hy9WAR0o&#10;N+nWc5cX6+9mNnxs6LFTatBPkzmIQF34D/+1v7SC6Q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LC4X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793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8793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t9rBOAwAAsA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FLiJHZAAAACQEAAA8AAAAAAAAAAQAgAAAAIgAAAGRycy9kb3ducmV2Lnht&#10;bFBLAQIUABQAAAAIAIdO4kC/rfawTgMAALAIAAAOAAAAAAAAAAEAIAAAACgBAABkcnMvZTJvRG9j&#10;LnhtbFBLBQYAAAAABgAGAFkBAADo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81792;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80768;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eXM9j70AAADb&#10;AAAADwAAAGRycy9kb3ducmV2LnhtbEWPS2vDMBCE74H8B7GB3hLZORTjRMmhJSEUH5oH5LpYG9vE&#10;WhlJ8ePfV4VCj8PMfMNs96NpRU/ON5YVpKsEBHFpdcOVgtv1sMxA+ICssbVMCibysN/NZ1vMtR34&#10;TP0lVCJC2OeooA6hy6X0ZU0G/cp2xNF7WGcwROkqqR0OEW5auU6Sd2mw4bhQY0cfNZXPy8soePWf&#10;31/nU5bei2I8Ts+781dySr0t0mQDItAY/sN/7ZNWsE7h90v8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cz2P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cFGhQLwAAADb&#10;AAAADwAAAGRycy9kb3ducmV2LnhtbEWPwWrDMBBE74X8g9hCLqWR7UMbXCuhSQnprdjJByzWxjKx&#10;VsZSbSdfXxUKPQ4z84YptrPtxEiDbx0rSFcJCOLa6ZYbBefT4XkNwgdkjZ1jUnAjD9vN4qHAXLuJ&#10;Sxqr0IgIYZ+jAhNCn0vpa0MW/cr1xNG7uMFiiHJopB5winDbySxJXqTFluOCwZ72hupr9W0V0JFK&#10;k+49z2X9/tW/Pt13dP9QavmYJm8gAs3hP/zX/tQKsgx+v8Qf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BRoUC8AAAA&#10;2wAAAA8AAAAAAAAAAQAgAAAAIgAAAGRycy9kb3ducmV2LnhtbFBLAQIUABQAAAAIAIdO4kAzLwWe&#10;OwAAADkAAAAQAAAAAAAAAAEAIAAAAAsBAABkcnMvc2hhcGV4bWwueG1sUEsFBgAAAAAGAAYAWwEA&#10;ALUDAAAAAA==&#10;" path="m668,0l2619,10,2619,1265,0,1265,668,0xe">
                <v:path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242B"/>
    <w:rsid w:val="00086C89"/>
    <w:rsid w:val="000A39FB"/>
    <w:rsid w:val="00117746"/>
    <w:rsid w:val="00163F95"/>
    <w:rsid w:val="00180A9A"/>
    <w:rsid w:val="001829C0"/>
    <w:rsid w:val="00184809"/>
    <w:rsid w:val="00192112"/>
    <w:rsid w:val="001B0127"/>
    <w:rsid w:val="001C12D5"/>
    <w:rsid w:val="001C69F7"/>
    <w:rsid w:val="001D6F97"/>
    <w:rsid w:val="002650EC"/>
    <w:rsid w:val="00271C5A"/>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30543"/>
    <w:rsid w:val="00957EA1"/>
    <w:rsid w:val="00966E5B"/>
    <w:rsid w:val="009B4EF0"/>
    <w:rsid w:val="009D271F"/>
    <w:rsid w:val="00A929C2"/>
    <w:rsid w:val="00AD097F"/>
    <w:rsid w:val="00B844F4"/>
    <w:rsid w:val="00BA06A1"/>
    <w:rsid w:val="00BA770A"/>
    <w:rsid w:val="00C054DE"/>
    <w:rsid w:val="00C57B60"/>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D5452"/>
    <w:rsid w:val="00EE4E36"/>
    <w:rsid w:val="00F665F4"/>
    <w:rsid w:val="00FD225F"/>
    <w:rsid w:val="05B00A30"/>
    <w:rsid w:val="06764CE9"/>
    <w:rsid w:val="0B011416"/>
    <w:rsid w:val="0CAE6732"/>
    <w:rsid w:val="0CCD08B0"/>
    <w:rsid w:val="0F421A6D"/>
    <w:rsid w:val="136D1349"/>
    <w:rsid w:val="142F7638"/>
    <w:rsid w:val="176258E9"/>
    <w:rsid w:val="1C9F7BDE"/>
    <w:rsid w:val="1E9B5E41"/>
    <w:rsid w:val="1EDE759B"/>
    <w:rsid w:val="2021788B"/>
    <w:rsid w:val="207A5975"/>
    <w:rsid w:val="22075DEF"/>
    <w:rsid w:val="24E73594"/>
    <w:rsid w:val="268C4C3A"/>
    <w:rsid w:val="282003C5"/>
    <w:rsid w:val="2A9422DC"/>
    <w:rsid w:val="2AA2412B"/>
    <w:rsid w:val="2C2834D3"/>
    <w:rsid w:val="2D124792"/>
    <w:rsid w:val="31C2036A"/>
    <w:rsid w:val="320530E5"/>
    <w:rsid w:val="320D02A5"/>
    <w:rsid w:val="34245ECF"/>
    <w:rsid w:val="347711EF"/>
    <w:rsid w:val="348E566F"/>
    <w:rsid w:val="34E412B7"/>
    <w:rsid w:val="356C2E71"/>
    <w:rsid w:val="38C84598"/>
    <w:rsid w:val="3A226944"/>
    <w:rsid w:val="3AEE6A48"/>
    <w:rsid w:val="3C1620AA"/>
    <w:rsid w:val="3D8F080F"/>
    <w:rsid w:val="3FBD1821"/>
    <w:rsid w:val="431A6583"/>
    <w:rsid w:val="44CE1FA4"/>
    <w:rsid w:val="487F73ED"/>
    <w:rsid w:val="48A60081"/>
    <w:rsid w:val="4A347EAE"/>
    <w:rsid w:val="4B8C3FD4"/>
    <w:rsid w:val="4D202EE5"/>
    <w:rsid w:val="4F0C7070"/>
    <w:rsid w:val="51B14E33"/>
    <w:rsid w:val="51E1121A"/>
    <w:rsid w:val="52600405"/>
    <w:rsid w:val="529B4319"/>
    <w:rsid w:val="52C93C25"/>
    <w:rsid w:val="53A36F92"/>
    <w:rsid w:val="53FF317C"/>
    <w:rsid w:val="543F3A12"/>
    <w:rsid w:val="55BD0E2E"/>
    <w:rsid w:val="56D0547C"/>
    <w:rsid w:val="57773DD6"/>
    <w:rsid w:val="578B79AB"/>
    <w:rsid w:val="57E74E60"/>
    <w:rsid w:val="57ED7F6B"/>
    <w:rsid w:val="5A1D47A0"/>
    <w:rsid w:val="5BED1FE8"/>
    <w:rsid w:val="5C006AD9"/>
    <w:rsid w:val="5C730B52"/>
    <w:rsid w:val="5CCD3FD5"/>
    <w:rsid w:val="61632CBE"/>
    <w:rsid w:val="617C629B"/>
    <w:rsid w:val="61FA5F9D"/>
    <w:rsid w:val="62ED41A9"/>
    <w:rsid w:val="62F12BDB"/>
    <w:rsid w:val="64CD6910"/>
    <w:rsid w:val="6789158D"/>
    <w:rsid w:val="67D81BA4"/>
    <w:rsid w:val="682B4995"/>
    <w:rsid w:val="690119CD"/>
    <w:rsid w:val="6A1D61B3"/>
    <w:rsid w:val="6AAF1C96"/>
    <w:rsid w:val="6B46789F"/>
    <w:rsid w:val="6C9340E5"/>
    <w:rsid w:val="6D0F114D"/>
    <w:rsid w:val="6F04587A"/>
    <w:rsid w:val="733C5C8B"/>
    <w:rsid w:val="75366E52"/>
    <w:rsid w:val="75681757"/>
    <w:rsid w:val="75A346A8"/>
    <w:rsid w:val="778B2F87"/>
    <w:rsid w:val="78296D62"/>
    <w:rsid w:val="79125EC0"/>
    <w:rsid w:val="79401302"/>
    <w:rsid w:val="79AA57EA"/>
    <w:rsid w:val="79B9382C"/>
    <w:rsid w:val="7AC676F7"/>
    <w:rsid w:val="7B043B76"/>
    <w:rsid w:val="7B3D1358"/>
    <w:rsid w:val="7C041A6A"/>
    <w:rsid w:val="7DCE3B03"/>
    <w:rsid w:val="7E327570"/>
    <w:rsid w:val="7F5B76E5"/>
    <w:rsid w:val="DBDF162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5.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3.png"/><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236745"/>
          <c:y val="0.14891"/>
          <c:w val="0.54901"/>
          <c:h val="0.732013333333333"/>
        </c:manualLayout>
      </c:layout>
      <c:pieChart>
        <c:varyColors val="1"/>
        <c:ser>
          <c:idx val="0"/>
          <c:order val="0"/>
          <c:tx>
            <c:strRef>
              <c:f>Sheet1!$B$1</c:f>
              <c:strCache>
                <c:ptCount val="1"/>
                <c:pt idx="0">
                  <c:v>支出构成情况</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dLblPos val="bestFit"/>
              <c:showLegendKey val="0"/>
              <c:showVal val="1"/>
              <c:showCatName val="0"/>
              <c:showSerName val="0"/>
              <c:showPercent val="0"/>
              <c:showBubbleSize val="0"/>
              <c:extLst>
                <c:ext xmlns:c15="http://schemas.microsoft.com/office/drawing/2012/chart" uri="{CE6537A1-D6FC-4f65-9D91-7224C49458BB}"/>
              </c:extLst>
            </c:dLbl>
            <c:dLbl>
              <c:idx val="2"/>
              <c:delete val="1"/>
            </c:dLbl>
            <c:dLbl>
              <c:idx val="3"/>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基本支出</c:v>
                </c:pt>
                <c:pt idx="1">
                  <c:v>项目支出</c:v>
                </c:pt>
              </c:strCache>
            </c:strRef>
          </c:cat>
          <c:val>
            <c:numRef>
              <c:f>Sheet1!$B$2:$B$5</c:f>
              <c:numCache>
                <c:formatCode>0.00%</c:formatCode>
                <c:ptCount val="4"/>
                <c:pt idx="0">
                  <c:v>0.2437</c:v>
                </c:pt>
                <c:pt idx="1">
                  <c:v>0.7563</c:v>
                </c:pt>
              </c:numCache>
            </c:numRef>
          </c:val>
        </c:ser>
        <c:dLbls>
          <c:showLegendKey val="0"/>
          <c:showVal val="0"/>
          <c:showCatName val="0"/>
          <c:showSerName val="0"/>
          <c:showPercent val="0"/>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列1</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基本支出</c:v>
                </c:pt>
                <c:pt idx="1">
                  <c:v>项目支出</c:v>
                </c:pt>
              </c:strCache>
            </c:strRef>
          </c:cat>
          <c:val>
            <c:numRef>
              <c:f>Sheet1!$B$2:$B$5</c:f>
              <c:numCache>
                <c:formatCode>General</c:formatCode>
                <c:ptCount val="4"/>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3:2018-2019</a:t>
            </a:r>
            <a:r>
              <a:rPr altLang="en-US"/>
              <a:t>年财政拨款收支对比情况</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4763.14</c:v>
                </c:pt>
                <c:pt idx="1">
                  <c:v>4763.14</c:v>
                </c:pt>
              </c:numCache>
            </c:numRef>
          </c:val>
        </c:ser>
        <c:ser>
          <c:idx val="1"/>
          <c:order val="1"/>
          <c:tx>
            <c:strRef>
              <c:f>Sheet1!$C$1</c:f>
              <c:strCache>
                <c:ptCount val="1"/>
                <c:pt idx="0">
                  <c:v>2018</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966.06</c:v>
                </c:pt>
                <c:pt idx="1">
                  <c:v>966.06</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财政拨款收入</c:v>
                </c:pt>
                <c:pt idx="1">
                  <c:v>财政拨款支出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225289728"/>
        <c:axId val="225291264"/>
      </c:barChart>
      <c:catAx>
        <c:axId val="225289728"/>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5291264"/>
        <c:crosses val="autoZero"/>
        <c:auto val="1"/>
        <c:lblAlgn val="ctr"/>
        <c:lblOffset val="100"/>
        <c:noMultiLvlLbl val="0"/>
      </c:catAx>
      <c:valAx>
        <c:axId val="22529126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5289728"/>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4</a:t>
            </a:r>
            <a:r>
              <a:rPr altLang="en-US"/>
              <a:t>：财政拨款收支预决算对比情况</a:t>
            </a:r>
            <a:endParaRPr altLang="en-US"/>
          </a:p>
        </c:rich>
      </c:tx>
      <c:layout>
        <c:manualLayout>
          <c:xMode val="edge"/>
          <c:yMode val="edge"/>
          <c:x val="0.165376212611156"/>
          <c:y val="0.886774517551096"/>
        </c:manualLayout>
      </c:layout>
      <c:overlay val="0"/>
      <c:spPr>
        <a:noFill/>
        <a:ln>
          <a:noFill/>
        </a:ln>
        <a:effectLst/>
      </c:spPr>
    </c:title>
    <c:autoTitleDeleted val="0"/>
    <c:plotArea>
      <c:layout>
        <c:manualLayout>
          <c:layoutTarget val="inner"/>
          <c:xMode val="edge"/>
          <c:yMode val="edge"/>
          <c:x val="0.0639611964430073"/>
          <c:y val="0.0896551724137932"/>
          <c:w val="0.905319320937753"/>
          <c:h val="0.63268547544409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1340.76</c:v>
                </c:pt>
                <c:pt idx="1">
                  <c:v>1340.76</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4763.14</c:v>
                </c:pt>
                <c:pt idx="1">
                  <c:v>4763.14</c:v>
                </c:pt>
              </c:numCache>
            </c:numRef>
          </c:val>
        </c:ser>
        <c:ser>
          <c:idx val="2"/>
          <c:order val="2"/>
          <c:tx>
            <c:strRef>
              <c:f>Sheet1!$D$1</c:f>
              <c:strCache>
                <c:ptCount val="1"/>
                <c:pt idx="0">
                  <c:v/>
                </c:pt>
              </c:strCache>
            </c:strRef>
          </c:tx>
          <c:spPr>
            <a:solidFill>
              <a:schemeClr val="accent3"/>
            </a:solidFill>
            <a:ln>
              <a:noFill/>
            </a:ln>
            <a:effectLst/>
          </c:spPr>
          <c:invertIfNegative val="0"/>
          <c:dLbls>
            <c:delete val="1"/>
          </c:dLbls>
          <c:cat>
            <c:strRef>
              <c:f>Sheet1!$A$2:$A$3</c:f>
              <c:strCache>
                <c:ptCount val="2"/>
                <c:pt idx="0">
                  <c:v>财政拨款收入</c:v>
                </c:pt>
                <c:pt idx="1">
                  <c:v>财政拨款支出</c:v>
                </c:pt>
              </c:strCache>
            </c:strRef>
          </c:cat>
          <c:val>
            <c:numRef>
              <c:f>Sheet1!$D$2:$D$3</c:f>
              <c:numCache>
                <c:formatCode>General</c:formatCode>
                <c:ptCount val="2"/>
              </c:numCache>
            </c:numRef>
          </c:val>
        </c:ser>
        <c:dLbls>
          <c:showLegendKey val="0"/>
          <c:showVal val="0"/>
          <c:showCatName val="0"/>
          <c:showSerName val="0"/>
          <c:showPercent val="0"/>
          <c:showBubbleSize val="0"/>
        </c:dLbls>
        <c:gapWidth val="219"/>
        <c:overlap val="-27"/>
        <c:axId val="224917376"/>
        <c:axId val="224918912"/>
      </c:barChart>
      <c:catAx>
        <c:axId val="22491737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4918912"/>
        <c:crosses val="autoZero"/>
        <c:auto val="1"/>
        <c:lblAlgn val="ctr"/>
        <c:lblOffset val="100"/>
        <c:noMultiLvlLbl val="0"/>
      </c:catAx>
      <c:valAx>
        <c:axId val="22491891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4917376"/>
        <c:crosses val="autoZero"/>
        <c:crossBetween val="between"/>
      </c:valAx>
      <c:spPr>
        <a:noFill/>
        <a:ln>
          <a:noFill/>
        </a:ln>
        <a:effectLst/>
      </c:spPr>
    </c:plotArea>
    <c:legend>
      <c:legendPos val="b"/>
      <c:legendEntry>
        <c:idx val="2"/>
        <c:delete val="1"/>
      </c:legendEntry>
      <c:layout>
        <c:manualLayout>
          <c:xMode val="edge"/>
          <c:yMode val="edge"/>
          <c:x val="0.34607922392886"/>
          <c:y val="0.80496241428517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a:t>
            </a:r>
            <a:endParaRPr altLang="en-US"/>
          </a:p>
          <a:p>
            <a:pPr defTabSz="914400">
              <a:defRPr lang="zh-CN" sz="1400" b="0" i="0" u="none" strike="noStrike" kern="1200" spc="0" baseline="0">
                <a:solidFill>
                  <a:schemeClr val="tx1">
                    <a:lumMod val="65000"/>
                    <a:lumOff val="35000"/>
                  </a:schemeClr>
                </a:solidFill>
                <a:latin typeface="+mn-lt"/>
                <a:ea typeface="+mn-ea"/>
                <a:cs typeface="+mn-cs"/>
              </a:defRPr>
            </a:pPr>
            <a:r>
              <a:rPr altLang="en-US"/>
              <a:t>（按功能分类）</a:t>
            </a:r>
            <a:endParaRPr altLang="en-US"/>
          </a:p>
        </c:rich>
      </c:tx>
      <c:layout/>
      <c:overlay val="0"/>
      <c:spPr>
        <a:noFill/>
        <a:ln>
          <a:noFill/>
        </a:ln>
        <a:effectLst/>
      </c:spPr>
    </c:title>
    <c:autoTitleDeleted val="0"/>
    <c:plotArea>
      <c:layout/>
      <c:pieChart>
        <c:varyColors val="1"/>
        <c:ser>
          <c:idx val="0"/>
          <c:order val="0"/>
          <c:tx>
            <c:strRef>
              <c:f>Sheet1!$B$1</c:f>
              <c:strCache>
                <c:ptCount val="1"/>
                <c:pt idx="0">
                  <c:v>列1</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一般公共服务类</c:v>
                </c:pt>
                <c:pt idx="1">
                  <c:v>社会保障和就业</c:v>
                </c:pt>
                <c:pt idx="2">
                  <c:v>卫生健康</c:v>
                </c:pt>
                <c:pt idx="3">
                  <c:v>城乡社区类</c:v>
                </c:pt>
              </c:strCache>
            </c:strRef>
          </c:cat>
          <c:val>
            <c:numRef>
              <c:f>Sheet1!$B$2:$B$5</c:f>
              <c:numCache>
                <c:formatCode>0.00%</c:formatCode>
                <c:ptCount val="4"/>
                <c:pt idx="0">
                  <c:v>0.9643</c:v>
                </c:pt>
                <c:pt idx="1">
                  <c:v>0.0215</c:v>
                </c:pt>
                <c:pt idx="2">
                  <c:v>0.0031</c:v>
                </c:pt>
                <c:pt idx="3">
                  <c:v>0.0111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39</Pages>
  <Words>2575</Words>
  <Characters>14678</Characters>
  <Lines>122</Lines>
  <Paragraphs>34</Paragraphs>
  <TotalTime>8</TotalTime>
  <ScaleCrop>false</ScaleCrop>
  <LinksUpToDate>false</LinksUpToDate>
  <CharactersWithSpaces>17219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浮生</cp:lastModifiedBy>
  <cp:lastPrinted>2020-07-30T10:37:00Z</cp:lastPrinted>
  <dcterms:modified xsi:type="dcterms:W3CDTF">2025-01-15T02:04:00Z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5438823295B24D3CBDDA29D0B5864B52</vt:lpwstr>
  </property>
</Properties>
</file>