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一、无极县东侯坊镇人民政府本级收支预算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一、无极县东侯坊镇人民政府本级收支预算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1145.20</w:t>
            </w:r>
          </w:p>
        </w:tc>
        <w:tc>
          <w:tcPr>
            <w:tcW w:w="4535" w:type="dxa"/>
            <w:vAlign w:val="center"/>
          </w:tcPr>
          <w:p>
            <w:pPr>
              <w:pStyle w:val="12"/>
            </w:pPr>
            <w:r>
              <w:t>一、一般公共服务支出</w:t>
            </w:r>
          </w:p>
        </w:tc>
        <w:tc>
          <w:tcPr>
            <w:tcW w:w="2126" w:type="dxa"/>
            <w:vAlign w:val="center"/>
          </w:tcPr>
          <w:p>
            <w:pPr>
              <w:pStyle w:val="11"/>
            </w:pPr>
            <w:r>
              <w:t>928.20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1145.20</w:t>
            </w:r>
          </w:p>
        </w:tc>
        <w:tc>
          <w:tcPr>
            <w:tcW w:w="4535" w:type="dxa"/>
            <w:vAlign w:val="center"/>
          </w:tcPr>
          <w:p>
            <w:pPr>
              <w:pStyle w:val="14"/>
            </w:pPr>
            <w:r>
              <w:t>本年支出合计</w:t>
            </w:r>
          </w:p>
        </w:tc>
        <w:tc>
          <w:tcPr>
            <w:tcW w:w="2126" w:type="dxa"/>
            <w:vAlign w:val="center"/>
          </w:tcPr>
          <w:p>
            <w:pPr>
              <w:pStyle w:val="15"/>
            </w:pPr>
            <w:r>
              <w:t>1147.90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2.70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1147.90</w:t>
            </w:r>
          </w:p>
        </w:tc>
        <w:tc>
          <w:tcPr>
            <w:tcW w:w="4535" w:type="dxa"/>
            <w:vAlign w:val="center"/>
          </w:tcPr>
          <w:p>
            <w:pPr>
              <w:pStyle w:val="14"/>
            </w:pPr>
            <w:r>
              <w:t>支出总计</w:t>
            </w:r>
          </w:p>
        </w:tc>
        <w:tc>
          <w:tcPr>
            <w:tcW w:w="2126" w:type="dxa"/>
            <w:vAlign w:val="center"/>
          </w:tcPr>
          <w:p>
            <w:pPr>
              <w:pStyle w:val="15"/>
            </w:pPr>
            <w:r>
              <w:t>1147.90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1147.90</w:t>
            </w:r>
          </w:p>
        </w:tc>
        <w:tc>
          <w:tcPr>
            <w:tcW w:w="1134" w:type="dxa"/>
            <w:vAlign w:val="center"/>
          </w:tcPr>
          <w:p>
            <w:pPr>
              <w:pStyle w:val="15"/>
            </w:pPr>
            <w:r>
              <w:t>1145.20</w:t>
            </w:r>
          </w:p>
        </w:tc>
        <w:tc>
          <w:tcPr>
            <w:tcW w:w="1134" w:type="dxa"/>
            <w:vAlign w:val="center"/>
          </w:tcPr>
          <w:p>
            <w:pPr>
              <w:pStyle w:val="15"/>
            </w:pPr>
            <w:r>
              <w:t>1145.20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928.20</w:t>
            </w:r>
          </w:p>
        </w:tc>
        <w:tc>
          <w:tcPr>
            <w:tcW w:w="1134" w:type="dxa"/>
            <w:vAlign w:val="center"/>
          </w:tcPr>
          <w:p>
            <w:pPr>
              <w:pStyle w:val="11"/>
            </w:pPr>
            <w:r>
              <w:t>928.20</w:t>
            </w:r>
          </w:p>
        </w:tc>
        <w:tc>
          <w:tcPr>
            <w:tcW w:w="1134" w:type="dxa"/>
            <w:vAlign w:val="center"/>
          </w:tcPr>
          <w:p>
            <w:pPr>
              <w:pStyle w:val="11"/>
            </w:pPr>
            <w:r>
              <w:t>928.20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928.20</w:t>
            </w:r>
          </w:p>
        </w:tc>
        <w:tc>
          <w:tcPr>
            <w:tcW w:w="1134" w:type="dxa"/>
            <w:vAlign w:val="center"/>
          </w:tcPr>
          <w:p>
            <w:pPr>
              <w:pStyle w:val="11"/>
            </w:pPr>
            <w:r>
              <w:t>928.20</w:t>
            </w:r>
          </w:p>
        </w:tc>
        <w:tc>
          <w:tcPr>
            <w:tcW w:w="1134" w:type="dxa"/>
            <w:vAlign w:val="center"/>
          </w:tcPr>
          <w:p>
            <w:pPr>
              <w:pStyle w:val="11"/>
            </w:pPr>
            <w:r>
              <w:t>928.20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928.20</w:t>
            </w:r>
          </w:p>
        </w:tc>
        <w:tc>
          <w:tcPr>
            <w:tcW w:w="1134" w:type="dxa"/>
            <w:vAlign w:val="center"/>
          </w:tcPr>
          <w:p>
            <w:pPr>
              <w:pStyle w:val="11"/>
            </w:pPr>
            <w:r>
              <w:t>928.20</w:t>
            </w:r>
          </w:p>
        </w:tc>
        <w:tc>
          <w:tcPr>
            <w:tcW w:w="1134" w:type="dxa"/>
            <w:vAlign w:val="center"/>
          </w:tcPr>
          <w:p>
            <w:pPr>
              <w:pStyle w:val="11"/>
            </w:pPr>
            <w:r>
              <w:t>928.20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153.00</w:t>
            </w:r>
          </w:p>
        </w:tc>
        <w:tc>
          <w:tcPr>
            <w:tcW w:w="1134" w:type="dxa"/>
            <w:vAlign w:val="center"/>
          </w:tcPr>
          <w:p>
            <w:pPr>
              <w:pStyle w:val="11"/>
            </w:pPr>
            <w:r>
              <w:t>153.00</w:t>
            </w:r>
          </w:p>
        </w:tc>
        <w:tc>
          <w:tcPr>
            <w:tcW w:w="1134" w:type="dxa"/>
            <w:vAlign w:val="center"/>
          </w:tcPr>
          <w:p>
            <w:pPr>
              <w:pStyle w:val="11"/>
            </w:pPr>
            <w:r>
              <w:t>153.00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r>
              <w:t>59.00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1147.90</w:t>
            </w:r>
          </w:p>
        </w:tc>
        <w:tc>
          <w:tcPr>
            <w:tcW w:w="1361" w:type="dxa"/>
            <w:vAlign w:val="center"/>
          </w:tcPr>
          <w:p>
            <w:pPr>
              <w:pStyle w:val="15"/>
            </w:pPr>
            <w:r>
              <w:t>1145.20</w:t>
            </w:r>
          </w:p>
        </w:tc>
        <w:tc>
          <w:tcPr>
            <w:tcW w:w="1361" w:type="dxa"/>
            <w:vAlign w:val="center"/>
          </w:tcPr>
          <w:p>
            <w:pPr>
              <w:pStyle w:val="15"/>
            </w:pPr>
            <w:r>
              <w:t>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928.20</w:t>
            </w:r>
          </w:p>
        </w:tc>
        <w:tc>
          <w:tcPr>
            <w:tcW w:w="1361" w:type="dxa"/>
            <w:vAlign w:val="center"/>
          </w:tcPr>
          <w:p>
            <w:pPr>
              <w:pStyle w:val="11"/>
            </w:pPr>
            <w:r>
              <w:t>928.20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928.20</w:t>
            </w:r>
          </w:p>
        </w:tc>
        <w:tc>
          <w:tcPr>
            <w:tcW w:w="1361" w:type="dxa"/>
            <w:vAlign w:val="center"/>
          </w:tcPr>
          <w:p>
            <w:pPr>
              <w:pStyle w:val="11"/>
            </w:pPr>
            <w:r>
              <w:t>928.20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928.20</w:t>
            </w:r>
          </w:p>
        </w:tc>
        <w:tc>
          <w:tcPr>
            <w:tcW w:w="1361" w:type="dxa"/>
            <w:vAlign w:val="center"/>
          </w:tcPr>
          <w:p>
            <w:pPr>
              <w:pStyle w:val="11"/>
            </w:pPr>
            <w:r>
              <w:t>928.20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158.00</w:t>
            </w: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153.00</w:t>
            </w:r>
          </w:p>
        </w:tc>
        <w:tc>
          <w:tcPr>
            <w:tcW w:w="1361" w:type="dxa"/>
            <w:vAlign w:val="center"/>
          </w:tcPr>
          <w:p>
            <w:pPr>
              <w:pStyle w:val="11"/>
            </w:pPr>
            <w:r>
              <w:t>153.00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130.00</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59.00</w:t>
            </w:r>
          </w:p>
        </w:tc>
        <w:tc>
          <w:tcPr>
            <w:tcW w:w="1361" w:type="dxa"/>
            <w:vAlign w:val="center"/>
          </w:tcPr>
          <w:p>
            <w:pPr>
              <w:pStyle w:val="11"/>
            </w:pPr>
            <w:r>
              <w:t>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r>
              <w:t>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1145.20</w:t>
            </w:r>
          </w:p>
        </w:tc>
        <w:tc>
          <w:tcPr>
            <w:tcW w:w="3402" w:type="dxa"/>
            <w:vAlign w:val="center"/>
          </w:tcPr>
          <w:p>
            <w:pPr>
              <w:pStyle w:val="12"/>
            </w:pPr>
            <w:r>
              <w:t>一、一般公共服务支出</w:t>
            </w:r>
          </w:p>
        </w:tc>
        <w:tc>
          <w:tcPr>
            <w:tcW w:w="1474" w:type="dxa"/>
            <w:vAlign w:val="center"/>
          </w:tcPr>
          <w:p>
            <w:pPr>
              <w:pStyle w:val="11"/>
            </w:pPr>
            <w:r>
              <w:t>928.20</w:t>
            </w:r>
          </w:p>
        </w:tc>
        <w:tc>
          <w:tcPr>
            <w:tcW w:w="1474" w:type="dxa"/>
            <w:vAlign w:val="center"/>
          </w:tcPr>
          <w:p>
            <w:pPr>
              <w:pStyle w:val="11"/>
            </w:pPr>
            <w:r>
              <w:t>928.20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158.00</w:t>
            </w:r>
          </w:p>
        </w:tc>
        <w:tc>
          <w:tcPr>
            <w:tcW w:w="1474" w:type="dxa"/>
            <w:vAlign w:val="center"/>
          </w:tcPr>
          <w:p>
            <w:pPr>
              <w:pStyle w:val="11"/>
            </w:pPr>
            <w:r>
              <w:t>158.00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59.00</w:t>
            </w:r>
          </w:p>
        </w:tc>
        <w:tc>
          <w:tcPr>
            <w:tcW w:w="1474" w:type="dxa"/>
            <w:vAlign w:val="center"/>
          </w:tcPr>
          <w:p>
            <w:pPr>
              <w:pStyle w:val="11"/>
            </w:pPr>
            <w:r>
              <w:t>59.00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2.70</w:t>
            </w:r>
          </w:p>
        </w:tc>
        <w:tc>
          <w:tcPr>
            <w:tcW w:w="1474" w:type="dxa"/>
            <w:vAlign w:val="center"/>
          </w:tcPr>
          <w:p>
            <w:pPr>
              <w:pStyle w:val="11"/>
            </w:pPr>
            <w:r>
              <w:t>2.70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1145.20</w:t>
            </w:r>
          </w:p>
        </w:tc>
        <w:tc>
          <w:tcPr>
            <w:tcW w:w="3402" w:type="dxa"/>
            <w:vAlign w:val="center"/>
          </w:tcPr>
          <w:p>
            <w:pPr>
              <w:pStyle w:val="14"/>
            </w:pPr>
            <w:r>
              <w:t>本年支出合计</w:t>
            </w:r>
          </w:p>
        </w:tc>
        <w:tc>
          <w:tcPr>
            <w:tcW w:w="1474" w:type="dxa"/>
            <w:vAlign w:val="center"/>
          </w:tcPr>
          <w:p>
            <w:pPr>
              <w:pStyle w:val="15"/>
            </w:pPr>
            <w:r>
              <w:t>1147.90</w:t>
            </w:r>
          </w:p>
        </w:tc>
        <w:tc>
          <w:tcPr>
            <w:tcW w:w="1474" w:type="dxa"/>
            <w:vAlign w:val="center"/>
          </w:tcPr>
          <w:p>
            <w:pPr>
              <w:pStyle w:val="15"/>
            </w:pPr>
            <w:r>
              <w:t>1147.90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2.70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2.70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1147.90</w:t>
            </w:r>
          </w:p>
        </w:tc>
        <w:tc>
          <w:tcPr>
            <w:tcW w:w="3402" w:type="dxa"/>
            <w:vAlign w:val="center"/>
          </w:tcPr>
          <w:p>
            <w:pPr>
              <w:pStyle w:val="14"/>
            </w:pPr>
            <w:r>
              <w:t>支出总计</w:t>
            </w:r>
          </w:p>
        </w:tc>
        <w:tc>
          <w:tcPr>
            <w:tcW w:w="1474" w:type="dxa"/>
            <w:vAlign w:val="center"/>
          </w:tcPr>
          <w:p>
            <w:pPr>
              <w:pStyle w:val="15"/>
            </w:pPr>
            <w:r>
              <w:t>1147.90</w:t>
            </w:r>
          </w:p>
        </w:tc>
        <w:tc>
          <w:tcPr>
            <w:tcW w:w="1474" w:type="dxa"/>
            <w:vAlign w:val="center"/>
          </w:tcPr>
          <w:p>
            <w:pPr>
              <w:pStyle w:val="15"/>
            </w:pPr>
            <w:r>
              <w:t>1147.90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1147.90</w:t>
            </w:r>
          </w:p>
        </w:tc>
        <w:tc>
          <w:tcPr>
            <w:tcW w:w="2551" w:type="dxa"/>
            <w:vAlign w:val="center"/>
          </w:tcPr>
          <w:p>
            <w:pPr>
              <w:pStyle w:val="15"/>
            </w:pPr>
            <w:r>
              <w:t>1145.20</w:t>
            </w:r>
          </w:p>
        </w:tc>
        <w:tc>
          <w:tcPr>
            <w:tcW w:w="2551" w:type="dxa"/>
            <w:vAlign w:val="center"/>
          </w:tcPr>
          <w:p>
            <w:pPr>
              <w:pStyle w:val="15"/>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928.20</w:t>
            </w:r>
          </w:p>
        </w:tc>
        <w:tc>
          <w:tcPr>
            <w:tcW w:w="2551" w:type="dxa"/>
            <w:vAlign w:val="center"/>
          </w:tcPr>
          <w:p>
            <w:pPr>
              <w:pStyle w:val="11"/>
            </w:pPr>
            <w:r>
              <w:t>928.20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928.20</w:t>
            </w:r>
          </w:p>
        </w:tc>
        <w:tc>
          <w:tcPr>
            <w:tcW w:w="2551" w:type="dxa"/>
            <w:vAlign w:val="center"/>
          </w:tcPr>
          <w:p>
            <w:pPr>
              <w:pStyle w:val="11"/>
            </w:pPr>
            <w:r>
              <w:t>928.20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928.20</w:t>
            </w:r>
          </w:p>
        </w:tc>
        <w:tc>
          <w:tcPr>
            <w:tcW w:w="2551" w:type="dxa"/>
            <w:vAlign w:val="center"/>
          </w:tcPr>
          <w:p>
            <w:pPr>
              <w:pStyle w:val="11"/>
            </w:pPr>
            <w:r>
              <w:t>928.20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158.00</w:t>
            </w:r>
          </w:p>
        </w:tc>
        <w:tc>
          <w:tcPr>
            <w:tcW w:w="2551" w:type="dxa"/>
            <w:vAlign w:val="center"/>
          </w:tcPr>
          <w:p>
            <w:pPr>
              <w:pStyle w:val="11"/>
            </w:pPr>
            <w:r>
              <w:t>158.00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153.00</w:t>
            </w:r>
          </w:p>
        </w:tc>
        <w:tc>
          <w:tcPr>
            <w:tcW w:w="2551" w:type="dxa"/>
            <w:vAlign w:val="center"/>
          </w:tcPr>
          <w:p>
            <w:pPr>
              <w:pStyle w:val="11"/>
            </w:pPr>
            <w:r>
              <w:t>153.00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1145.20</w:t>
            </w:r>
          </w:p>
        </w:tc>
        <w:tc>
          <w:tcPr>
            <w:tcW w:w="2551" w:type="dxa"/>
            <w:vAlign w:val="center"/>
          </w:tcPr>
          <w:p>
            <w:pPr>
              <w:pStyle w:val="15"/>
            </w:pPr>
            <w:r>
              <w:t>967.20</w:t>
            </w:r>
          </w:p>
        </w:tc>
        <w:tc>
          <w:tcPr>
            <w:tcW w:w="2551" w:type="dxa"/>
            <w:vAlign w:val="center"/>
          </w:tcPr>
          <w:p>
            <w:pPr>
              <w:pStyle w:val="15"/>
            </w:pPr>
            <w:r>
              <w:t>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931.20</w:t>
            </w:r>
          </w:p>
        </w:tc>
        <w:tc>
          <w:tcPr>
            <w:tcW w:w="2551" w:type="dxa"/>
            <w:vAlign w:val="center"/>
          </w:tcPr>
          <w:p>
            <w:pPr>
              <w:pStyle w:val="11"/>
            </w:pPr>
            <w:r>
              <w:t>931.20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329.00</w:t>
            </w:r>
          </w:p>
        </w:tc>
        <w:tc>
          <w:tcPr>
            <w:tcW w:w="2551" w:type="dxa"/>
            <w:vAlign w:val="center"/>
          </w:tcPr>
          <w:p>
            <w:pPr>
              <w:pStyle w:val="11"/>
            </w:pPr>
            <w:r>
              <w:t>329.00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145.30</w:t>
            </w:r>
          </w:p>
        </w:tc>
        <w:tc>
          <w:tcPr>
            <w:tcW w:w="2551" w:type="dxa"/>
            <w:vAlign w:val="center"/>
          </w:tcPr>
          <w:p>
            <w:pPr>
              <w:pStyle w:val="11"/>
            </w:pPr>
            <w:r>
              <w:t>145.30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68.40</w:t>
            </w:r>
          </w:p>
        </w:tc>
        <w:tc>
          <w:tcPr>
            <w:tcW w:w="2551" w:type="dxa"/>
            <w:vAlign w:val="center"/>
          </w:tcPr>
          <w:p>
            <w:pPr>
              <w:pStyle w:val="11"/>
            </w:pPr>
            <w:r>
              <w:t>68.40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111.50</w:t>
            </w:r>
          </w:p>
        </w:tc>
        <w:tc>
          <w:tcPr>
            <w:tcW w:w="2551" w:type="dxa"/>
            <w:vAlign w:val="center"/>
          </w:tcPr>
          <w:p>
            <w:pPr>
              <w:pStyle w:val="11"/>
            </w:pPr>
            <w:r>
              <w:t>111.50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130.00</w:t>
            </w:r>
          </w:p>
        </w:tc>
        <w:tc>
          <w:tcPr>
            <w:tcW w:w="2551" w:type="dxa"/>
            <w:vAlign w:val="center"/>
          </w:tcPr>
          <w:p>
            <w:pPr>
              <w:pStyle w:val="11"/>
            </w:pPr>
            <w:r>
              <w:t>130.00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59.00</w:t>
            </w:r>
          </w:p>
        </w:tc>
        <w:tc>
          <w:tcPr>
            <w:tcW w:w="2551" w:type="dxa"/>
            <w:vAlign w:val="center"/>
          </w:tcPr>
          <w:p>
            <w:pPr>
              <w:pStyle w:val="11"/>
            </w:pPr>
            <w:r>
              <w:t>59.00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178.00</w:t>
            </w:r>
          </w:p>
        </w:tc>
        <w:tc>
          <w:tcPr>
            <w:tcW w:w="2551" w:type="dxa"/>
            <w:vAlign w:val="center"/>
          </w:tcPr>
          <w:p>
            <w:pPr>
              <w:pStyle w:val="11"/>
            </w:pPr>
          </w:p>
        </w:tc>
        <w:tc>
          <w:tcPr>
            <w:tcW w:w="2551" w:type="dxa"/>
            <w:vAlign w:val="center"/>
          </w:tcPr>
          <w:p>
            <w:pPr>
              <w:pStyle w:val="11"/>
            </w:pPr>
            <w:r>
              <w:t>178.00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按照《中华人民共和国预算法》、《地方预决算公开操作规程》和《关于进一步推进预算公开工作的实施意见》规定，现将无极县东侯坊镇人民政府本级2025年单位预算公开如下：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根据《东侯坊镇职能配置、内设机构和人员编制规定》， 东侯坊镇的主要职责是：</w:t>
      </w:r>
    </w:p>
    <w:p>
      <w:pPr>
        <w:pStyle w:val="17"/>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7"/>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7"/>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7"/>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7"/>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无极县东侯坊镇人民政府本级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2"/>
      </w:pPr>
      <w:r>
        <w:t>按照预算管理有关规定，目前部门预算的编制实行综合预算管理，即全部收入和支出都反映在预算中。无极县东侯坊镇人民政府机关及所属事业单位的收支包含在部门预算中。</w:t>
      </w:r>
    </w:p>
    <w:p>
      <w:pPr>
        <w:pStyle w:val="22"/>
      </w:pPr>
      <w:r>
        <w:t>1、收入说明</w:t>
      </w:r>
    </w:p>
    <w:p>
      <w:pPr>
        <w:pStyle w:val="22"/>
      </w:pPr>
      <w:r>
        <w:t>反映本部门当年全部收入。202</w:t>
      </w:r>
      <w:r>
        <w:rPr>
          <w:rFonts w:hint="eastAsia"/>
          <w:lang w:val="en-US" w:eastAsia="zh-CN"/>
        </w:rPr>
        <w:t>5</w:t>
      </w:r>
      <w:r>
        <w:t>年预算收入1</w:t>
      </w:r>
      <w:r>
        <w:rPr>
          <w:rFonts w:hint="eastAsia"/>
          <w:lang w:val="en-US" w:eastAsia="zh-CN"/>
        </w:rPr>
        <w:t>147.9</w:t>
      </w:r>
      <w:r>
        <w:t>万元，其中：一般公共预算收入1</w:t>
      </w:r>
      <w:r>
        <w:rPr>
          <w:rFonts w:hint="eastAsia"/>
          <w:lang w:val="en-US" w:eastAsia="zh-CN"/>
        </w:rPr>
        <w:t>145.2</w:t>
      </w:r>
      <w:r>
        <w:t>万元，基金预算收入0.00万元，国有资本经营预算收入0.00万元，财政专户核拨收入0.00万元，单位资金收入0.00万元，上年结转结余</w:t>
      </w:r>
      <w:r>
        <w:rPr>
          <w:rFonts w:hint="eastAsia"/>
          <w:lang w:val="en-US" w:eastAsia="zh-CN"/>
        </w:rPr>
        <w:t>2.7</w:t>
      </w:r>
      <w:r>
        <w:t>万元。</w:t>
      </w:r>
    </w:p>
    <w:p>
      <w:pPr>
        <w:pStyle w:val="22"/>
      </w:pPr>
      <w:r>
        <w:t>2、支出说明</w:t>
      </w:r>
    </w:p>
    <w:p>
      <w:pPr>
        <w:pStyle w:val="22"/>
      </w:pPr>
      <w:r>
        <w:t>收支预算总表支出栏、基本支出表、项目支出表按经济分类和支出功能分类科目编制，反映无极县东侯坊镇人民政府年度部门预算中支出预算的总体情况。202</w:t>
      </w:r>
      <w:r>
        <w:rPr>
          <w:rFonts w:hint="eastAsia"/>
          <w:lang w:val="en-US" w:eastAsia="zh-CN"/>
        </w:rPr>
        <w:t>5</w:t>
      </w:r>
      <w:r>
        <w:t>年支出预算1</w:t>
      </w:r>
      <w:r>
        <w:rPr>
          <w:rFonts w:hint="eastAsia"/>
          <w:lang w:val="en-US" w:eastAsia="zh-CN"/>
        </w:rPr>
        <w:t>147.9</w:t>
      </w:r>
      <w:r>
        <w:t>万元，其中基本支出1</w:t>
      </w:r>
      <w:r>
        <w:rPr>
          <w:rFonts w:hint="eastAsia"/>
          <w:lang w:val="en-US" w:eastAsia="zh-CN"/>
        </w:rPr>
        <w:t>145.2</w:t>
      </w:r>
      <w:r>
        <w:t>万元，包括人员经费967.20万元和日常公用经费</w:t>
      </w:r>
      <w:r>
        <w:rPr>
          <w:rFonts w:hint="eastAsia"/>
          <w:lang w:val="en-US" w:eastAsia="zh-CN"/>
        </w:rPr>
        <w:t>178</w:t>
      </w:r>
      <w:r>
        <w:t>.00万元；项目支出</w:t>
      </w:r>
      <w:r>
        <w:rPr>
          <w:rFonts w:hint="eastAsia"/>
          <w:lang w:val="en-US" w:eastAsia="zh-CN"/>
        </w:rPr>
        <w:t>2.7</w:t>
      </w:r>
      <w:r>
        <w:t>万元，主要为2024年东丰村道路硬化及提升整治工程预算资金</w:t>
      </w:r>
      <w:r>
        <w:rPr>
          <w:rFonts w:hint="eastAsia"/>
          <w:lang w:val="en-US" w:eastAsia="zh-CN"/>
        </w:rPr>
        <w:t>2.7</w:t>
      </w:r>
      <w:r>
        <w:t>万元。</w:t>
      </w:r>
    </w:p>
    <w:p>
      <w:pPr>
        <w:pStyle w:val="22"/>
      </w:pPr>
      <w:r>
        <w:t>3、比上年增减情况</w:t>
      </w:r>
    </w:p>
    <w:p>
      <w:pPr>
        <w:pStyle w:val="22"/>
      </w:pPr>
      <w:r>
        <w:t>202</w:t>
      </w:r>
      <w:r>
        <w:rPr>
          <w:rFonts w:hint="eastAsia"/>
          <w:lang w:val="en-US" w:eastAsia="zh-CN"/>
        </w:rPr>
        <w:t>5</w:t>
      </w:r>
      <w:r>
        <w:t>年预算收支安排1</w:t>
      </w:r>
      <w:r>
        <w:rPr>
          <w:rFonts w:hint="eastAsia"/>
          <w:lang w:val="en-US" w:eastAsia="zh-CN"/>
        </w:rPr>
        <w:t>147.9</w:t>
      </w:r>
      <w:r>
        <w:t>万元，较2023年预算减少</w:t>
      </w:r>
      <w:r>
        <w:rPr>
          <w:rFonts w:hint="eastAsia"/>
          <w:lang w:val="en-US" w:eastAsia="zh-CN"/>
        </w:rPr>
        <w:t>409.46</w:t>
      </w:r>
      <w:r>
        <w:t>万元，其中：基本支出减少</w:t>
      </w:r>
      <w:r>
        <w:rPr>
          <w:rFonts w:hint="eastAsia"/>
          <w:lang w:val="en-US" w:eastAsia="zh-CN"/>
        </w:rPr>
        <w:t>322.16</w:t>
      </w:r>
      <w:r>
        <w:t>万元，主要为缩减开支，精准预算项目支出减少</w:t>
      </w:r>
      <w:r>
        <w:rPr>
          <w:rFonts w:hint="eastAsia"/>
          <w:lang w:val="en-US" w:eastAsia="zh-CN"/>
        </w:rPr>
        <w:t>87.3</w:t>
      </w:r>
      <w:r>
        <w:t>0万元，主要为预算项目变更</w:t>
      </w:r>
      <w:r>
        <w:rPr>
          <w:rFonts w:hint="eastAsia"/>
          <w:lang w:eastAsia="zh-CN"/>
        </w:rPr>
        <w:t>。</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w:t>
      </w:r>
      <w:r>
        <w:rPr>
          <w:rFonts w:hint="eastAsia"/>
          <w:lang w:val="en-US" w:eastAsia="zh-CN"/>
        </w:rPr>
        <w:t>5</w:t>
      </w:r>
      <w:r>
        <w:t>年，我部门机关运行经费共计安排</w:t>
      </w:r>
      <w:r>
        <w:rPr>
          <w:rFonts w:hint="eastAsia"/>
          <w:lang w:val="en-US" w:eastAsia="zh-CN"/>
        </w:rPr>
        <w:t>178</w:t>
      </w:r>
      <w:r>
        <w:t>万元，主要用于保证机关正常运转的办公费及印刷费、邮电费、差旅费、水电费、取暖费、公务车运行维护费等支出。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5</w:t>
      </w:r>
      <w:r>
        <w:t>年，我部门财政拨款“三公”经费预算安排</w:t>
      </w:r>
      <w:r>
        <w:rPr>
          <w:rFonts w:hint="eastAsia"/>
          <w:lang w:val="en-US" w:eastAsia="zh-CN"/>
        </w:rPr>
        <w:t>6</w:t>
      </w:r>
      <w:r>
        <w:t>.00万元，其中因公出国（境）费0.00万元；公务用车购置及运维费</w:t>
      </w:r>
      <w:r>
        <w:rPr>
          <w:rFonts w:hint="eastAsia"/>
          <w:lang w:val="en-US" w:eastAsia="zh-CN"/>
        </w:rPr>
        <w:t>6</w:t>
      </w:r>
      <w:r>
        <w:t>.00万元（其中：公务用车购置费为0.00万元，公务用车运维费</w:t>
      </w:r>
      <w:r>
        <w:rPr>
          <w:rFonts w:hint="eastAsia"/>
          <w:lang w:val="en-US" w:eastAsia="zh-CN"/>
        </w:rPr>
        <w:t>6</w:t>
      </w:r>
      <w:r>
        <w:t>.00万元)。与202</w:t>
      </w:r>
      <w:r>
        <w:rPr>
          <w:rFonts w:hint="eastAsia"/>
          <w:lang w:val="en-US" w:eastAsia="zh-CN"/>
        </w:rPr>
        <w:t>4</w:t>
      </w:r>
      <w:r>
        <w:t>年相比增加</w:t>
      </w:r>
      <w:r>
        <w:rPr>
          <w:rFonts w:hint="eastAsia"/>
          <w:lang w:val="en-US" w:eastAsia="zh-CN"/>
        </w:rPr>
        <w:t>3</w:t>
      </w:r>
      <w:r>
        <w:t>.00万元，增减变化的主要原因是严格按照公务用车相关制度执行。</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1、2024年东丰村道路硬化及提升整治工程绩效目标表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13013024P00002810001C</w:t>
            </w:r>
          </w:p>
        </w:tc>
        <w:tc>
          <w:tcPr>
            <w:tcW w:w="2835" w:type="dxa"/>
            <w:vAlign w:val="center"/>
          </w:tcPr>
          <w:p>
            <w:pPr>
              <w:pStyle w:val="10"/>
            </w:pPr>
            <w:r>
              <w:t>项目名称</w:t>
            </w:r>
          </w:p>
        </w:tc>
        <w:tc>
          <w:tcPr>
            <w:tcW w:w="6095" w:type="dxa"/>
            <w:gridSpan w:val="3"/>
            <w:vAlign w:val="center"/>
          </w:tcPr>
          <w:p>
            <w:pPr>
              <w:pStyle w:val="12"/>
            </w:pPr>
            <w:r>
              <w:t>2024年东丰村道路硬化及提升整治工程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东丰村道路硬化及提升工程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hint="default" w:ascii="方正书宋_GBK" w:hAnsi="方正书宋_GBK" w:eastAsia="方正书宋_GBK" w:cs="方正书宋_GBK"/>
                <w:sz w:val="21"/>
                <w:lang w:val="en-US" w:eastAsia="zh-CN"/>
              </w:rPr>
            </w:pPr>
            <w:r>
              <w:t xml:space="preserve"> </w:t>
            </w:r>
            <w:r>
              <w:rPr>
                <w:rFonts w:hint="eastAsia"/>
                <w:lang w:val="en-US" w:eastAsia="zh-CN"/>
              </w:rPr>
              <w:t>20%</w:t>
            </w:r>
          </w:p>
        </w:tc>
        <w:tc>
          <w:tcPr>
            <w:tcW w:w="2835"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50%</w:t>
            </w:r>
            <w:r>
              <w:t xml:space="preserve"> </w:t>
            </w:r>
          </w:p>
        </w:tc>
        <w:tc>
          <w:tcPr>
            <w:tcW w:w="2551" w:type="dxa"/>
            <w:vAlign w:val="center"/>
          </w:tcPr>
          <w:p>
            <w:pPr>
              <w:pStyle w:val="13"/>
              <w:ind w:firstLine="0" w:firstLineChars="0"/>
              <w:rPr>
                <w:rFonts w:ascii="方正书宋_GBK" w:hAnsi="方正书宋_GBK" w:eastAsia="方正书宋_GBK" w:cs="方正书宋_GBK"/>
                <w:sz w:val="21"/>
              </w:rPr>
            </w:pPr>
            <w:r>
              <w:rPr>
                <w:rFonts w:hint="eastAsia"/>
                <w:lang w:val="en-US" w:eastAsia="zh-CN"/>
              </w:rPr>
              <w:t>75%</w:t>
            </w:r>
            <w:r>
              <w:t xml:space="preserve"> </w:t>
            </w:r>
          </w:p>
        </w:tc>
        <w:tc>
          <w:tcPr>
            <w:tcW w:w="3544" w:type="dxa"/>
            <w:gridSpan w:val="2"/>
            <w:vAlign w:val="center"/>
          </w:tcPr>
          <w:p>
            <w:pPr>
              <w:pStyle w:val="13"/>
              <w:ind w:firstLine="0" w:firstLineChars="0"/>
              <w:rPr>
                <w:rFonts w:ascii="方正书宋_GBK" w:hAnsi="方正书宋_GBK" w:eastAsia="方正书宋_GBK" w:cs="方正书宋_GBK"/>
                <w:sz w:val="21"/>
              </w:rPr>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工程完工率</w:t>
            </w:r>
          </w:p>
        </w:tc>
        <w:tc>
          <w:tcPr>
            <w:tcW w:w="5386" w:type="dxa"/>
            <w:vAlign w:val="center"/>
          </w:tcPr>
          <w:p>
            <w:pPr>
              <w:pStyle w:val="12"/>
            </w:pPr>
            <w:r>
              <w:t>工程施工进度工作量占工程完工总量的比率</w:t>
            </w:r>
          </w:p>
        </w:tc>
        <w:tc>
          <w:tcPr>
            <w:tcW w:w="2268" w:type="dxa"/>
            <w:vAlign w:val="center"/>
          </w:tcPr>
          <w:p>
            <w:pPr>
              <w:pStyle w:val="12"/>
            </w:pPr>
            <w:r>
              <w:t>≥100%</w:t>
            </w:r>
          </w:p>
        </w:tc>
        <w:tc>
          <w:tcPr>
            <w:tcW w:w="1276" w:type="dxa"/>
            <w:vAlign w:val="center"/>
          </w:tcPr>
          <w:p>
            <w:pPr>
              <w:pStyle w:val="12"/>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合格的工程数量占工程完工总量的比例</w:t>
            </w:r>
          </w:p>
        </w:tc>
        <w:tc>
          <w:tcPr>
            <w:tcW w:w="2268" w:type="dxa"/>
            <w:vAlign w:val="center"/>
          </w:tcPr>
          <w:p>
            <w:pPr>
              <w:pStyle w:val="12"/>
            </w:pPr>
            <w:r>
              <w:t>≥100%</w:t>
            </w:r>
          </w:p>
        </w:tc>
        <w:tc>
          <w:tcPr>
            <w:tcW w:w="1276" w:type="dxa"/>
            <w:vAlign w:val="center"/>
          </w:tcPr>
          <w:p>
            <w:pPr>
              <w:pStyle w:val="12"/>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5386" w:type="dxa"/>
            <w:vAlign w:val="center"/>
          </w:tcPr>
          <w:p>
            <w:pPr>
              <w:pStyle w:val="12"/>
            </w:pPr>
            <w:r>
              <w:t>项目按计划完工情况</w:t>
            </w:r>
          </w:p>
        </w:tc>
        <w:tc>
          <w:tcPr>
            <w:tcW w:w="2268" w:type="dxa"/>
            <w:vAlign w:val="center"/>
          </w:tcPr>
          <w:p>
            <w:pPr>
              <w:pStyle w:val="12"/>
            </w:pPr>
            <w:r>
              <w:t>≥100%</w:t>
            </w:r>
          </w:p>
        </w:tc>
        <w:tc>
          <w:tcPr>
            <w:tcW w:w="1276" w:type="dxa"/>
            <w:vAlign w:val="center"/>
          </w:tcPr>
          <w:p>
            <w:pPr>
              <w:pStyle w:val="12"/>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超概算比例</w:t>
            </w:r>
          </w:p>
        </w:tc>
        <w:tc>
          <w:tcPr>
            <w:tcW w:w="5386" w:type="dxa"/>
            <w:vAlign w:val="center"/>
          </w:tcPr>
          <w:p>
            <w:pPr>
              <w:pStyle w:val="12"/>
            </w:pPr>
            <w:r>
              <w:t>超概算金额占概算的比例</w:t>
            </w:r>
          </w:p>
        </w:tc>
        <w:tc>
          <w:tcPr>
            <w:tcW w:w="2268" w:type="dxa"/>
            <w:vAlign w:val="center"/>
          </w:tcPr>
          <w:p>
            <w:pPr>
              <w:pStyle w:val="12"/>
            </w:pPr>
            <w:r>
              <w:t>≤5%</w:t>
            </w:r>
          </w:p>
        </w:tc>
        <w:tc>
          <w:tcPr>
            <w:tcW w:w="1276" w:type="dxa"/>
            <w:vAlign w:val="center"/>
          </w:tcPr>
          <w:p>
            <w:pPr>
              <w:pStyle w:val="12"/>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项目受益人数</w:t>
            </w:r>
          </w:p>
        </w:tc>
        <w:tc>
          <w:tcPr>
            <w:tcW w:w="5386" w:type="dxa"/>
            <w:vAlign w:val="center"/>
          </w:tcPr>
          <w:p>
            <w:pPr>
              <w:pStyle w:val="12"/>
            </w:pPr>
            <w:r>
              <w:t>项目受益人数</w:t>
            </w:r>
          </w:p>
        </w:tc>
        <w:tc>
          <w:tcPr>
            <w:tcW w:w="2268" w:type="dxa"/>
            <w:vAlign w:val="center"/>
          </w:tcPr>
          <w:p>
            <w:pPr>
              <w:pStyle w:val="12"/>
            </w:pPr>
            <w:r>
              <w:t>≥1000人</w:t>
            </w:r>
          </w:p>
        </w:tc>
        <w:tc>
          <w:tcPr>
            <w:tcW w:w="1276" w:type="dxa"/>
            <w:vAlign w:val="center"/>
          </w:tcPr>
          <w:p>
            <w:pPr>
              <w:pStyle w:val="12"/>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建筑（设施）使用年限</w:t>
            </w:r>
          </w:p>
        </w:tc>
        <w:tc>
          <w:tcPr>
            <w:tcW w:w="5386" w:type="dxa"/>
            <w:vAlign w:val="center"/>
          </w:tcPr>
          <w:p>
            <w:pPr>
              <w:pStyle w:val="12"/>
            </w:pPr>
            <w:r>
              <w:t>建筑（设施）正常使用年限</w:t>
            </w:r>
          </w:p>
        </w:tc>
        <w:tc>
          <w:tcPr>
            <w:tcW w:w="2268" w:type="dxa"/>
            <w:vAlign w:val="center"/>
          </w:tcPr>
          <w:p>
            <w:pPr>
              <w:pStyle w:val="12"/>
            </w:pPr>
            <w:r>
              <w:t>≥10年</w:t>
            </w:r>
          </w:p>
        </w:tc>
        <w:tc>
          <w:tcPr>
            <w:tcW w:w="1276" w:type="dxa"/>
            <w:vAlign w:val="center"/>
          </w:tcPr>
          <w:p>
            <w:pPr>
              <w:pStyle w:val="12"/>
            </w:pPr>
            <w:r>
              <w:t>实际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基础设施建设投入运营后给直接受益村村民人均年度经济收入情况</w:t>
            </w:r>
          </w:p>
        </w:tc>
        <w:tc>
          <w:tcPr>
            <w:tcW w:w="5386" w:type="dxa"/>
            <w:vAlign w:val="center"/>
          </w:tcPr>
          <w:p>
            <w:pPr>
              <w:pStyle w:val="12"/>
            </w:pPr>
            <w:r>
              <w:t>基础设施建设投入运营后给直接受益村村民人均年度经济收入情况</w:t>
            </w:r>
          </w:p>
        </w:tc>
        <w:tc>
          <w:tcPr>
            <w:tcW w:w="2268" w:type="dxa"/>
            <w:vAlign w:val="center"/>
          </w:tcPr>
          <w:p>
            <w:pPr>
              <w:pStyle w:val="12"/>
            </w:pPr>
            <w:r>
              <w:t>基础设施建设投入运营后给直接受益村村民人均年度经济收入情况</w:t>
            </w:r>
          </w:p>
        </w:tc>
        <w:tc>
          <w:tcPr>
            <w:tcW w:w="1276" w:type="dxa"/>
            <w:vAlign w:val="center"/>
          </w:tcPr>
          <w:p>
            <w:pPr>
              <w:pStyle w:val="12"/>
            </w:pPr>
            <w:r>
              <w:t>基础设施建设投入运营后给直接受益村村民人均年度经济收入情况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居民出行平均缩短时间</w:t>
            </w:r>
          </w:p>
        </w:tc>
        <w:tc>
          <w:tcPr>
            <w:tcW w:w="1276" w:type="dxa"/>
            <w:vAlign w:val="center"/>
          </w:tcPr>
          <w:p>
            <w:pPr>
              <w:pStyle w:val="12"/>
            </w:pPr>
            <w:r>
              <w:t>居民出行平均缩短时间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受益群体满意程度</w:t>
            </w:r>
          </w:p>
        </w:tc>
        <w:tc>
          <w:tcPr>
            <w:tcW w:w="2268" w:type="dxa"/>
            <w:vAlign w:val="center"/>
          </w:tcPr>
          <w:p>
            <w:pPr>
              <w:pStyle w:val="12"/>
            </w:pPr>
            <w:r>
              <w:t>≥98%</w:t>
            </w:r>
          </w:p>
        </w:tc>
        <w:tc>
          <w:tcPr>
            <w:tcW w:w="1276" w:type="dxa"/>
            <w:vAlign w:val="center"/>
          </w:tcPr>
          <w:p>
            <w:pPr>
              <w:pStyle w:val="12"/>
            </w:pPr>
            <w:r>
              <w:t>实际</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w:t>
            </w:r>
          </w:p>
        </w:tc>
        <w:tc>
          <w:tcPr>
            <w:tcW w:w="964" w:type="dxa"/>
            <w:vAlign w:val="center"/>
          </w:tcPr>
          <w:p>
            <w:pPr>
              <w:pStyle w:val="15"/>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无极县东侯坊镇人民政府本级小计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2.70</w:t>
            </w:r>
          </w:p>
        </w:tc>
        <w:tc>
          <w:tcPr>
            <w:tcW w:w="964" w:type="dxa"/>
            <w:vAlign w:val="center"/>
          </w:tcPr>
          <w:p>
            <w:pPr>
              <w:pStyle w:val="15"/>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2024年东丰村道路硬化及提升整治工程</w:t>
            </w:r>
          </w:p>
        </w:tc>
        <w:tc>
          <w:tcPr>
            <w:tcW w:w="964" w:type="dxa"/>
            <w:vAlign w:val="center"/>
          </w:tcPr>
          <w:p>
            <w:pPr>
              <w:pStyle w:val="11"/>
            </w:pPr>
            <w:r>
              <w:t>2.70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2.70</w:t>
            </w:r>
          </w:p>
        </w:tc>
        <w:tc>
          <w:tcPr>
            <w:tcW w:w="964" w:type="dxa"/>
            <w:vAlign w:val="center"/>
          </w:tcPr>
          <w:p>
            <w:pPr>
              <w:pStyle w:val="11"/>
            </w:pPr>
            <w:r>
              <w:t>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w:t>
            </w:r>
          </w:p>
        </w:tc>
        <w:tc>
          <w:tcPr>
            <w:tcW w:w="964" w:type="dxa"/>
            <w:vAlign w:val="center"/>
          </w:tcPr>
          <w:p>
            <w:pPr>
              <w:pStyle w:val="11"/>
            </w:pPr>
            <w:r>
              <w:t>2.70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无极县东侯坊镇人民政府本级上年末固定资产金额为</w:t>
      </w:r>
      <w:r>
        <w:rPr>
          <w:rFonts w:hint="eastAsia" w:eastAsia="方正仿宋_GBK" w:cs="Times New Roman"/>
          <w:b w:val="0"/>
          <w:color w:val="000000"/>
          <w:sz w:val="28"/>
          <w:lang w:val="en-US" w:eastAsia="zh-CN"/>
        </w:rPr>
        <w:t>156</w:t>
      </w:r>
      <w:r>
        <w:rPr>
          <w:rFonts w:ascii="Times New Roman" w:hAnsi="Times New Roman" w:eastAsia="方正仿宋_GBK" w:cs="Times New Roman"/>
          <w:b w:val="0"/>
          <w:color w:val="000000"/>
          <w:sz w:val="28"/>
        </w:rPr>
        <w:t>.00万元（详见下表）。本年度拟购置固定资产总额为0.00万元。</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937001无极县东侯坊镇人民政府本级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4002</w:t>
            </w:r>
          </w:p>
        </w:tc>
        <w:tc>
          <w:tcPr>
            <w:tcW w:w="2835" w:type="dxa"/>
            <w:vAlign w:val="center"/>
          </w:tcPr>
          <w:p>
            <w:pPr>
              <w:pStyle w:val="11"/>
              <w:ind w:firstLine="0" w:firstLineChars="0"/>
              <w:rPr>
                <w:rFonts w:ascii="方正书宋_GBK" w:hAnsi="方正书宋_GBK" w:eastAsia="方正书宋_GBK" w:cs="方正书宋_GBK"/>
                <w:sz w:val="21"/>
                <w:szCs w:val="24"/>
                <w:lang w:val="en-US" w:eastAsia="uk-UA" w:bidi="ar-SA"/>
              </w:rPr>
            </w:pPr>
            <w:r>
              <w:t>156.00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4000</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r>
              <w:t>128.00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3000</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r>
              <w:t>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D1B03"/>
    <w:rsid w:val="3B2057D5"/>
    <w:rsid w:val="7E2245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2025-02-17T08:57:00Z</dcterms:created>
  <dc:creator>lenovo</dc:creator>
  <cp:lastModifiedBy>浮生</cp:lastModifiedBy>
  <dcterms:modified xsi:type="dcterms:W3CDTF">2025-10-31T08:32:19Z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AA1A67B071704C90804EDC6C3B1778F6</vt:lpwstr>
  </property>
</Properties>
</file>