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937无极县东侯坊镇人民政府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1145.20</w:t>
            </w:r>
          </w:p>
        </w:tc>
        <w:tc>
          <w:tcPr>
            <w:tcW w:w="4535" w:type="dxa"/>
            <w:vAlign w:val="center"/>
          </w:tcPr>
          <w:p>
            <w:pPr>
              <w:pStyle w:val="13"/>
            </w:pPr>
            <w:r>
              <w:t>一、一般公共服务支出</w:t>
            </w:r>
          </w:p>
        </w:tc>
        <w:tc>
          <w:tcPr>
            <w:tcW w:w="2126" w:type="dxa"/>
            <w:vAlign w:val="center"/>
          </w:tcPr>
          <w:p>
            <w:pPr>
              <w:pStyle w:val="12"/>
            </w:pPr>
            <w:r>
              <w:t>928.20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1145.20</w:t>
            </w:r>
          </w:p>
        </w:tc>
        <w:tc>
          <w:tcPr>
            <w:tcW w:w="4535" w:type="dxa"/>
            <w:vAlign w:val="center"/>
          </w:tcPr>
          <w:p>
            <w:pPr>
              <w:pStyle w:val="15"/>
            </w:pPr>
            <w:r>
              <w:t>本年支出合计</w:t>
            </w:r>
          </w:p>
        </w:tc>
        <w:tc>
          <w:tcPr>
            <w:tcW w:w="2126" w:type="dxa"/>
            <w:vAlign w:val="center"/>
          </w:tcPr>
          <w:p>
            <w:pPr>
              <w:pStyle w:val="16"/>
            </w:pPr>
            <w:r>
              <w:t>1147.90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2.70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1147.90</w:t>
            </w:r>
          </w:p>
        </w:tc>
        <w:tc>
          <w:tcPr>
            <w:tcW w:w="4535" w:type="dxa"/>
            <w:vAlign w:val="center"/>
          </w:tcPr>
          <w:p>
            <w:pPr>
              <w:pStyle w:val="15"/>
            </w:pPr>
            <w:r>
              <w:t>支出总计</w:t>
            </w:r>
          </w:p>
        </w:tc>
        <w:tc>
          <w:tcPr>
            <w:tcW w:w="2126" w:type="dxa"/>
            <w:vAlign w:val="center"/>
          </w:tcPr>
          <w:p>
            <w:pPr>
              <w:pStyle w:val="16"/>
            </w:pPr>
            <w:r>
              <w:t>1147.90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937无极县东侯坊镇人民政府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1147.90</w:t>
            </w:r>
          </w:p>
        </w:tc>
        <w:tc>
          <w:tcPr>
            <w:tcW w:w="1134" w:type="dxa"/>
            <w:vAlign w:val="center"/>
          </w:tcPr>
          <w:p>
            <w:pPr>
              <w:pStyle w:val="16"/>
            </w:pPr>
            <w:r>
              <w:t>1145.20</w:t>
            </w:r>
          </w:p>
        </w:tc>
        <w:tc>
          <w:tcPr>
            <w:tcW w:w="1134" w:type="dxa"/>
            <w:vAlign w:val="center"/>
          </w:tcPr>
          <w:p>
            <w:pPr>
              <w:pStyle w:val="16"/>
            </w:pPr>
            <w:r>
              <w:t>1145.20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928.20</w:t>
            </w:r>
          </w:p>
        </w:tc>
        <w:tc>
          <w:tcPr>
            <w:tcW w:w="1134" w:type="dxa"/>
            <w:vAlign w:val="center"/>
          </w:tcPr>
          <w:p>
            <w:pPr>
              <w:pStyle w:val="12"/>
            </w:pPr>
            <w:r>
              <w:t>928.20</w:t>
            </w:r>
          </w:p>
        </w:tc>
        <w:tc>
          <w:tcPr>
            <w:tcW w:w="1134" w:type="dxa"/>
            <w:vAlign w:val="center"/>
          </w:tcPr>
          <w:p>
            <w:pPr>
              <w:pStyle w:val="12"/>
            </w:pPr>
            <w:r>
              <w:t>928.20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928.20</w:t>
            </w:r>
          </w:p>
        </w:tc>
        <w:tc>
          <w:tcPr>
            <w:tcW w:w="1134" w:type="dxa"/>
            <w:vAlign w:val="center"/>
          </w:tcPr>
          <w:p>
            <w:pPr>
              <w:pStyle w:val="12"/>
            </w:pPr>
            <w:r>
              <w:t>928.20</w:t>
            </w:r>
          </w:p>
        </w:tc>
        <w:tc>
          <w:tcPr>
            <w:tcW w:w="1134" w:type="dxa"/>
            <w:vAlign w:val="center"/>
          </w:tcPr>
          <w:p>
            <w:pPr>
              <w:pStyle w:val="12"/>
            </w:pPr>
            <w:r>
              <w:t>928.20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928.20</w:t>
            </w:r>
          </w:p>
        </w:tc>
        <w:tc>
          <w:tcPr>
            <w:tcW w:w="1134" w:type="dxa"/>
            <w:vAlign w:val="center"/>
          </w:tcPr>
          <w:p>
            <w:pPr>
              <w:pStyle w:val="12"/>
            </w:pPr>
            <w:r>
              <w:t>928.20</w:t>
            </w:r>
          </w:p>
        </w:tc>
        <w:tc>
          <w:tcPr>
            <w:tcW w:w="1134" w:type="dxa"/>
            <w:vAlign w:val="center"/>
          </w:tcPr>
          <w:p>
            <w:pPr>
              <w:pStyle w:val="12"/>
            </w:pPr>
            <w:r>
              <w:t>928.20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158.00</w:t>
            </w:r>
          </w:p>
        </w:tc>
        <w:tc>
          <w:tcPr>
            <w:tcW w:w="1134" w:type="dxa"/>
            <w:vAlign w:val="center"/>
          </w:tcPr>
          <w:p>
            <w:pPr>
              <w:pStyle w:val="12"/>
            </w:pPr>
            <w:r>
              <w:t>158.00</w:t>
            </w:r>
          </w:p>
        </w:tc>
        <w:tc>
          <w:tcPr>
            <w:tcW w:w="1134" w:type="dxa"/>
            <w:vAlign w:val="center"/>
          </w:tcPr>
          <w:p>
            <w:pPr>
              <w:pStyle w:val="12"/>
            </w:pPr>
            <w:r>
              <w:t>158.00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153.00</w:t>
            </w:r>
          </w:p>
        </w:tc>
        <w:tc>
          <w:tcPr>
            <w:tcW w:w="1134" w:type="dxa"/>
            <w:vAlign w:val="center"/>
          </w:tcPr>
          <w:p>
            <w:pPr>
              <w:pStyle w:val="12"/>
            </w:pPr>
            <w:r>
              <w:t>153.00</w:t>
            </w:r>
          </w:p>
        </w:tc>
        <w:tc>
          <w:tcPr>
            <w:tcW w:w="1134" w:type="dxa"/>
            <w:vAlign w:val="center"/>
          </w:tcPr>
          <w:p>
            <w:pPr>
              <w:pStyle w:val="12"/>
            </w:pPr>
            <w:r>
              <w:t>153.00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2.70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17</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2.70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1147.90</w:t>
            </w:r>
          </w:p>
        </w:tc>
        <w:tc>
          <w:tcPr>
            <w:tcW w:w="1361" w:type="dxa"/>
            <w:vAlign w:val="center"/>
          </w:tcPr>
          <w:p>
            <w:pPr>
              <w:pStyle w:val="16"/>
            </w:pPr>
            <w:r>
              <w:t>1145.20</w:t>
            </w:r>
          </w:p>
        </w:tc>
        <w:tc>
          <w:tcPr>
            <w:tcW w:w="1361" w:type="dxa"/>
            <w:vAlign w:val="center"/>
          </w:tcPr>
          <w:p>
            <w:pPr>
              <w:pStyle w:val="16"/>
            </w:pPr>
            <w:r>
              <w:t>2.70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928.20</w:t>
            </w:r>
          </w:p>
        </w:tc>
        <w:tc>
          <w:tcPr>
            <w:tcW w:w="1361" w:type="dxa"/>
            <w:vAlign w:val="center"/>
          </w:tcPr>
          <w:p>
            <w:pPr>
              <w:pStyle w:val="12"/>
            </w:pPr>
            <w:r>
              <w:t>928.20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928.20</w:t>
            </w:r>
          </w:p>
        </w:tc>
        <w:tc>
          <w:tcPr>
            <w:tcW w:w="1361" w:type="dxa"/>
            <w:vAlign w:val="center"/>
          </w:tcPr>
          <w:p>
            <w:pPr>
              <w:pStyle w:val="12"/>
            </w:pPr>
            <w:r>
              <w:t>928.20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928.20</w:t>
            </w:r>
          </w:p>
        </w:tc>
        <w:tc>
          <w:tcPr>
            <w:tcW w:w="1361" w:type="dxa"/>
            <w:vAlign w:val="center"/>
          </w:tcPr>
          <w:p>
            <w:pPr>
              <w:pStyle w:val="12"/>
            </w:pPr>
            <w:r>
              <w:t>928.20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158.00</w:t>
            </w:r>
          </w:p>
        </w:tc>
        <w:tc>
          <w:tcPr>
            <w:tcW w:w="1361" w:type="dxa"/>
            <w:vAlign w:val="center"/>
          </w:tcPr>
          <w:p>
            <w:pPr>
              <w:pStyle w:val="12"/>
            </w:pPr>
            <w:r>
              <w:t>158.00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153.00</w:t>
            </w:r>
          </w:p>
        </w:tc>
        <w:tc>
          <w:tcPr>
            <w:tcW w:w="1361" w:type="dxa"/>
            <w:vAlign w:val="center"/>
          </w:tcPr>
          <w:p>
            <w:pPr>
              <w:pStyle w:val="12"/>
            </w:pPr>
            <w:r>
              <w:t>153.00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130.00</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3.00</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59.00</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59.00</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59.00</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r>
              <w:t>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1145.20</w:t>
            </w:r>
          </w:p>
        </w:tc>
        <w:tc>
          <w:tcPr>
            <w:tcW w:w="3402" w:type="dxa"/>
            <w:vAlign w:val="center"/>
          </w:tcPr>
          <w:p>
            <w:pPr>
              <w:pStyle w:val="13"/>
            </w:pPr>
            <w:r>
              <w:t>一、一般公共服务支出</w:t>
            </w:r>
          </w:p>
        </w:tc>
        <w:tc>
          <w:tcPr>
            <w:tcW w:w="1474" w:type="dxa"/>
            <w:vAlign w:val="center"/>
          </w:tcPr>
          <w:p>
            <w:pPr>
              <w:pStyle w:val="12"/>
            </w:pPr>
            <w:r>
              <w:t>928.20</w:t>
            </w:r>
          </w:p>
        </w:tc>
        <w:tc>
          <w:tcPr>
            <w:tcW w:w="1474" w:type="dxa"/>
            <w:vAlign w:val="center"/>
          </w:tcPr>
          <w:p>
            <w:pPr>
              <w:pStyle w:val="12"/>
            </w:pPr>
            <w:r>
              <w:t>928.20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158.00</w:t>
            </w:r>
          </w:p>
        </w:tc>
        <w:tc>
          <w:tcPr>
            <w:tcW w:w="1474" w:type="dxa"/>
            <w:vAlign w:val="center"/>
          </w:tcPr>
          <w:p>
            <w:pPr>
              <w:pStyle w:val="12"/>
            </w:pPr>
            <w:r>
              <w:t>158.00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59.00</w:t>
            </w:r>
          </w:p>
        </w:tc>
        <w:tc>
          <w:tcPr>
            <w:tcW w:w="1474" w:type="dxa"/>
            <w:vAlign w:val="center"/>
          </w:tcPr>
          <w:p>
            <w:pPr>
              <w:pStyle w:val="12"/>
            </w:pPr>
            <w:r>
              <w:t>59.00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2.70</w:t>
            </w:r>
          </w:p>
        </w:tc>
        <w:tc>
          <w:tcPr>
            <w:tcW w:w="1474" w:type="dxa"/>
            <w:vAlign w:val="center"/>
          </w:tcPr>
          <w:p>
            <w:pPr>
              <w:pStyle w:val="12"/>
            </w:pPr>
            <w:r>
              <w:t>2.70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1145.20</w:t>
            </w:r>
          </w:p>
        </w:tc>
        <w:tc>
          <w:tcPr>
            <w:tcW w:w="3402" w:type="dxa"/>
            <w:vAlign w:val="center"/>
          </w:tcPr>
          <w:p>
            <w:pPr>
              <w:pStyle w:val="15"/>
            </w:pPr>
            <w:r>
              <w:t>本年支出合计</w:t>
            </w:r>
          </w:p>
        </w:tc>
        <w:tc>
          <w:tcPr>
            <w:tcW w:w="1474" w:type="dxa"/>
            <w:vAlign w:val="center"/>
          </w:tcPr>
          <w:p>
            <w:pPr>
              <w:pStyle w:val="16"/>
            </w:pPr>
            <w:r>
              <w:t>1147.90</w:t>
            </w:r>
          </w:p>
        </w:tc>
        <w:tc>
          <w:tcPr>
            <w:tcW w:w="1474" w:type="dxa"/>
            <w:vAlign w:val="center"/>
          </w:tcPr>
          <w:p>
            <w:pPr>
              <w:pStyle w:val="16"/>
            </w:pPr>
            <w:r>
              <w:t>1147.90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2.70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2.70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1147.90</w:t>
            </w:r>
          </w:p>
        </w:tc>
        <w:tc>
          <w:tcPr>
            <w:tcW w:w="3402" w:type="dxa"/>
            <w:vAlign w:val="center"/>
          </w:tcPr>
          <w:p>
            <w:pPr>
              <w:pStyle w:val="15"/>
            </w:pPr>
            <w:r>
              <w:t>支出总计</w:t>
            </w:r>
          </w:p>
        </w:tc>
        <w:tc>
          <w:tcPr>
            <w:tcW w:w="1474" w:type="dxa"/>
            <w:vAlign w:val="center"/>
          </w:tcPr>
          <w:p>
            <w:pPr>
              <w:pStyle w:val="16"/>
            </w:pPr>
            <w:r>
              <w:t>1147.90</w:t>
            </w:r>
          </w:p>
        </w:tc>
        <w:tc>
          <w:tcPr>
            <w:tcW w:w="1474" w:type="dxa"/>
            <w:vAlign w:val="center"/>
          </w:tcPr>
          <w:p>
            <w:pPr>
              <w:pStyle w:val="16"/>
            </w:pPr>
            <w:r>
              <w:t>1147.90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1147.90</w:t>
            </w:r>
          </w:p>
        </w:tc>
        <w:tc>
          <w:tcPr>
            <w:tcW w:w="2551" w:type="dxa"/>
            <w:vAlign w:val="center"/>
          </w:tcPr>
          <w:p>
            <w:pPr>
              <w:pStyle w:val="16"/>
            </w:pPr>
            <w:r>
              <w:t>1145.20</w:t>
            </w:r>
          </w:p>
        </w:tc>
        <w:tc>
          <w:tcPr>
            <w:tcW w:w="2551" w:type="dxa"/>
            <w:vAlign w:val="center"/>
          </w:tcPr>
          <w:p>
            <w:pPr>
              <w:pStyle w:val="16"/>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928.20</w:t>
            </w:r>
          </w:p>
        </w:tc>
        <w:tc>
          <w:tcPr>
            <w:tcW w:w="2551" w:type="dxa"/>
            <w:vAlign w:val="center"/>
          </w:tcPr>
          <w:p>
            <w:pPr>
              <w:pStyle w:val="12"/>
            </w:pPr>
            <w:r>
              <w:t>928.20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928.20</w:t>
            </w:r>
          </w:p>
        </w:tc>
        <w:tc>
          <w:tcPr>
            <w:tcW w:w="2551" w:type="dxa"/>
            <w:vAlign w:val="center"/>
          </w:tcPr>
          <w:p>
            <w:pPr>
              <w:pStyle w:val="12"/>
            </w:pPr>
            <w:r>
              <w:t>928.20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928.20</w:t>
            </w:r>
          </w:p>
        </w:tc>
        <w:tc>
          <w:tcPr>
            <w:tcW w:w="2551" w:type="dxa"/>
            <w:vAlign w:val="center"/>
          </w:tcPr>
          <w:p>
            <w:pPr>
              <w:pStyle w:val="12"/>
            </w:pPr>
            <w:r>
              <w:t>928.20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158.00</w:t>
            </w:r>
          </w:p>
        </w:tc>
        <w:tc>
          <w:tcPr>
            <w:tcW w:w="2551" w:type="dxa"/>
            <w:vAlign w:val="center"/>
          </w:tcPr>
          <w:p>
            <w:pPr>
              <w:pStyle w:val="12"/>
            </w:pPr>
            <w:r>
              <w:t>158.00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153.00</w:t>
            </w:r>
          </w:p>
        </w:tc>
        <w:tc>
          <w:tcPr>
            <w:tcW w:w="2551" w:type="dxa"/>
            <w:vAlign w:val="center"/>
          </w:tcPr>
          <w:p>
            <w:pPr>
              <w:pStyle w:val="12"/>
            </w:pPr>
            <w:r>
              <w:t>153.00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1145.20</w:t>
            </w:r>
          </w:p>
        </w:tc>
        <w:tc>
          <w:tcPr>
            <w:tcW w:w="2551" w:type="dxa"/>
            <w:vAlign w:val="center"/>
          </w:tcPr>
          <w:p>
            <w:pPr>
              <w:pStyle w:val="16"/>
            </w:pPr>
            <w:r>
              <w:t>967.20</w:t>
            </w:r>
          </w:p>
        </w:tc>
        <w:tc>
          <w:tcPr>
            <w:tcW w:w="2551" w:type="dxa"/>
            <w:vAlign w:val="center"/>
          </w:tcPr>
          <w:p>
            <w:pPr>
              <w:pStyle w:val="16"/>
            </w:pPr>
            <w:r>
              <w:t>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931.20</w:t>
            </w:r>
          </w:p>
        </w:tc>
        <w:tc>
          <w:tcPr>
            <w:tcW w:w="2551" w:type="dxa"/>
            <w:vAlign w:val="center"/>
          </w:tcPr>
          <w:p>
            <w:pPr>
              <w:pStyle w:val="12"/>
            </w:pPr>
            <w:r>
              <w:t>931.20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329.00</w:t>
            </w:r>
          </w:p>
        </w:tc>
        <w:tc>
          <w:tcPr>
            <w:tcW w:w="2551" w:type="dxa"/>
            <w:vAlign w:val="center"/>
          </w:tcPr>
          <w:p>
            <w:pPr>
              <w:pStyle w:val="12"/>
            </w:pPr>
            <w:r>
              <w:t>329.00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145.30</w:t>
            </w:r>
          </w:p>
        </w:tc>
        <w:tc>
          <w:tcPr>
            <w:tcW w:w="2551" w:type="dxa"/>
            <w:vAlign w:val="center"/>
          </w:tcPr>
          <w:p>
            <w:pPr>
              <w:pStyle w:val="12"/>
            </w:pPr>
            <w:r>
              <w:t>145.30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68.40</w:t>
            </w:r>
          </w:p>
        </w:tc>
        <w:tc>
          <w:tcPr>
            <w:tcW w:w="2551" w:type="dxa"/>
            <w:vAlign w:val="center"/>
          </w:tcPr>
          <w:p>
            <w:pPr>
              <w:pStyle w:val="12"/>
            </w:pPr>
            <w:r>
              <w:t>68.40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111.50</w:t>
            </w:r>
          </w:p>
        </w:tc>
        <w:tc>
          <w:tcPr>
            <w:tcW w:w="2551" w:type="dxa"/>
            <w:vAlign w:val="center"/>
          </w:tcPr>
          <w:p>
            <w:pPr>
              <w:pStyle w:val="12"/>
            </w:pPr>
            <w:r>
              <w:t>111.50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178.00</w:t>
            </w:r>
          </w:p>
        </w:tc>
        <w:tc>
          <w:tcPr>
            <w:tcW w:w="2551" w:type="dxa"/>
            <w:vAlign w:val="center"/>
          </w:tcPr>
          <w:p>
            <w:pPr>
              <w:pStyle w:val="12"/>
            </w:pPr>
          </w:p>
        </w:tc>
        <w:tc>
          <w:tcPr>
            <w:tcW w:w="2551" w:type="dxa"/>
            <w:vAlign w:val="center"/>
          </w:tcPr>
          <w:p>
            <w:pPr>
              <w:pStyle w:val="12"/>
            </w:pPr>
            <w:r>
              <w:t>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无极县东侯坊镇人民政府2025年部门预算信息公开情况说明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无极县东侯坊镇人民政府2025年部门预算信息公开情况说明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按照《中华人民共和国预算法》、《地方预决算公开操作规程》和《关于进一步推进预算公开工作的实施意见》规定，现将无极县东侯坊镇人民政府2025年部门预算公开如下：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w:t>
      </w:r>
    </w:p>
    <w:p>
      <w:pPr>
        <w:pStyle w:val="18"/>
      </w:pPr>
      <w:r>
        <w:t>根据《东侯坊镇职能配置、内设机构和人员编制规定》， 东侯坊镇的主要职责是：</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w:t>
      </w:r>
      <w:r>
        <w:rPr>
          <w:rFonts w:hint="eastAsia"/>
          <w:lang w:eastAsia="zh-CN"/>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无极县东侯坊镇人民政府本级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按照预算管理有关规定，目前部门预算的编制实行综合预算管理，即全部收入和支出都反映在预算中。无极县东侯坊镇人民政府机关及所属事业单位的收支包含在部门预算中。</w:t>
      </w:r>
    </w:p>
    <w:p>
      <w:pPr>
        <w:pStyle w:val="19"/>
      </w:pPr>
      <w:r>
        <w:t>1、收入说明</w:t>
      </w:r>
    </w:p>
    <w:p>
      <w:pPr>
        <w:pStyle w:val="19"/>
      </w:pPr>
      <w:r>
        <w:t>反映本部门当年全部收入。202</w:t>
      </w:r>
      <w:r>
        <w:rPr>
          <w:rFonts w:hint="eastAsia"/>
          <w:lang w:val="en-US" w:eastAsia="zh-CN"/>
        </w:rPr>
        <w:t>5</w:t>
      </w:r>
      <w:r>
        <w:t>年预算收入1</w:t>
      </w:r>
      <w:r>
        <w:rPr>
          <w:rFonts w:hint="eastAsia"/>
          <w:lang w:val="en-US" w:eastAsia="zh-CN"/>
        </w:rPr>
        <w:t>147.9</w:t>
      </w:r>
      <w:r>
        <w:t>万元，其中：一般公共预算收入1</w:t>
      </w:r>
      <w:r>
        <w:rPr>
          <w:rFonts w:hint="eastAsia"/>
          <w:lang w:val="en-US" w:eastAsia="zh-CN"/>
        </w:rPr>
        <w:t>145.2</w:t>
      </w:r>
      <w:r>
        <w:t>万元，基金预算收入0.00万元，国有资本经营预算收入0.00万元，财政专户核拨收入0.00万元，单位资金收入0.00万元，上年结转结余</w:t>
      </w:r>
      <w:r>
        <w:rPr>
          <w:rFonts w:hint="eastAsia"/>
          <w:lang w:val="en-US" w:eastAsia="zh-CN"/>
        </w:rPr>
        <w:t>2.7</w:t>
      </w:r>
      <w:r>
        <w:t>万元。</w:t>
      </w:r>
    </w:p>
    <w:p>
      <w:pPr>
        <w:pStyle w:val="19"/>
      </w:pPr>
      <w:r>
        <w:t>2、支出说明</w:t>
      </w:r>
    </w:p>
    <w:p>
      <w:pPr>
        <w:pStyle w:val="19"/>
      </w:pPr>
      <w:r>
        <w:t>收支预算总表支出栏、基本支出表、项目支出表按经济分类和支出功能分类科目编制，反映无极县东侯坊镇人民政府年度部门预算中支出预算的总体情况。202</w:t>
      </w:r>
      <w:r>
        <w:rPr>
          <w:rFonts w:hint="eastAsia"/>
          <w:lang w:val="en-US" w:eastAsia="zh-CN"/>
        </w:rPr>
        <w:t>5</w:t>
      </w:r>
      <w:r>
        <w:t>年支出预算1</w:t>
      </w:r>
      <w:r>
        <w:rPr>
          <w:rFonts w:hint="eastAsia"/>
          <w:lang w:val="en-US" w:eastAsia="zh-CN"/>
        </w:rPr>
        <w:t>147.9</w:t>
      </w:r>
      <w:r>
        <w:t>万元，其中基本支出1</w:t>
      </w:r>
      <w:r>
        <w:rPr>
          <w:rFonts w:hint="eastAsia"/>
          <w:lang w:val="en-US" w:eastAsia="zh-CN"/>
        </w:rPr>
        <w:t>145.2</w:t>
      </w:r>
      <w:r>
        <w:t>万元，包括人员经费967.20万元和日常公用经费</w:t>
      </w:r>
      <w:r>
        <w:rPr>
          <w:rFonts w:hint="eastAsia"/>
          <w:lang w:val="en-US" w:eastAsia="zh-CN"/>
        </w:rPr>
        <w:t>178</w:t>
      </w:r>
      <w:r>
        <w:t>.00万元；项目支出</w:t>
      </w:r>
      <w:r>
        <w:rPr>
          <w:rFonts w:hint="eastAsia"/>
          <w:lang w:val="en-US" w:eastAsia="zh-CN"/>
        </w:rPr>
        <w:t>2.7</w:t>
      </w:r>
      <w:r>
        <w:t>万元，主要为2024年东丰村道路硬化及提升整治工程预算资金</w:t>
      </w:r>
      <w:r>
        <w:rPr>
          <w:rFonts w:hint="eastAsia"/>
          <w:lang w:val="en-US" w:eastAsia="zh-CN"/>
        </w:rPr>
        <w:t>2.7</w:t>
      </w:r>
      <w:r>
        <w:t>万元。</w:t>
      </w:r>
    </w:p>
    <w:p>
      <w:pPr>
        <w:pStyle w:val="19"/>
      </w:pPr>
      <w:r>
        <w:t>3、比上年增减情况</w:t>
      </w:r>
    </w:p>
    <w:p>
      <w:pPr>
        <w:pStyle w:val="19"/>
      </w:pPr>
      <w:r>
        <w:t>202</w:t>
      </w:r>
      <w:r>
        <w:rPr>
          <w:rFonts w:hint="eastAsia"/>
          <w:lang w:val="en-US" w:eastAsia="zh-CN"/>
        </w:rPr>
        <w:t>5</w:t>
      </w:r>
      <w:r>
        <w:t>年预算收支安排1</w:t>
      </w:r>
      <w:r>
        <w:rPr>
          <w:rFonts w:hint="eastAsia"/>
          <w:lang w:val="en-US" w:eastAsia="zh-CN"/>
        </w:rPr>
        <w:t>147.9</w:t>
      </w:r>
      <w:r>
        <w:t>万元，较2023年预算减少</w:t>
      </w:r>
      <w:r>
        <w:rPr>
          <w:rFonts w:hint="eastAsia"/>
          <w:lang w:val="en-US" w:eastAsia="zh-CN"/>
        </w:rPr>
        <w:t>409.46</w:t>
      </w:r>
      <w:r>
        <w:t>万元，其中：基本支出减少</w:t>
      </w:r>
      <w:r>
        <w:rPr>
          <w:rFonts w:hint="eastAsia"/>
          <w:lang w:val="en-US" w:eastAsia="zh-CN"/>
        </w:rPr>
        <w:t>322.16</w:t>
      </w:r>
      <w:r>
        <w:t>万元，主要为缩减开支，精准预算项目支出减少</w:t>
      </w:r>
      <w:r>
        <w:rPr>
          <w:rFonts w:hint="eastAsia"/>
          <w:lang w:val="en-US" w:eastAsia="zh-CN"/>
        </w:rPr>
        <w:t>87.3</w:t>
      </w:r>
      <w:r>
        <w:t>0万元，主要为预算项目变更</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5</w:t>
      </w:r>
      <w:r>
        <w:t>年，我部门机关运行经费共计安排</w:t>
      </w:r>
      <w:r>
        <w:rPr>
          <w:rFonts w:hint="eastAsia"/>
          <w:lang w:val="en-US" w:eastAsia="zh-CN"/>
        </w:rPr>
        <w:t>178</w:t>
      </w:r>
      <w:r>
        <w:t>万元，主要用于保证机关正常运转的办公费及印刷费、邮电费、差旅费、水电费、取暖费、公务车运行维护费等支出。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5</w:t>
      </w:r>
      <w:r>
        <w:t>年，我部门财政拨款“三公”经费预算安排</w:t>
      </w:r>
      <w:r>
        <w:rPr>
          <w:rFonts w:hint="eastAsia"/>
          <w:lang w:val="en-US" w:eastAsia="zh-CN"/>
        </w:rPr>
        <w:t>6</w:t>
      </w:r>
      <w:r>
        <w:t>.00万元，其中因公出国（境）费0.00万元；公务用车购置及运维费</w:t>
      </w:r>
      <w:r>
        <w:rPr>
          <w:rFonts w:hint="eastAsia"/>
          <w:lang w:val="en-US" w:eastAsia="zh-CN"/>
        </w:rPr>
        <w:t>6</w:t>
      </w:r>
      <w:r>
        <w:t>.00万元（其中：公务用车购置费为0.00万元，公务用车运维费</w:t>
      </w:r>
      <w:r>
        <w:rPr>
          <w:rFonts w:hint="eastAsia"/>
          <w:lang w:val="en-US" w:eastAsia="zh-CN"/>
        </w:rPr>
        <w:t>6</w:t>
      </w:r>
      <w:r>
        <w:t>.00万元)。与202</w:t>
      </w:r>
      <w:r>
        <w:rPr>
          <w:rFonts w:hint="eastAsia"/>
          <w:lang w:val="en-US" w:eastAsia="zh-CN"/>
        </w:rPr>
        <w:t>4</w:t>
      </w:r>
      <w:r>
        <w:t>年相比增加</w:t>
      </w:r>
      <w:r>
        <w:rPr>
          <w:rFonts w:hint="eastAsia"/>
          <w:lang w:val="en-US" w:eastAsia="zh-CN"/>
        </w:rPr>
        <w:t>3</w:t>
      </w:r>
      <w:r>
        <w:t>.00万元，增减变化的主要原因是严格按照公务用车相关制度执行。</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2025年部门年度发展规划目标</w:t>
      </w:r>
    </w:p>
    <w:p>
      <w:pPr>
        <w:pStyle w:val="22"/>
      </w:pPr>
      <w:r>
        <w:t>认真落实国家的方针、政策，稳步推进作风建设，加强对权利的监督和制约。严格依法行政，充分发挥对社会事务、综合事务与经济事务的管理职能，加强对本镇全体民众的政策引导，制定本镇的发展规划，为全镇人民提供公共服务。主动维护社会稳定与安全，积极构建和谐社会。按照无极县委、县政府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东侯坊镇的社会安全与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2025年部门职责分类绩效目标情况说明</w:t>
      </w:r>
    </w:p>
    <w:p>
      <w:pPr>
        <w:pStyle w:val="23"/>
      </w:pPr>
      <w:r>
        <w:t>（一）开展党风党纪教育，加强党内监督。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3"/>
      </w:pPr>
      <w:r>
        <w:t>绩效指标：上级城乡环境综合治理机关和群众满意度95%以上；</w:t>
      </w:r>
    </w:p>
    <w:p>
      <w:pPr>
        <w:pStyle w:val="23"/>
      </w:pPr>
      <w:r>
        <w:t>（九）对食品制作流通各环节进行监管，及时发现和排除食品安全问题，确保大型活动期间的餐饮安全。</w:t>
      </w:r>
    </w:p>
    <w:p>
      <w:pPr>
        <w:pStyle w:val="23"/>
      </w:pPr>
      <w:r>
        <w:t>绩效目标：通过对食品各个环节的强力监管，及时发现食品监管中存在的问题，重点突出食品安全建设以及做好重大活动和暑期食品安全保障.</w:t>
      </w:r>
    </w:p>
    <w:p>
      <w:pPr>
        <w:pStyle w:val="23"/>
      </w:pPr>
      <w:r>
        <w:t>绩效指标：不定时进行执法检查，食品安全事故发生率≤5%</w:t>
      </w:r>
    </w:p>
    <w:p>
      <w:pPr>
        <w:pStyle w:val="23"/>
      </w:pPr>
      <w:r>
        <w:t>（十）按照可持续发展和建设生态农业的要求，保护农业资源，改善和保护农村环境。</w:t>
      </w:r>
    </w:p>
    <w:p>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3"/>
      </w:pPr>
      <w:r>
        <w:t>绩效指标：持续清理垃圾、治理污水、推进亮化工程，向社会主义新农村进一步迈进。</w:t>
      </w:r>
    </w:p>
    <w:p>
      <w:pPr>
        <w:pStyle w:val="23"/>
      </w:pPr>
      <w:r>
        <w:t>（十一）严格执行财政法与财经制度，管理乡镇财政收入和支出，编制预算，合理配置财政资源。</w:t>
      </w:r>
    </w:p>
    <w:p>
      <w:pPr>
        <w:pStyle w:val="23"/>
      </w:pPr>
      <w:r>
        <w:t>绩效目标：贯彻国家税收政策，负责制定财政和预算收入计划，管理和监督各项财政收入；管理财政票据；研究制定完善的预算政策体系，提高预算管理的科学化水平。</w:t>
      </w:r>
    </w:p>
    <w:p>
      <w:pPr>
        <w:pStyle w:val="23"/>
      </w:pPr>
      <w:r>
        <w:t>绩效指标：按时、按量、按质保证各项经费的发放，保障乡镇各项工作的正常运转。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（一）严把财务关</w:t>
      </w:r>
    </w:p>
    <w:p>
      <w:pPr>
        <w:pStyle w:val="24"/>
      </w:pPr>
      <w:r>
        <w:t>完善制度建设。加强乡镇财政预算管理，提高预算编制的完整性、科学性和统一性。细化预算编制，规范预算执行，健全预算执行机制，强化预算约束，切实增强预算的执行力和约束力，加大”村财镇管”、乡镇和村级债务管理，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pPr>
        <w:pStyle w:val="24"/>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pPr>
      <w:r>
        <w:t>（二）加大招商引资力度，推进新型工业化。</w:t>
      </w:r>
    </w:p>
    <w:p>
      <w:pPr>
        <w:pStyle w:val="24"/>
      </w:pPr>
      <w:r>
        <w:t>实施“工业立乡”战略，继续优化投资环境，始终不渝地把发展工业作为今后我乡经济工作的重中之重，把扩大招商引资和发展民营经济作为经济工作的突破口，实现工业经济的跨越式发展。</w:t>
      </w:r>
    </w:p>
    <w:p>
      <w:pPr>
        <w:pStyle w:val="24"/>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pPr>
        <w:pStyle w:val="24"/>
      </w:pPr>
      <w: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pStyle w:val="24"/>
      </w:pPr>
      <w:r>
        <w:t>（三）全力维护社会稳定，推进和谐社会建设。</w:t>
      </w:r>
    </w:p>
    <w:p>
      <w:pPr>
        <w:pStyle w:val="24"/>
      </w:pPr>
      <w:r>
        <w:t>全镇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乡村”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乡范围内的生产企业进行安全生产检查，确保不出安全事故，实现安全生产与经济社会同步协调发展。</w:t>
      </w:r>
    </w:p>
    <w:p>
      <w:pPr>
        <w:pStyle w:val="24"/>
      </w:pPr>
      <w:r>
        <w:t>（四）认真解决“三农”问题，扎实推进新农村建设。</w:t>
      </w:r>
    </w:p>
    <w:p>
      <w:pPr>
        <w:pStyle w:val="24"/>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w:t>
      </w:r>
    </w:p>
    <w:p>
      <w:pPr>
        <w:pStyle w:val="24"/>
      </w:pPr>
      <w: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w:t>
      </w:r>
    </w:p>
    <w:p>
      <w:pPr>
        <w:pStyle w:val="24"/>
      </w:pPr>
      <w: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pStyle w:val="24"/>
      </w:pPr>
      <w:r>
        <w:t xml:space="preserve">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        </w:t>
      </w:r>
    </w:p>
    <w:p>
      <w:pPr>
        <w:pStyle w:val="24"/>
      </w:pPr>
      <w:r>
        <w:t>（五）加强党委、政府自身建设，提高党组织的战斗力和政府的行政管理能力。</w:t>
      </w:r>
    </w:p>
    <w:p>
      <w:pPr>
        <w:pStyle w:val="24"/>
      </w:pPr>
      <w:r>
        <w:t>1、要加强领导班子和干部队伍建设，形成坚强领导核心。首先要提高素质，改进作风。要通过抓学习培训，抓制度建设，抓作风建设，抓民主集中制执行等提高班子素质的有效措施，努力把乡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w:t>
      </w:r>
      <w:r>
        <w:rPr>
          <w:rFonts w:hint="eastAsia"/>
          <w:lang w:eastAsia="zh-CN"/>
        </w:rPr>
        <w:t>反腐倡廉</w:t>
      </w:r>
      <w:r>
        <w:t>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pStyle w:val="24"/>
      </w:pPr>
      <w:r>
        <w:t>2、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w:t>
      </w:r>
      <w:r>
        <w:rPr>
          <w:rFonts w:hint="eastAsia"/>
          <w:lang w:eastAsia="zh-CN"/>
        </w:rPr>
        <w:t>和谐</w:t>
      </w:r>
      <w:r>
        <w:t>会，实现“生产发展、生活富裕”的目标。</w:t>
      </w:r>
    </w:p>
    <w:p>
      <w:pPr>
        <w:pStyle w:val="24"/>
        <w:sectPr>
          <w:pgSz w:w="16840" w:h="11900" w:orient="landscape"/>
          <w:pgMar w:top="1361" w:right="1020" w:bottom="1361" w:left="1020" w:header="720" w:footer="720" w:gutter="0"/>
          <w:cols w:space="720" w:num="1"/>
        </w:sectPr>
      </w:pPr>
      <w:r>
        <w:t>3、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镇干部聚精会神搞建设，一心一意谋发展，不断开创工作新局面。</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71" w:firstLineChars="366"/>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1、2024年东丰村道路硬化及提升整治工程绩效目标表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13013024P00002810001C</w:t>
            </w:r>
          </w:p>
        </w:tc>
        <w:tc>
          <w:tcPr>
            <w:tcW w:w="2835" w:type="dxa"/>
            <w:vAlign w:val="center"/>
          </w:tcPr>
          <w:p>
            <w:pPr>
              <w:pStyle w:val="11"/>
            </w:pPr>
            <w:r>
              <w:t>项目名称</w:t>
            </w:r>
          </w:p>
        </w:tc>
        <w:tc>
          <w:tcPr>
            <w:tcW w:w="6095" w:type="dxa"/>
            <w:gridSpan w:val="3"/>
            <w:vAlign w:val="center"/>
          </w:tcPr>
          <w:p>
            <w:pPr>
              <w:pStyle w:val="13"/>
            </w:pPr>
            <w:r>
              <w:t>2024年东丰村道路硬化及提升整治工程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东丰村道路硬化及提升工程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20%</w:t>
            </w:r>
          </w:p>
        </w:tc>
        <w:tc>
          <w:tcPr>
            <w:tcW w:w="2835" w:type="dxa"/>
            <w:vAlign w:val="center"/>
          </w:tcPr>
          <w:p>
            <w:pPr>
              <w:pStyle w:val="14"/>
            </w:pPr>
            <w:r>
              <w:rPr>
                <w:rFonts w:hint="eastAsia"/>
                <w:lang w:val="en-US" w:eastAsia="zh-CN"/>
              </w:rPr>
              <w:t>50%</w:t>
            </w:r>
            <w:r>
              <w:t xml:space="preserve"> </w:t>
            </w:r>
          </w:p>
        </w:tc>
        <w:tc>
          <w:tcPr>
            <w:tcW w:w="2551" w:type="dxa"/>
            <w:vAlign w:val="center"/>
          </w:tcPr>
          <w:p>
            <w:pPr>
              <w:pStyle w:val="14"/>
            </w:pPr>
            <w:r>
              <w:rPr>
                <w:rFonts w:hint="eastAsia"/>
                <w:lang w:val="en-US" w:eastAsia="zh-CN"/>
              </w:rPr>
              <w:t>75%</w:t>
            </w: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工程完工率</w:t>
            </w:r>
          </w:p>
        </w:tc>
        <w:tc>
          <w:tcPr>
            <w:tcW w:w="5386" w:type="dxa"/>
            <w:vAlign w:val="center"/>
          </w:tcPr>
          <w:p>
            <w:pPr>
              <w:pStyle w:val="13"/>
            </w:pPr>
            <w:r>
              <w:t>工程施工进度工作量占工程完工总量的比率</w:t>
            </w:r>
          </w:p>
        </w:tc>
        <w:tc>
          <w:tcPr>
            <w:tcW w:w="2268" w:type="dxa"/>
            <w:vAlign w:val="center"/>
          </w:tcPr>
          <w:p>
            <w:pPr>
              <w:pStyle w:val="13"/>
            </w:pPr>
            <w:r>
              <w:t>≥100%</w:t>
            </w:r>
          </w:p>
        </w:tc>
        <w:tc>
          <w:tcPr>
            <w:tcW w:w="1276" w:type="dxa"/>
            <w:vAlign w:val="center"/>
          </w:tcPr>
          <w:p>
            <w:pPr>
              <w:pStyle w:val="13"/>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5386" w:type="dxa"/>
            <w:vAlign w:val="center"/>
          </w:tcPr>
          <w:p>
            <w:pPr>
              <w:pStyle w:val="13"/>
            </w:pPr>
            <w:r>
              <w:t>超概算金额占概算的比例</w:t>
            </w:r>
          </w:p>
        </w:tc>
        <w:tc>
          <w:tcPr>
            <w:tcW w:w="2268" w:type="dxa"/>
            <w:vAlign w:val="center"/>
          </w:tcPr>
          <w:p>
            <w:pPr>
              <w:pStyle w:val="13"/>
            </w:pPr>
            <w:r>
              <w:t>≤5%</w:t>
            </w:r>
          </w:p>
        </w:tc>
        <w:tc>
          <w:tcPr>
            <w:tcW w:w="1276" w:type="dxa"/>
            <w:vAlign w:val="center"/>
          </w:tcPr>
          <w:p>
            <w:pPr>
              <w:pStyle w:val="13"/>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≥1000人</w:t>
            </w:r>
          </w:p>
        </w:tc>
        <w:tc>
          <w:tcPr>
            <w:tcW w:w="1276" w:type="dxa"/>
            <w:vAlign w:val="center"/>
          </w:tcPr>
          <w:p>
            <w:pPr>
              <w:pStyle w:val="13"/>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≥10年</w:t>
            </w:r>
          </w:p>
        </w:tc>
        <w:tc>
          <w:tcPr>
            <w:tcW w:w="1276" w:type="dxa"/>
            <w:vAlign w:val="center"/>
          </w:tcPr>
          <w:p>
            <w:pPr>
              <w:pStyle w:val="13"/>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基础设施建设投入运营后给直接受益村村民人均年度经济收入情况</w:t>
            </w:r>
          </w:p>
        </w:tc>
        <w:tc>
          <w:tcPr>
            <w:tcW w:w="5386" w:type="dxa"/>
            <w:vAlign w:val="center"/>
          </w:tcPr>
          <w:p>
            <w:pPr>
              <w:pStyle w:val="13"/>
            </w:pPr>
            <w:r>
              <w:t>基础设施建设投入运营后给直接受益村村民人均年度经济收入情况</w:t>
            </w:r>
          </w:p>
        </w:tc>
        <w:tc>
          <w:tcPr>
            <w:tcW w:w="2268" w:type="dxa"/>
            <w:vAlign w:val="center"/>
          </w:tcPr>
          <w:p>
            <w:pPr>
              <w:pStyle w:val="13"/>
            </w:pPr>
            <w:r>
              <w:t>基础设施建设投入运营后给直接受益村村民人均年度经济收入情况</w:t>
            </w:r>
          </w:p>
        </w:tc>
        <w:tc>
          <w:tcPr>
            <w:tcW w:w="1276" w:type="dxa"/>
            <w:vAlign w:val="center"/>
          </w:tcPr>
          <w:p>
            <w:pPr>
              <w:pStyle w:val="13"/>
            </w:pPr>
            <w:r>
              <w:t>基础设施建设投入运营后给直接受益村村民人均年度经济收入情况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居民出行平均缩短时间</w:t>
            </w:r>
          </w:p>
        </w:tc>
        <w:tc>
          <w:tcPr>
            <w:tcW w:w="1276" w:type="dxa"/>
            <w:vAlign w:val="center"/>
          </w:tcPr>
          <w:p>
            <w:pPr>
              <w:pStyle w:val="13"/>
            </w:pPr>
            <w:r>
              <w:t>居民出行平均缩短时间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≥98%</w:t>
            </w:r>
          </w:p>
        </w:tc>
        <w:tc>
          <w:tcPr>
            <w:tcW w:w="1276" w:type="dxa"/>
            <w:vAlign w:val="center"/>
          </w:tcPr>
          <w:p>
            <w:pPr>
              <w:pStyle w:val="13"/>
            </w:pPr>
            <w:r>
              <w:t>实际</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937无极县东侯坊镇人民政府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2.70</w:t>
            </w:r>
          </w:p>
        </w:tc>
        <w:tc>
          <w:tcPr>
            <w:tcW w:w="964" w:type="dxa"/>
            <w:vAlign w:val="center"/>
          </w:tcPr>
          <w:p>
            <w:pPr>
              <w:pStyle w:val="16"/>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无极县东侯坊镇人民政府本级小计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2.70</w:t>
            </w:r>
          </w:p>
        </w:tc>
        <w:tc>
          <w:tcPr>
            <w:tcW w:w="964" w:type="dxa"/>
            <w:vAlign w:val="center"/>
          </w:tcPr>
          <w:p>
            <w:pPr>
              <w:pStyle w:val="16"/>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2024年东丰村道路硬化及提升整治工程</w:t>
            </w:r>
          </w:p>
        </w:tc>
        <w:tc>
          <w:tcPr>
            <w:tcW w:w="964" w:type="dxa"/>
            <w:vAlign w:val="center"/>
          </w:tcPr>
          <w:p>
            <w:pPr>
              <w:pStyle w:val="12"/>
            </w:pPr>
            <w:r>
              <w:t>2.70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2.70</w:t>
            </w:r>
          </w:p>
        </w:tc>
        <w:tc>
          <w:tcPr>
            <w:tcW w:w="964" w:type="dxa"/>
            <w:vAlign w:val="center"/>
          </w:tcPr>
          <w:p>
            <w:pPr>
              <w:pStyle w:val="12"/>
            </w:pPr>
            <w:r>
              <w:t>2.70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w:t>
            </w:r>
          </w:p>
        </w:tc>
        <w:tc>
          <w:tcPr>
            <w:tcW w:w="964" w:type="dxa"/>
            <w:vAlign w:val="center"/>
          </w:tcPr>
          <w:p>
            <w:pPr>
              <w:pStyle w:val="12"/>
            </w:pPr>
            <w:r>
              <w:t>2.70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无极县东侯坊镇人民政府（含所属单位）上年末固定资产金额为</w:t>
      </w:r>
      <w:r>
        <w:rPr>
          <w:rFonts w:hint="eastAsia" w:eastAsia="方正仿宋_GBK" w:cs="Times New Roman"/>
          <w:b w:val="0"/>
          <w:color w:val="000000"/>
          <w:sz w:val="28"/>
          <w:lang w:val="en-US" w:eastAsia="zh-CN"/>
        </w:rPr>
        <w:t>156</w:t>
      </w:r>
      <w:r>
        <w:rPr>
          <w:rFonts w:ascii="Times New Roman" w:hAnsi="Times New Roman" w:eastAsia="方正仿宋_GBK" w:cs="Times New Roman"/>
          <w:b w:val="0"/>
          <w:color w:val="000000"/>
          <w:sz w:val="28"/>
        </w:rPr>
        <w:t>.00万元（详见下表）。本年度拟购置固定资产总额为0.00万元。</w:t>
      </w:r>
      <w:bookmarkStart w:id="20" w:name="_GoBack"/>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937无极县东侯坊镇人民政府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4002</w:t>
            </w: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r>
              <w:t>156.00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4000</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128.00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3000</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96.00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A955D5"/>
    <w:rsid w:val="5C597B2E"/>
    <w:rsid w:val="7AB6685E"/>
    <w:rsid w:val="7E6C2F8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2025-02-17T08:56:00Z</dcterms:created>
  <dc:creator>lenovo</dc:creator>
  <cp:lastModifiedBy>浮生</cp:lastModifiedBy>
  <dcterms:modified xsi:type="dcterms:W3CDTF">2025-10-31T08:30:36Z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5777FEBDA56740C29B372A17EBCF41C9</vt:lpwstr>
  </property>
</Properties>
</file>