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一、无极县北苏镇人民政府本级收支预算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r>
        <w:rPr>
          <w:color w:val="FF0000"/>
          <w:sz w:val="24"/>
        </w:rPr>
        <w:t>Evaluation Warning: The document was created with Spire.Doc for JAVA.</w:t>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一、无极县北苏镇人民政府本级收支预算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1270.10</w:t>
            </w:r>
          </w:p>
        </w:tc>
        <w:tc>
          <w:tcPr>
            <w:tcW w:w="4535" w:type="dxa"/>
            <w:vAlign w:val="center"/>
          </w:tcPr>
          <w:p>
            <w:pPr>
              <w:pStyle w:val="12"/>
            </w:pPr>
            <w:r>
              <w:t>一、一般公共服务支出</w:t>
            </w:r>
          </w:p>
        </w:tc>
        <w:tc>
          <w:tcPr>
            <w:tcW w:w="2126" w:type="dxa"/>
            <w:vAlign w:val="center"/>
          </w:tcPr>
          <w:p>
            <w:pPr>
              <w:pStyle w:val="11"/>
            </w:pPr>
            <w:r>
              <w:t>1034.50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1420.10</w:t>
            </w:r>
          </w:p>
        </w:tc>
        <w:tc>
          <w:tcPr>
            <w:tcW w:w="4535" w:type="dxa"/>
            <w:vAlign w:val="center"/>
          </w:tcPr>
          <w:p>
            <w:pPr>
              <w:pStyle w:val="14"/>
            </w:pPr>
            <w:r>
              <w:t>本年支出合计</w:t>
            </w:r>
          </w:p>
        </w:tc>
        <w:tc>
          <w:tcPr>
            <w:tcW w:w="2126" w:type="dxa"/>
            <w:vAlign w:val="center"/>
          </w:tcPr>
          <w:p>
            <w:pPr>
              <w:pStyle w:val="15"/>
            </w:pPr>
            <w:r>
              <w:t>1420.10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1420.10</w:t>
            </w:r>
          </w:p>
        </w:tc>
        <w:tc>
          <w:tcPr>
            <w:tcW w:w="4535" w:type="dxa"/>
            <w:vAlign w:val="center"/>
          </w:tcPr>
          <w:p>
            <w:pPr>
              <w:pStyle w:val="14"/>
            </w:pPr>
            <w:r>
              <w:t>支出总计</w:t>
            </w:r>
          </w:p>
        </w:tc>
        <w:tc>
          <w:tcPr>
            <w:tcW w:w="2126" w:type="dxa"/>
            <w:vAlign w:val="center"/>
          </w:tcPr>
          <w:p>
            <w:pPr>
              <w:pStyle w:val="15"/>
            </w:pPr>
            <w:r>
              <w:t>1420.10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1420.10</w:t>
            </w:r>
          </w:p>
        </w:tc>
        <w:tc>
          <w:tcPr>
            <w:tcW w:w="1134" w:type="dxa"/>
            <w:vAlign w:val="center"/>
          </w:tcPr>
          <w:p>
            <w:pPr>
              <w:pStyle w:val="15"/>
            </w:pPr>
            <w:r>
              <w:t>1420.10</w:t>
            </w:r>
          </w:p>
        </w:tc>
        <w:tc>
          <w:tcPr>
            <w:tcW w:w="1134" w:type="dxa"/>
            <w:vAlign w:val="center"/>
          </w:tcPr>
          <w:p>
            <w:pPr>
              <w:pStyle w:val="15"/>
            </w:pPr>
            <w:r>
              <w:t>1420.10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r>
              <w:t>1034.50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173.60</w:t>
            </w:r>
          </w:p>
        </w:tc>
        <w:tc>
          <w:tcPr>
            <w:tcW w:w="1134" w:type="dxa"/>
            <w:vAlign w:val="center"/>
          </w:tcPr>
          <w:p>
            <w:pPr>
              <w:pStyle w:val="11"/>
            </w:pPr>
            <w:r>
              <w:t>173.60</w:t>
            </w:r>
          </w:p>
        </w:tc>
        <w:tc>
          <w:tcPr>
            <w:tcW w:w="1134" w:type="dxa"/>
            <w:vAlign w:val="center"/>
          </w:tcPr>
          <w:p>
            <w:pPr>
              <w:pStyle w:val="11"/>
            </w:pPr>
            <w:r>
              <w:t>173.60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171.00</w:t>
            </w:r>
          </w:p>
        </w:tc>
        <w:tc>
          <w:tcPr>
            <w:tcW w:w="1134" w:type="dxa"/>
            <w:vAlign w:val="center"/>
          </w:tcPr>
          <w:p>
            <w:pPr>
              <w:pStyle w:val="11"/>
            </w:pPr>
            <w:r>
              <w:t>171.00</w:t>
            </w:r>
          </w:p>
        </w:tc>
        <w:tc>
          <w:tcPr>
            <w:tcW w:w="1134" w:type="dxa"/>
            <w:vAlign w:val="center"/>
          </w:tcPr>
          <w:p>
            <w:pPr>
              <w:pStyle w:val="11"/>
            </w:pPr>
            <w:r>
              <w:t>171.00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148.00</w:t>
            </w:r>
          </w:p>
        </w:tc>
        <w:tc>
          <w:tcPr>
            <w:tcW w:w="1134" w:type="dxa"/>
            <w:vAlign w:val="center"/>
          </w:tcPr>
          <w:p>
            <w:pPr>
              <w:pStyle w:val="11"/>
            </w:pPr>
            <w:r>
              <w:t>148.00</w:t>
            </w:r>
          </w:p>
        </w:tc>
        <w:tc>
          <w:tcPr>
            <w:tcW w:w="1134" w:type="dxa"/>
            <w:vAlign w:val="center"/>
          </w:tcPr>
          <w:p>
            <w:pPr>
              <w:pStyle w:val="11"/>
            </w:pPr>
            <w:r>
              <w:t>148.00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r>
              <w:t>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1420.10</w:t>
            </w:r>
          </w:p>
        </w:tc>
        <w:tc>
          <w:tcPr>
            <w:tcW w:w="1361" w:type="dxa"/>
            <w:vAlign w:val="center"/>
          </w:tcPr>
          <w:p>
            <w:pPr>
              <w:pStyle w:val="15"/>
            </w:pPr>
            <w:r>
              <w:t>1270.10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1034.50</w:t>
            </w:r>
          </w:p>
        </w:tc>
        <w:tc>
          <w:tcPr>
            <w:tcW w:w="1361" w:type="dxa"/>
            <w:vAlign w:val="center"/>
          </w:tcPr>
          <w:p>
            <w:pPr>
              <w:pStyle w:val="11"/>
            </w:pPr>
            <w:r>
              <w:t>1034.50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1034.50</w:t>
            </w:r>
          </w:p>
        </w:tc>
        <w:tc>
          <w:tcPr>
            <w:tcW w:w="1361" w:type="dxa"/>
            <w:vAlign w:val="center"/>
          </w:tcPr>
          <w:p>
            <w:pPr>
              <w:pStyle w:val="11"/>
            </w:pPr>
            <w:r>
              <w:t>1034.50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1034.50</w:t>
            </w:r>
          </w:p>
        </w:tc>
        <w:tc>
          <w:tcPr>
            <w:tcW w:w="1361" w:type="dxa"/>
            <w:vAlign w:val="center"/>
          </w:tcPr>
          <w:p>
            <w:pPr>
              <w:pStyle w:val="11"/>
            </w:pPr>
            <w:r>
              <w:t>1034.50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173.60</w:t>
            </w:r>
          </w:p>
        </w:tc>
        <w:tc>
          <w:tcPr>
            <w:tcW w:w="1361" w:type="dxa"/>
            <w:vAlign w:val="center"/>
          </w:tcPr>
          <w:p>
            <w:pPr>
              <w:pStyle w:val="11"/>
            </w:pPr>
            <w:r>
              <w:t>173.60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171.00</w:t>
            </w:r>
          </w:p>
        </w:tc>
        <w:tc>
          <w:tcPr>
            <w:tcW w:w="1361" w:type="dxa"/>
            <w:vAlign w:val="center"/>
          </w:tcPr>
          <w:p>
            <w:pPr>
              <w:pStyle w:val="11"/>
            </w:pPr>
            <w:r>
              <w:t>171.00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148.00</w:t>
            </w: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62.00</w:t>
            </w:r>
          </w:p>
        </w:tc>
        <w:tc>
          <w:tcPr>
            <w:tcW w:w="1361" w:type="dxa"/>
            <w:vAlign w:val="center"/>
          </w:tcPr>
          <w:p>
            <w:pPr>
              <w:pStyle w:val="11"/>
            </w:pPr>
            <w:r>
              <w:t>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1270.10</w:t>
            </w:r>
          </w:p>
        </w:tc>
        <w:tc>
          <w:tcPr>
            <w:tcW w:w="3402" w:type="dxa"/>
            <w:vAlign w:val="center"/>
          </w:tcPr>
          <w:p>
            <w:pPr>
              <w:pStyle w:val="12"/>
            </w:pPr>
            <w:r>
              <w:t>一、一般公共服务支出</w:t>
            </w:r>
          </w:p>
        </w:tc>
        <w:tc>
          <w:tcPr>
            <w:tcW w:w="1474" w:type="dxa"/>
            <w:vAlign w:val="center"/>
          </w:tcPr>
          <w:p>
            <w:pPr>
              <w:pStyle w:val="11"/>
            </w:pPr>
            <w:r>
              <w:t>1034.50</w:t>
            </w:r>
          </w:p>
        </w:tc>
        <w:tc>
          <w:tcPr>
            <w:tcW w:w="1474" w:type="dxa"/>
            <w:vAlign w:val="center"/>
          </w:tcPr>
          <w:p>
            <w:pPr>
              <w:pStyle w:val="11"/>
            </w:pPr>
            <w:r>
              <w:t>1034.50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173.60</w:t>
            </w:r>
          </w:p>
        </w:tc>
        <w:tc>
          <w:tcPr>
            <w:tcW w:w="1474" w:type="dxa"/>
            <w:vAlign w:val="center"/>
          </w:tcPr>
          <w:p>
            <w:pPr>
              <w:pStyle w:val="11"/>
            </w:pPr>
            <w:r>
              <w:t>173.60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62.00</w:t>
            </w:r>
          </w:p>
        </w:tc>
        <w:tc>
          <w:tcPr>
            <w:tcW w:w="1474" w:type="dxa"/>
            <w:vAlign w:val="center"/>
          </w:tcPr>
          <w:p>
            <w:pPr>
              <w:pStyle w:val="11"/>
            </w:pPr>
            <w:r>
              <w:t>62.00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r>
              <w:t>150.00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1420.10</w:t>
            </w:r>
          </w:p>
        </w:tc>
        <w:tc>
          <w:tcPr>
            <w:tcW w:w="3402" w:type="dxa"/>
            <w:vAlign w:val="center"/>
          </w:tcPr>
          <w:p>
            <w:pPr>
              <w:pStyle w:val="14"/>
            </w:pPr>
            <w:r>
              <w:t>本年支出合计</w:t>
            </w:r>
          </w:p>
        </w:tc>
        <w:tc>
          <w:tcPr>
            <w:tcW w:w="1474" w:type="dxa"/>
            <w:vAlign w:val="center"/>
          </w:tcPr>
          <w:p>
            <w:pPr>
              <w:pStyle w:val="15"/>
            </w:pPr>
            <w:r>
              <w:t>1420.10</w:t>
            </w:r>
          </w:p>
        </w:tc>
        <w:tc>
          <w:tcPr>
            <w:tcW w:w="1474" w:type="dxa"/>
            <w:vAlign w:val="center"/>
          </w:tcPr>
          <w:p>
            <w:pPr>
              <w:pStyle w:val="15"/>
            </w:pPr>
            <w:r>
              <w:t>1270.10</w:t>
            </w:r>
          </w:p>
        </w:tc>
        <w:tc>
          <w:tcPr>
            <w:tcW w:w="1474" w:type="dxa"/>
            <w:vAlign w:val="center"/>
          </w:tcPr>
          <w:p>
            <w:pPr>
              <w:pStyle w:val="15"/>
            </w:pPr>
            <w:r>
              <w:t>150.00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1420.10</w:t>
            </w:r>
          </w:p>
        </w:tc>
        <w:tc>
          <w:tcPr>
            <w:tcW w:w="3402" w:type="dxa"/>
            <w:vAlign w:val="center"/>
          </w:tcPr>
          <w:p>
            <w:pPr>
              <w:pStyle w:val="14"/>
            </w:pPr>
            <w:r>
              <w:t>支出总计</w:t>
            </w:r>
          </w:p>
        </w:tc>
        <w:tc>
          <w:tcPr>
            <w:tcW w:w="1474" w:type="dxa"/>
            <w:vAlign w:val="center"/>
          </w:tcPr>
          <w:p>
            <w:pPr>
              <w:pStyle w:val="15"/>
            </w:pPr>
            <w:r>
              <w:t>1420.10</w:t>
            </w:r>
          </w:p>
        </w:tc>
        <w:tc>
          <w:tcPr>
            <w:tcW w:w="1474" w:type="dxa"/>
            <w:vAlign w:val="center"/>
          </w:tcPr>
          <w:p>
            <w:pPr>
              <w:pStyle w:val="15"/>
            </w:pPr>
            <w:r>
              <w:t>1270.10</w:t>
            </w:r>
          </w:p>
        </w:tc>
        <w:tc>
          <w:tcPr>
            <w:tcW w:w="1474" w:type="dxa"/>
            <w:vAlign w:val="center"/>
          </w:tcPr>
          <w:p>
            <w:pPr>
              <w:pStyle w:val="15"/>
            </w:pPr>
            <w:r>
              <w:t>150.00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1270.10</w:t>
            </w:r>
          </w:p>
        </w:tc>
        <w:tc>
          <w:tcPr>
            <w:tcW w:w="2551" w:type="dxa"/>
            <w:vAlign w:val="center"/>
          </w:tcPr>
          <w:p>
            <w:pPr>
              <w:pStyle w:val="15"/>
            </w:pPr>
            <w:r>
              <w:t>1270.10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1034.50</w:t>
            </w:r>
          </w:p>
        </w:tc>
        <w:tc>
          <w:tcPr>
            <w:tcW w:w="2551" w:type="dxa"/>
            <w:vAlign w:val="center"/>
          </w:tcPr>
          <w:p>
            <w:pPr>
              <w:pStyle w:val="11"/>
            </w:pPr>
            <w:r>
              <w:t>1034.50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1034.50</w:t>
            </w:r>
          </w:p>
        </w:tc>
        <w:tc>
          <w:tcPr>
            <w:tcW w:w="2551" w:type="dxa"/>
            <w:vAlign w:val="center"/>
          </w:tcPr>
          <w:p>
            <w:pPr>
              <w:pStyle w:val="11"/>
            </w:pPr>
            <w:r>
              <w:t>1034.50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1034.50</w:t>
            </w:r>
          </w:p>
        </w:tc>
        <w:tc>
          <w:tcPr>
            <w:tcW w:w="2551" w:type="dxa"/>
            <w:vAlign w:val="center"/>
          </w:tcPr>
          <w:p>
            <w:pPr>
              <w:pStyle w:val="11"/>
            </w:pPr>
            <w:r>
              <w:t>1034.50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173.60</w:t>
            </w:r>
          </w:p>
        </w:tc>
        <w:tc>
          <w:tcPr>
            <w:tcW w:w="2551" w:type="dxa"/>
            <w:vAlign w:val="center"/>
          </w:tcPr>
          <w:p>
            <w:pPr>
              <w:pStyle w:val="11"/>
            </w:pPr>
            <w:r>
              <w:t>173.60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171.00</w:t>
            </w:r>
          </w:p>
        </w:tc>
        <w:tc>
          <w:tcPr>
            <w:tcW w:w="2551" w:type="dxa"/>
            <w:vAlign w:val="center"/>
          </w:tcPr>
          <w:p>
            <w:pPr>
              <w:pStyle w:val="11"/>
            </w:pPr>
            <w:r>
              <w:t>171.00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148.00</w:t>
            </w:r>
          </w:p>
        </w:tc>
        <w:tc>
          <w:tcPr>
            <w:tcW w:w="2551" w:type="dxa"/>
            <w:vAlign w:val="center"/>
          </w:tcPr>
          <w:p>
            <w:pPr>
              <w:pStyle w:val="11"/>
            </w:pPr>
            <w:r>
              <w:t>148.00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1270.10</w:t>
            </w:r>
          </w:p>
        </w:tc>
        <w:tc>
          <w:tcPr>
            <w:tcW w:w="2551" w:type="dxa"/>
            <w:vAlign w:val="center"/>
          </w:tcPr>
          <w:p>
            <w:pPr>
              <w:pStyle w:val="15"/>
            </w:pPr>
            <w:r>
              <w:t>1012.30</w:t>
            </w:r>
          </w:p>
        </w:tc>
        <w:tc>
          <w:tcPr>
            <w:tcW w:w="2551" w:type="dxa"/>
            <w:vAlign w:val="center"/>
          </w:tcPr>
          <w:p>
            <w:pPr>
              <w:pStyle w:val="15"/>
            </w:pPr>
            <w:r>
              <w:t>257.80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972.30</w:t>
            </w:r>
          </w:p>
        </w:tc>
        <w:tc>
          <w:tcPr>
            <w:tcW w:w="2551" w:type="dxa"/>
            <w:vAlign w:val="center"/>
          </w:tcPr>
          <w:p>
            <w:pPr>
              <w:pStyle w:val="11"/>
            </w:pPr>
            <w:r>
              <w:t>972.30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323.00</w:t>
            </w:r>
          </w:p>
        </w:tc>
        <w:tc>
          <w:tcPr>
            <w:tcW w:w="2551" w:type="dxa"/>
            <w:vAlign w:val="center"/>
          </w:tcPr>
          <w:p>
            <w:pPr>
              <w:pStyle w:val="11"/>
            </w:pPr>
            <w:r>
              <w:t>323.00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147.60</w:t>
            </w:r>
          </w:p>
        </w:tc>
        <w:tc>
          <w:tcPr>
            <w:tcW w:w="2551" w:type="dxa"/>
            <w:vAlign w:val="center"/>
          </w:tcPr>
          <w:p>
            <w:pPr>
              <w:pStyle w:val="11"/>
            </w:pPr>
            <w:r>
              <w:t>147.60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79.00</w:t>
            </w:r>
          </w:p>
        </w:tc>
        <w:tc>
          <w:tcPr>
            <w:tcW w:w="2551" w:type="dxa"/>
            <w:vAlign w:val="center"/>
          </w:tcPr>
          <w:p>
            <w:pPr>
              <w:pStyle w:val="11"/>
            </w:pPr>
            <w:r>
              <w:t>79.00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146.00</w:t>
            </w:r>
          </w:p>
        </w:tc>
        <w:tc>
          <w:tcPr>
            <w:tcW w:w="2551" w:type="dxa"/>
            <w:vAlign w:val="center"/>
          </w:tcPr>
          <w:p>
            <w:pPr>
              <w:pStyle w:val="11"/>
            </w:pPr>
            <w:r>
              <w:t>146.00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148.00</w:t>
            </w:r>
          </w:p>
        </w:tc>
        <w:tc>
          <w:tcPr>
            <w:tcW w:w="2551" w:type="dxa"/>
            <w:vAlign w:val="center"/>
          </w:tcPr>
          <w:p>
            <w:pPr>
              <w:pStyle w:val="11"/>
            </w:pPr>
            <w:r>
              <w:t>148.00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62.00</w:t>
            </w:r>
          </w:p>
        </w:tc>
        <w:tc>
          <w:tcPr>
            <w:tcW w:w="2551" w:type="dxa"/>
            <w:vAlign w:val="center"/>
          </w:tcPr>
          <w:p>
            <w:pPr>
              <w:pStyle w:val="11"/>
            </w:pPr>
            <w:r>
              <w:t>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5.70</w:t>
            </w:r>
          </w:p>
        </w:tc>
        <w:tc>
          <w:tcPr>
            <w:tcW w:w="2551" w:type="dxa"/>
            <w:vAlign w:val="center"/>
          </w:tcPr>
          <w:p>
            <w:pPr>
              <w:pStyle w:val="11"/>
            </w:pPr>
            <w:r>
              <w:t>5.70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257.80</w:t>
            </w:r>
          </w:p>
        </w:tc>
        <w:tc>
          <w:tcPr>
            <w:tcW w:w="2551" w:type="dxa"/>
            <w:vAlign w:val="center"/>
          </w:tcPr>
          <w:p>
            <w:pPr>
              <w:pStyle w:val="11"/>
            </w:pPr>
          </w:p>
        </w:tc>
        <w:tc>
          <w:tcPr>
            <w:tcW w:w="2551" w:type="dxa"/>
            <w:vAlign w:val="center"/>
          </w:tcPr>
          <w:p>
            <w:pPr>
              <w:pStyle w:val="11"/>
            </w:pPr>
            <w:r>
              <w:t>257.80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按照《中华人民共和国预算法》、《地方预决算公开操作规程》和《关于进一步推进预算公开工作的实施意见》规定，现将无极县北苏镇人民政府本级2025年单位预算公开如下：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按照预算管理有关规定，目前我省部门预算的编制实行综合预算管理，即全部收入和支出都反映的预算中。北苏镇人民政府没有下属单位，按职能划分为政府、党委、财政、计生等部门，收支包含在部门预算中。</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无极县北苏镇人民政府本级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1420.10万元，其中：一般公共预算收入1270.10万元，基金预算收入150.00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北苏镇人民政府本级年度单位预算中支出预算的总体情况。2025年支出预算1420.10万元，其中基本支出1270.10万元，包括人员经费1012.30万元和日常公用经费257.80万元；项目支出150.00万元，主要为占地补偿款150万。</w:t>
      </w:r>
    </w:p>
    <w:p>
      <w:pPr>
        <w:pStyle w:val="18"/>
      </w:pPr>
      <w:r>
        <w:t>3、比上年增减情况</w:t>
      </w:r>
    </w:p>
    <w:p>
      <w:pPr>
        <w:pStyle w:val="18"/>
      </w:pPr>
      <w:r>
        <w:t>2025年预算收支安排1420.10万元，较2024年预算减少6270.58万元，其中：基本支出减少670.45万元，主要为项目减少，厉行节约。项目支出减少5600.13万元，主要为尚太一体化项目减少。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6.00万元，其中因公出国（境）费0.00万元；公务用车购置及运维费6.00万元（其中：公务用车购置费为0.00万元，公务用车运维费6.00万元)；公务接待费0.00万元。与2024年相比增加0.00万元，增减变化的主要原因是厉行节约，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1、关于提前下达2025年中央专项彩票公益金支持地方社会公益事业发展资金绩效目标表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13013025P00007010006K</w:t>
            </w:r>
          </w:p>
        </w:tc>
        <w:tc>
          <w:tcPr>
            <w:tcW w:w="2835" w:type="dxa"/>
            <w:vAlign w:val="center"/>
          </w:tcPr>
          <w:p>
            <w:pPr>
              <w:pStyle w:val="10"/>
            </w:pPr>
            <w:r>
              <w:t>项目名称</w:t>
            </w:r>
          </w:p>
        </w:tc>
        <w:tc>
          <w:tcPr>
            <w:tcW w:w="6095" w:type="dxa"/>
            <w:gridSpan w:val="3"/>
            <w:vAlign w:val="center"/>
          </w:tcPr>
          <w:p>
            <w:pPr>
              <w:pStyle w:val="12"/>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40000000%</w:t>
            </w:r>
          </w:p>
        </w:tc>
        <w:tc>
          <w:tcPr>
            <w:tcW w:w="2835" w:type="dxa"/>
            <w:vAlign w:val="center"/>
          </w:tcPr>
          <w:p>
            <w:pPr>
              <w:pStyle w:val="13"/>
            </w:pPr>
            <w:r>
              <w:t>80000000%</w:t>
            </w:r>
          </w:p>
        </w:tc>
        <w:tc>
          <w:tcPr>
            <w:tcW w:w="2551" w:type="dxa"/>
            <w:vAlign w:val="center"/>
          </w:tcPr>
          <w:p>
            <w:pPr>
              <w:pStyle w:val="13"/>
            </w:pPr>
            <w:r>
              <w:t>120000000%</w:t>
            </w:r>
          </w:p>
        </w:tc>
        <w:tc>
          <w:tcPr>
            <w:tcW w:w="3544" w:type="dxa"/>
            <w:gridSpan w:val="2"/>
            <w:vAlign w:val="center"/>
          </w:tcPr>
          <w:p>
            <w:pPr>
              <w:pStyle w:val="13"/>
            </w:pPr>
            <w:r>
              <w:t>150000000%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1.及时拨付，福利彩票公益金支持的项目资金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全部拨付</w:t>
            </w:r>
          </w:p>
        </w:tc>
        <w:tc>
          <w:tcPr>
            <w:tcW w:w="5386" w:type="dxa"/>
            <w:vAlign w:val="center"/>
          </w:tcPr>
          <w:p>
            <w:pPr>
              <w:pStyle w:val="12"/>
            </w:pPr>
            <w:r>
              <w:t>全部拨付</w:t>
            </w:r>
          </w:p>
        </w:tc>
        <w:tc>
          <w:tcPr>
            <w:tcW w:w="2268" w:type="dxa"/>
            <w:vAlign w:val="center"/>
          </w:tcPr>
          <w:p>
            <w:pPr>
              <w:pStyle w:val="12"/>
            </w:pPr>
            <w:r>
              <w:t>≥95全部拨付</w:t>
            </w:r>
          </w:p>
        </w:tc>
        <w:tc>
          <w:tcPr>
            <w:tcW w:w="1276" w:type="dxa"/>
            <w:vAlign w:val="center"/>
          </w:tcPr>
          <w:p>
            <w:pPr>
              <w:pStyle w:val="12"/>
            </w:pPr>
            <w:r>
              <w:t>全部拨付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及时拨付</w:t>
            </w:r>
          </w:p>
        </w:tc>
        <w:tc>
          <w:tcPr>
            <w:tcW w:w="5386" w:type="dxa"/>
            <w:vAlign w:val="center"/>
          </w:tcPr>
          <w:p>
            <w:pPr>
              <w:pStyle w:val="12"/>
            </w:pPr>
            <w:r>
              <w:t>及时拨付</w:t>
            </w:r>
          </w:p>
        </w:tc>
        <w:tc>
          <w:tcPr>
            <w:tcW w:w="2268" w:type="dxa"/>
            <w:vAlign w:val="center"/>
          </w:tcPr>
          <w:p>
            <w:pPr>
              <w:pStyle w:val="12"/>
            </w:pPr>
            <w:r>
              <w:t>≥95及时拨付</w:t>
            </w:r>
          </w:p>
        </w:tc>
        <w:tc>
          <w:tcPr>
            <w:tcW w:w="1276" w:type="dxa"/>
            <w:vAlign w:val="center"/>
          </w:tcPr>
          <w:p>
            <w:pPr>
              <w:pStyle w:val="12"/>
            </w:pPr>
            <w:r>
              <w:t>及时拨付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w:t>
            </w:r>
          </w:p>
        </w:tc>
        <w:tc>
          <w:tcPr>
            <w:tcW w:w="2268" w:type="dxa"/>
            <w:vAlign w:val="center"/>
          </w:tcPr>
          <w:p>
            <w:pPr>
              <w:pStyle w:val="12"/>
            </w:pPr>
            <w:r>
              <w:t>≥95及时拨付</w:t>
            </w:r>
          </w:p>
        </w:tc>
        <w:tc>
          <w:tcPr>
            <w:tcW w:w="1276" w:type="dxa"/>
            <w:vAlign w:val="center"/>
          </w:tcPr>
          <w:p>
            <w:pPr>
              <w:pStyle w:val="12"/>
            </w:pPr>
            <w:r>
              <w:t>及时拨付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全部拨付</w:t>
            </w:r>
          </w:p>
        </w:tc>
        <w:tc>
          <w:tcPr>
            <w:tcW w:w="5386" w:type="dxa"/>
            <w:vAlign w:val="center"/>
          </w:tcPr>
          <w:p>
            <w:pPr>
              <w:pStyle w:val="12"/>
            </w:pPr>
            <w:r>
              <w:t>全部拨付</w:t>
            </w:r>
          </w:p>
        </w:tc>
        <w:tc>
          <w:tcPr>
            <w:tcW w:w="2268" w:type="dxa"/>
            <w:vAlign w:val="center"/>
          </w:tcPr>
          <w:p>
            <w:pPr>
              <w:pStyle w:val="12"/>
            </w:pPr>
            <w:r>
              <w:t>≥95全部拨付</w:t>
            </w:r>
          </w:p>
        </w:tc>
        <w:tc>
          <w:tcPr>
            <w:tcW w:w="1276" w:type="dxa"/>
            <w:vAlign w:val="center"/>
          </w:tcPr>
          <w:p>
            <w:pPr>
              <w:pStyle w:val="12"/>
            </w:pPr>
            <w:r>
              <w:t>全部拨付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经济效益</w:t>
            </w:r>
          </w:p>
        </w:tc>
        <w:tc>
          <w:tcPr>
            <w:tcW w:w="2268" w:type="dxa"/>
            <w:vAlign w:val="center"/>
          </w:tcPr>
          <w:p>
            <w:pPr>
              <w:pStyle w:val="12"/>
            </w:pPr>
            <w:r>
              <w:t>≥95经济效益</w:t>
            </w:r>
          </w:p>
        </w:tc>
        <w:tc>
          <w:tcPr>
            <w:tcW w:w="1276" w:type="dxa"/>
            <w:vAlign w:val="center"/>
          </w:tcPr>
          <w:p>
            <w:pPr>
              <w:pStyle w:val="12"/>
            </w:pPr>
            <w:r>
              <w:t>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≥95社会效益</w:t>
            </w:r>
          </w:p>
        </w:tc>
        <w:tc>
          <w:tcPr>
            <w:tcW w:w="1276" w:type="dxa"/>
            <w:vAlign w:val="center"/>
          </w:tcPr>
          <w:p>
            <w:pPr>
              <w:pStyle w:val="12"/>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w:t>
            </w:r>
          </w:p>
        </w:tc>
        <w:tc>
          <w:tcPr>
            <w:tcW w:w="2268" w:type="dxa"/>
            <w:vAlign w:val="center"/>
          </w:tcPr>
          <w:p>
            <w:pPr>
              <w:pStyle w:val="12"/>
            </w:pPr>
            <w:r>
              <w:t>≥95生态效益</w:t>
            </w:r>
          </w:p>
        </w:tc>
        <w:tc>
          <w:tcPr>
            <w:tcW w:w="1276" w:type="dxa"/>
            <w:vAlign w:val="center"/>
          </w:tcPr>
          <w:p>
            <w:pPr>
              <w:pStyle w:val="12"/>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社会效益</w:t>
            </w:r>
          </w:p>
        </w:tc>
        <w:tc>
          <w:tcPr>
            <w:tcW w:w="2268" w:type="dxa"/>
            <w:vAlign w:val="center"/>
          </w:tcPr>
          <w:p>
            <w:pPr>
              <w:pStyle w:val="12"/>
            </w:pPr>
            <w:r>
              <w:t>≥95社会效益</w:t>
            </w:r>
          </w:p>
        </w:tc>
        <w:tc>
          <w:tcPr>
            <w:tcW w:w="1276" w:type="dxa"/>
            <w:vAlign w:val="center"/>
          </w:tcPr>
          <w:p>
            <w:pPr>
              <w:pStyle w:val="12"/>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w:t>
            </w:r>
          </w:p>
        </w:tc>
        <w:tc>
          <w:tcPr>
            <w:tcW w:w="5386" w:type="dxa"/>
            <w:vAlign w:val="center"/>
          </w:tcPr>
          <w:p>
            <w:pPr>
              <w:pStyle w:val="12"/>
            </w:pPr>
            <w:r>
              <w:t>农户满意</w:t>
            </w:r>
          </w:p>
        </w:tc>
        <w:tc>
          <w:tcPr>
            <w:tcW w:w="2268" w:type="dxa"/>
            <w:vAlign w:val="center"/>
          </w:tcPr>
          <w:p>
            <w:pPr>
              <w:pStyle w:val="12"/>
            </w:pPr>
            <w:r>
              <w:t>≥95农户满意</w:t>
            </w:r>
          </w:p>
        </w:tc>
        <w:tc>
          <w:tcPr>
            <w:tcW w:w="1276" w:type="dxa"/>
            <w:vAlign w:val="center"/>
          </w:tcPr>
          <w:p>
            <w:pPr>
              <w:pStyle w:val="12"/>
            </w:pPr>
            <w:r>
              <w:t>农户满意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无极县北苏镇人民政府本级小计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关于提前下达2025年中央专项彩票公益金支持地方社会公益事业发展资金</w:t>
            </w:r>
          </w:p>
        </w:tc>
        <w:tc>
          <w:tcPr>
            <w:tcW w:w="964" w:type="dxa"/>
            <w:vAlign w:val="center"/>
          </w:tcPr>
          <w:p>
            <w:pPr>
              <w:pStyle w:val="11"/>
            </w:pPr>
            <w:r>
              <w:t>150.00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150.00</w:t>
            </w: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无极县北苏镇人民政府本级上年末固定资产金额为0.00万元（详见下表）。本年度拟购置固定资产总额为0.00万元。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934001无极县北苏镇人民政府本级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1"/>
              <w:ind w:firstLine="0" w:firstLineChars="0"/>
              <w:rPr>
                <w:rFonts w:ascii="方正书宋_GBK" w:hAnsi="方正书宋_GBK" w:eastAsia="方正书宋_GBK" w:cs="方正书宋_GBK"/>
                <w:sz w:val="21"/>
                <w:szCs w:val="24"/>
                <w:lang w:val="en-US" w:eastAsia="uk-UA" w:bidi="ar-SA"/>
              </w:rPr>
            </w:pPr>
            <w:r>
              <w:t>589.31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7260</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352.67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2200</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172.89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49.85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338</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186.79</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69569F"/>
    <w:rsid w:val="778A26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20</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2025-02-06T10:48:00Z</dcterms:created>
  <dc:creator>lenovo</dc:creator>
  <cp:lastModifiedBy>浮生</cp:lastModifiedBy>
  <dcterms:modified xsi:type="dcterms:W3CDTF">2025-10-31T07:23:47Z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64E9C22FFE6141E399EFEEA3FEAB24A5</vt:lpwstr>
  </property>
</Properties>
</file>