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934无极县北苏镇人民政府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1270.10</w:t>
            </w:r>
          </w:p>
        </w:tc>
        <w:tc>
          <w:tcPr>
            <w:tcW w:w="4535" w:type="dxa"/>
            <w:vAlign w:val="center"/>
          </w:tcPr>
          <w:p>
            <w:pPr>
              <w:pStyle w:val="13"/>
            </w:pPr>
            <w:r>
              <w:t>一、一般公共服务支出</w:t>
            </w:r>
          </w:p>
        </w:tc>
        <w:tc>
          <w:tcPr>
            <w:tcW w:w="2126" w:type="dxa"/>
            <w:vAlign w:val="center"/>
          </w:tcPr>
          <w:p>
            <w:pPr>
              <w:pStyle w:val="12"/>
            </w:pPr>
            <w:r>
              <w:t>1034.50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150.00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1420.10</w:t>
            </w:r>
          </w:p>
        </w:tc>
        <w:tc>
          <w:tcPr>
            <w:tcW w:w="4535" w:type="dxa"/>
            <w:vAlign w:val="center"/>
          </w:tcPr>
          <w:p>
            <w:pPr>
              <w:pStyle w:val="15"/>
            </w:pPr>
            <w:r>
              <w:t>本年支出合计</w:t>
            </w:r>
          </w:p>
        </w:tc>
        <w:tc>
          <w:tcPr>
            <w:tcW w:w="2126" w:type="dxa"/>
            <w:vAlign w:val="center"/>
          </w:tcPr>
          <w:p>
            <w:pPr>
              <w:pStyle w:val="16"/>
            </w:pPr>
            <w:r>
              <w:t>1420.10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1420.10</w:t>
            </w:r>
          </w:p>
        </w:tc>
        <w:tc>
          <w:tcPr>
            <w:tcW w:w="4535" w:type="dxa"/>
            <w:vAlign w:val="center"/>
          </w:tcPr>
          <w:p>
            <w:pPr>
              <w:pStyle w:val="15"/>
            </w:pPr>
            <w:r>
              <w:t>支出总计</w:t>
            </w:r>
          </w:p>
        </w:tc>
        <w:tc>
          <w:tcPr>
            <w:tcW w:w="2126" w:type="dxa"/>
            <w:vAlign w:val="center"/>
          </w:tcPr>
          <w:p>
            <w:pPr>
              <w:pStyle w:val="16"/>
            </w:pPr>
            <w:r>
              <w:t>1420.10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1420.10</w:t>
            </w:r>
          </w:p>
        </w:tc>
        <w:tc>
          <w:tcPr>
            <w:tcW w:w="1134" w:type="dxa"/>
            <w:vAlign w:val="center"/>
          </w:tcPr>
          <w:p>
            <w:pPr>
              <w:pStyle w:val="16"/>
            </w:pPr>
            <w:r>
              <w:t>1420.10</w:t>
            </w:r>
          </w:p>
        </w:tc>
        <w:tc>
          <w:tcPr>
            <w:tcW w:w="1134" w:type="dxa"/>
            <w:vAlign w:val="center"/>
          </w:tcPr>
          <w:p>
            <w:pPr>
              <w:pStyle w:val="16"/>
            </w:pPr>
            <w:r>
              <w:t>1420.10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r>
              <w:t>1034.50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173.60</w:t>
            </w:r>
          </w:p>
        </w:tc>
        <w:tc>
          <w:tcPr>
            <w:tcW w:w="1134" w:type="dxa"/>
            <w:vAlign w:val="center"/>
          </w:tcPr>
          <w:p>
            <w:pPr>
              <w:pStyle w:val="12"/>
            </w:pPr>
            <w:r>
              <w:t>173.60</w:t>
            </w:r>
          </w:p>
        </w:tc>
        <w:tc>
          <w:tcPr>
            <w:tcW w:w="1134" w:type="dxa"/>
            <w:vAlign w:val="center"/>
          </w:tcPr>
          <w:p>
            <w:pPr>
              <w:pStyle w:val="12"/>
            </w:pPr>
            <w:r>
              <w:t>173.60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171.00</w:t>
            </w:r>
          </w:p>
        </w:tc>
        <w:tc>
          <w:tcPr>
            <w:tcW w:w="1134" w:type="dxa"/>
            <w:vAlign w:val="center"/>
          </w:tcPr>
          <w:p>
            <w:pPr>
              <w:pStyle w:val="12"/>
            </w:pPr>
            <w:r>
              <w:t>171.00</w:t>
            </w:r>
          </w:p>
        </w:tc>
        <w:tc>
          <w:tcPr>
            <w:tcW w:w="1134" w:type="dxa"/>
            <w:vAlign w:val="center"/>
          </w:tcPr>
          <w:p>
            <w:pPr>
              <w:pStyle w:val="12"/>
            </w:pPr>
            <w:r>
              <w:t>171.00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148.00</w:t>
            </w:r>
          </w:p>
        </w:tc>
        <w:tc>
          <w:tcPr>
            <w:tcW w:w="1134" w:type="dxa"/>
            <w:vAlign w:val="center"/>
          </w:tcPr>
          <w:p>
            <w:pPr>
              <w:pStyle w:val="12"/>
            </w:pPr>
            <w:r>
              <w:t>148.00</w:t>
            </w:r>
          </w:p>
        </w:tc>
        <w:tc>
          <w:tcPr>
            <w:tcW w:w="1134" w:type="dxa"/>
            <w:vAlign w:val="center"/>
          </w:tcPr>
          <w:p>
            <w:pPr>
              <w:pStyle w:val="12"/>
            </w:pPr>
            <w:r>
              <w:t>148.00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1420.10</w:t>
            </w:r>
          </w:p>
        </w:tc>
        <w:tc>
          <w:tcPr>
            <w:tcW w:w="1361" w:type="dxa"/>
            <w:vAlign w:val="center"/>
          </w:tcPr>
          <w:p>
            <w:pPr>
              <w:pStyle w:val="16"/>
            </w:pPr>
            <w:r>
              <w:t>1270.10</w:t>
            </w:r>
          </w:p>
        </w:tc>
        <w:tc>
          <w:tcPr>
            <w:tcW w:w="1361" w:type="dxa"/>
            <w:vAlign w:val="center"/>
          </w:tcPr>
          <w:p>
            <w:pPr>
              <w:pStyle w:val="16"/>
            </w:pPr>
            <w:r>
              <w:t>150.00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1034.50</w:t>
            </w:r>
          </w:p>
        </w:tc>
        <w:tc>
          <w:tcPr>
            <w:tcW w:w="1361" w:type="dxa"/>
            <w:vAlign w:val="center"/>
          </w:tcPr>
          <w:p>
            <w:pPr>
              <w:pStyle w:val="12"/>
            </w:pPr>
            <w:r>
              <w:t>1034.50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1034.50</w:t>
            </w:r>
          </w:p>
        </w:tc>
        <w:tc>
          <w:tcPr>
            <w:tcW w:w="1361" w:type="dxa"/>
            <w:vAlign w:val="center"/>
          </w:tcPr>
          <w:p>
            <w:pPr>
              <w:pStyle w:val="12"/>
            </w:pPr>
            <w:r>
              <w:t>1034.50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1034.50</w:t>
            </w:r>
          </w:p>
        </w:tc>
        <w:tc>
          <w:tcPr>
            <w:tcW w:w="1361" w:type="dxa"/>
            <w:vAlign w:val="center"/>
          </w:tcPr>
          <w:p>
            <w:pPr>
              <w:pStyle w:val="12"/>
            </w:pPr>
            <w:r>
              <w:t>1034.50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173.60</w:t>
            </w:r>
          </w:p>
        </w:tc>
        <w:tc>
          <w:tcPr>
            <w:tcW w:w="1361" w:type="dxa"/>
            <w:vAlign w:val="center"/>
          </w:tcPr>
          <w:p>
            <w:pPr>
              <w:pStyle w:val="12"/>
            </w:pPr>
            <w:r>
              <w:t>173.60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171.00</w:t>
            </w:r>
          </w:p>
        </w:tc>
        <w:tc>
          <w:tcPr>
            <w:tcW w:w="1361" w:type="dxa"/>
            <w:vAlign w:val="center"/>
          </w:tcPr>
          <w:p>
            <w:pPr>
              <w:pStyle w:val="12"/>
            </w:pPr>
            <w:r>
              <w:t>171.00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148.00</w:t>
            </w: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1270.10</w:t>
            </w:r>
          </w:p>
        </w:tc>
        <w:tc>
          <w:tcPr>
            <w:tcW w:w="3402" w:type="dxa"/>
            <w:vAlign w:val="center"/>
          </w:tcPr>
          <w:p>
            <w:pPr>
              <w:pStyle w:val="13"/>
            </w:pPr>
            <w:r>
              <w:t>一、一般公共服务支出</w:t>
            </w:r>
          </w:p>
        </w:tc>
        <w:tc>
          <w:tcPr>
            <w:tcW w:w="1474" w:type="dxa"/>
            <w:vAlign w:val="center"/>
          </w:tcPr>
          <w:p>
            <w:pPr>
              <w:pStyle w:val="12"/>
            </w:pPr>
            <w:r>
              <w:t>1034.50</w:t>
            </w:r>
          </w:p>
        </w:tc>
        <w:tc>
          <w:tcPr>
            <w:tcW w:w="1474" w:type="dxa"/>
            <w:vAlign w:val="center"/>
          </w:tcPr>
          <w:p>
            <w:pPr>
              <w:pStyle w:val="12"/>
            </w:pPr>
            <w:r>
              <w:t>1034.50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150.00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173.60</w:t>
            </w:r>
          </w:p>
        </w:tc>
        <w:tc>
          <w:tcPr>
            <w:tcW w:w="1474" w:type="dxa"/>
            <w:vAlign w:val="center"/>
          </w:tcPr>
          <w:p>
            <w:pPr>
              <w:pStyle w:val="12"/>
            </w:pPr>
            <w:r>
              <w:t>173.60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62.00</w:t>
            </w:r>
          </w:p>
        </w:tc>
        <w:tc>
          <w:tcPr>
            <w:tcW w:w="1474" w:type="dxa"/>
            <w:vAlign w:val="center"/>
          </w:tcPr>
          <w:p>
            <w:pPr>
              <w:pStyle w:val="12"/>
            </w:pPr>
            <w:r>
              <w:t>62.00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150.00</w:t>
            </w:r>
          </w:p>
        </w:tc>
        <w:tc>
          <w:tcPr>
            <w:tcW w:w="1474" w:type="dxa"/>
            <w:vAlign w:val="center"/>
          </w:tcPr>
          <w:p>
            <w:pPr>
              <w:pStyle w:val="12"/>
            </w:pPr>
          </w:p>
        </w:tc>
        <w:tc>
          <w:tcPr>
            <w:tcW w:w="1474" w:type="dxa"/>
            <w:vAlign w:val="center"/>
          </w:tcPr>
          <w:p>
            <w:pPr>
              <w:pStyle w:val="12"/>
            </w:pPr>
            <w:r>
              <w:t>150.00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1420.10</w:t>
            </w:r>
          </w:p>
        </w:tc>
        <w:tc>
          <w:tcPr>
            <w:tcW w:w="3402" w:type="dxa"/>
            <w:vAlign w:val="center"/>
          </w:tcPr>
          <w:p>
            <w:pPr>
              <w:pStyle w:val="15"/>
            </w:pPr>
            <w:r>
              <w:t>本年支出合计</w:t>
            </w:r>
          </w:p>
        </w:tc>
        <w:tc>
          <w:tcPr>
            <w:tcW w:w="1474" w:type="dxa"/>
            <w:vAlign w:val="center"/>
          </w:tcPr>
          <w:p>
            <w:pPr>
              <w:pStyle w:val="16"/>
            </w:pPr>
            <w:r>
              <w:t>1420.10</w:t>
            </w:r>
          </w:p>
        </w:tc>
        <w:tc>
          <w:tcPr>
            <w:tcW w:w="1474" w:type="dxa"/>
            <w:vAlign w:val="center"/>
          </w:tcPr>
          <w:p>
            <w:pPr>
              <w:pStyle w:val="16"/>
            </w:pPr>
            <w:r>
              <w:t>1270.10</w:t>
            </w:r>
          </w:p>
        </w:tc>
        <w:tc>
          <w:tcPr>
            <w:tcW w:w="1474" w:type="dxa"/>
            <w:vAlign w:val="center"/>
          </w:tcPr>
          <w:p>
            <w:pPr>
              <w:pStyle w:val="16"/>
            </w:pPr>
            <w:r>
              <w:t>150.00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1420.10</w:t>
            </w:r>
          </w:p>
        </w:tc>
        <w:tc>
          <w:tcPr>
            <w:tcW w:w="3402" w:type="dxa"/>
            <w:vAlign w:val="center"/>
          </w:tcPr>
          <w:p>
            <w:pPr>
              <w:pStyle w:val="15"/>
            </w:pPr>
            <w:r>
              <w:t>支出总计</w:t>
            </w:r>
          </w:p>
        </w:tc>
        <w:tc>
          <w:tcPr>
            <w:tcW w:w="1474" w:type="dxa"/>
            <w:vAlign w:val="center"/>
          </w:tcPr>
          <w:p>
            <w:pPr>
              <w:pStyle w:val="16"/>
            </w:pPr>
            <w:r>
              <w:t>1420.10</w:t>
            </w:r>
          </w:p>
        </w:tc>
        <w:tc>
          <w:tcPr>
            <w:tcW w:w="1474" w:type="dxa"/>
            <w:vAlign w:val="center"/>
          </w:tcPr>
          <w:p>
            <w:pPr>
              <w:pStyle w:val="16"/>
            </w:pPr>
            <w:r>
              <w:t>1270.10</w:t>
            </w:r>
          </w:p>
        </w:tc>
        <w:tc>
          <w:tcPr>
            <w:tcW w:w="1474" w:type="dxa"/>
            <w:vAlign w:val="center"/>
          </w:tcPr>
          <w:p>
            <w:pPr>
              <w:pStyle w:val="16"/>
            </w:pPr>
            <w:r>
              <w:t>150.00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1270.10</w:t>
            </w:r>
          </w:p>
        </w:tc>
        <w:tc>
          <w:tcPr>
            <w:tcW w:w="2551" w:type="dxa"/>
            <w:vAlign w:val="center"/>
          </w:tcPr>
          <w:p>
            <w:pPr>
              <w:pStyle w:val="16"/>
            </w:pPr>
            <w:r>
              <w:t>1270.10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1034.50</w:t>
            </w:r>
          </w:p>
        </w:tc>
        <w:tc>
          <w:tcPr>
            <w:tcW w:w="2551" w:type="dxa"/>
            <w:vAlign w:val="center"/>
          </w:tcPr>
          <w:p>
            <w:pPr>
              <w:pStyle w:val="12"/>
            </w:pPr>
            <w:r>
              <w:t>1034.50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1034.50</w:t>
            </w:r>
          </w:p>
        </w:tc>
        <w:tc>
          <w:tcPr>
            <w:tcW w:w="2551" w:type="dxa"/>
            <w:vAlign w:val="center"/>
          </w:tcPr>
          <w:p>
            <w:pPr>
              <w:pStyle w:val="12"/>
            </w:pPr>
            <w:r>
              <w:t>1034.50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1034.50</w:t>
            </w:r>
          </w:p>
        </w:tc>
        <w:tc>
          <w:tcPr>
            <w:tcW w:w="2551" w:type="dxa"/>
            <w:vAlign w:val="center"/>
          </w:tcPr>
          <w:p>
            <w:pPr>
              <w:pStyle w:val="12"/>
            </w:pPr>
            <w:r>
              <w:t>1034.50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173.60</w:t>
            </w:r>
          </w:p>
        </w:tc>
        <w:tc>
          <w:tcPr>
            <w:tcW w:w="2551" w:type="dxa"/>
            <w:vAlign w:val="center"/>
          </w:tcPr>
          <w:p>
            <w:pPr>
              <w:pStyle w:val="12"/>
            </w:pPr>
            <w:r>
              <w:t>173.60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171.00</w:t>
            </w:r>
          </w:p>
        </w:tc>
        <w:tc>
          <w:tcPr>
            <w:tcW w:w="2551" w:type="dxa"/>
            <w:vAlign w:val="center"/>
          </w:tcPr>
          <w:p>
            <w:pPr>
              <w:pStyle w:val="12"/>
            </w:pPr>
            <w:r>
              <w:t>171.00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148.00</w:t>
            </w:r>
          </w:p>
        </w:tc>
        <w:tc>
          <w:tcPr>
            <w:tcW w:w="2551" w:type="dxa"/>
            <w:vAlign w:val="center"/>
          </w:tcPr>
          <w:p>
            <w:pPr>
              <w:pStyle w:val="12"/>
            </w:pPr>
            <w:r>
              <w:t>148.00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1270.10</w:t>
            </w:r>
          </w:p>
        </w:tc>
        <w:tc>
          <w:tcPr>
            <w:tcW w:w="2551" w:type="dxa"/>
            <w:vAlign w:val="center"/>
          </w:tcPr>
          <w:p>
            <w:pPr>
              <w:pStyle w:val="16"/>
            </w:pPr>
            <w:r>
              <w:t>1012.30</w:t>
            </w:r>
          </w:p>
        </w:tc>
        <w:tc>
          <w:tcPr>
            <w:tcW w:w="2551" w:type="dxa"/>
            <w:vAlign w:val="center"/>
          </w:tcPr>
          <w:p>
            <w:pPr>
              <w:pStyle w:val="16"/>
            </w:pPr>
            <w:r>
              <w:t>257.80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972.30</w:t>
            </w:r>
          </w:p>
        </w:tc>
        <w:tc>
          <w:tcPr>
            <w:tcW w:w="2551" w:type="dxa"/>
            <w:vAlign w:val="center"/>
          </w:tcPr>
          <w:p>
            <w:pPr>
              <w:pStyle w:val="12"/>
            </w:pPr>
            <w:r>
              <w:t>972.30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323.00</w:t>
            </w:r>
          </w:p>
        </w:tc>
        <w:tc>
          <w:tcPr>
            <w:tcW w:w="2551" w:type="dxa"/>
            <w:vAlign w:val="center"/>
          </w:tcPr>
          <w:p>
            <w:pPr>
              <w:pStyle w:val="12"/>
            </w:pPr>
            <w:r>
              <w:t>323.00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147.60</w:t>
            </w:r>
          </w:p>
        </w:tc>
        <w:tc>
          <w:tcPr>
            <w:tcW w:w="2551" w:type="dxa"/>
            <w:vAlign w:val="center"/>
          </w:tcPr>
          <w:p>
            <w:pPr>
              <w:pStyle w:val="12"/>
            </w:pPr>
            <w:r>
              <w:t>147.60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79.00</w:t>
            </w:r>
          </w:p>
        </w:tc>
        <w:tc>
          <w:tcPr>
            <w:tcW w:w="2551" w:type="dxa"/>
            <w:vAlign w:val="center"/>
          </w:tcPr>
          <w:p>
            <w:pPr>
              <w:pStyle w:val="12"/>
            </w:pPr>
            <w:r>
              <w:t>79.00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146.00</w:t>
            </w:r>
          </w:p>
        </w:tc>
        <w:tc>
          <w:tcPr>
            <w:tcW w:w="2551" w:type="dxa"/>
            <w:vAlign w:val="center"/>
          </w:tcPr>
          <w:p>
            <w:pPr>
              <w:pStyle w:val="12"/>
            </w:pPr>
            <w:r>
              <w:t>146.00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148.00</w:t>
            </w:r>
          </w:p>
        </w:tc>
        <w:tc>
          <w:tcPr>
            <w:tcW w:w="2551" w:type="dxa"/>
            <w:vAlign w:val="center"/>
          </w:tcPr>
          <w:p>
            <w:pPr>
              <w:pStyle w:val="12"/>
            </w:pPr>
            <w:r>
              <w:t>148.00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5.70</w:t>
            </w:r>
          </w:p>
        </w:tc>
        <w:tc>
          <w:tcPr>
            <w:tcW w:w="2551" w:type="dxa"/>
            <w:vAlign w:val="center"/>
          </w:tcPr>
          <w:p>
            <w:pPr>
              <w:pStyle w:val="12"/>
            </w:pPr>
            <w:r>
              <w:t>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38.00</w:t>
            </w:r>
          </w:p>
        </w:tc>
        <w:tc>
          <w:tcPr>
            <w:tcW w:w="2551" w:type="dxa"/>
            <w:vAlign w:val="center"/>
          </w:tcPr>
          <w:p>
            <w:pPr>
              <w:pStyle w:val="12"/>
            </w:pPr>
            <w:r>
              <w:t>38.00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257.80</w:t>
            </w:r>
          </w:p>
        </w:tc>
        <w:tc>
          <w:tcPr>
            <w:tcW w:w="2551" w:type="dxa"/>
            <w:vAlign w:val="center"/>
          </w:tcPr>
          <w:p>
            <w:pPr>
              <w:pStyle w:val="12"/>
            </w:pPr>
          </w:p>
        </w:tc>
        <w:tc>
          <w:tcPr>
            <w:tcW w:w="2551" w:type="dxa"/>
            <w:vAlign w:val="center"/>
          </w:tcPr>
          <w:p>
            <w:pPr>
              <w:pStyle w:val="12"/>
            </w:pPr>
            <w:r>
              <w:t>257.80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150.00</w:t>
            </w:r>
          </w:p>
        </w:tc>
        <w:tc>
          <w:tcPr>
            <w:tcW w:w="2551" w:type="dxa"/>
            <w:vAlign w:val="center"/>
          </w:tcPr>
          <w:p>
            <w:pPr>
              <w:pStyle w:val="16"/>
            </w:pPr>
          </w:p>
        </w:tc>
        <w:tc>
          <w:tcPr>
            <w:tcW w:w="2551" w:type="dxa"/>
            <w:vAlign w:val="center"/>
          </w:tcPr>
          <w:p>
            <w:pPr>
              <w:pStyle w:val="16"/>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无极县北苏镇人民政府2025年部门预算信息公开情况说明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无极县北苏镇人民政府2025年部门预算信息公开情况说明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按照《中华人民共和国预算法》、《地方预决算公开操作规程》和《关于进一步推进预算公开工作的实施意见》规定，现将无极县北苏镇人民政府2025年部门预算公开如下：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按照预算管理有关规定，目前我省部门预算的编制实行综合预算管理，即全部收入和支出都反映的预算中。北苏镇人民政府没有下属单位，按职能划分为政府、党委、财政、计生等部门，收支包含在部门预算中。</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按照预算管理有关规定，目前部门预算的编制实行综合预算管理，即全部收入和支出都反映在预算中。无极县北苏镇人民政府机关及所属事业单位的收支包含在部门预算中。</w:t>
      </w:r>
    </w:p>
    <w:p>
      <w:pPr>
        <w:pStyle w:val="19"/>
      </w:pPr>
      <w:r>
        <w:t>1、收入说明</w:t>
      </w:r>
    </w:p>
    <w:p>
      <w:pPr>
        <w:pStyle w:val="19"/>
      </w:pPr>
      <w:r>
        <w:t>反映本部门当年全部收入。2025年预算收入1420.10万元，其中：一般公共预算收入1270.10万元，基金预算收入150.00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北苏镇人民政府年度部门预算中支出预算的总体情况。2025年支出预算1420.10万元，其中基本支出1270.10万元，包括人员经费1012.30万元和日常公用经费257.80万元；项目支出150.00万元，主要为占地补偿款150万。</w:t>
      </w:r>
    </w:p>
    <w:p>
      <w:pPr>
        <w:pStyle w:val="19"/>
      </w:pPr>
      <w:r>
        <w:t>3、比上年增减情况</w:t>
      </w:r>
    </w:p>
    <w:p>
      <w:pPr>
        <w:pStyle w:val="19"/>
      </w:pPr>
      <w:r>
        <w:t>2025年预算收支安排1420.10万元，较2024年预算减少6270.58万元，其中：基本支出减少670.45万元，主要为项目减少，厉行节约。项目支出减少5600.13万元，主要为尚太一体化项目减少。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6.00万元，其中因公出国（境）费0.00万元；公务用车购置及运维费6.00万元（其中：公务用车购置费为0.00万元，公务用车运维费6.00万元)；公务接待费0.00万元。与2024年相比增加0.00万元，增减变化的主要原因是厉行节约，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北苏镇党委、政府2023年将组织群众、宣传群众、教育群众、服务群众，切实贯彻落实</w:t>
      </w:r>
      <w:r>
        <w:rPr>
          <w:rFonts w:hint="eastAsia"/>
          <w:lang w:eastAsia="zh-CN"/>
        </w:rPr>
        <w:t>习近平新时代中国特色社会主义思想和党的十九大精神</w:t>
      </w:r>
      <w:r>
        <w:t>关于农村建设的各项方针、政策和法律法规，执行本级人民代表大会的决议和上级行政机关的决定和命令，抓重点、攻难点、补短板，群策群力，着力将北苏镇打造成为无极县对接正定新区的桥头堡。充分利用区位优势，紧抓发展机遇，提高经济发展水平，夯实经济运行质量，围绕农业、农村、农民搞好服务，主要包括四个方面：一是综合业务、事务管理方面：以服务领导和机关保障有力为目标，增强优质后勤管理水平；加强公车管理，降低运行成本，为创建节约型机关打下良好基础。采取保障镇政府工作办公环境的措施，提升服务管理水平，保障镇政府机关工作的正常运转。二是化解重大风险方面。持续抓好信访维稳工作，加大扫黑除恶排查整治力度,持续开展安全生产大排查大整治活动，有效化解不稳定隐患，维护公共安全。三是项目建设和乡村振兴方面。围绕科技服务和文化产业、城乡公共服务谋划记人居环境建设多方面，计划实施多个项目以满足人民生活需求。继续大力实施美丽乡村建设，改善农村环境面貌，提升人民生产生活条件。四是环保和装饰材料产业转型升级方面。作为推进大气污染防治的有效手段和我镇培育壮大特色主导产业的重要措施，加快传统产业转型升级。严查企业错峰生产和扬尘管控力度，打好“蓝天保卫战”。</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一、机关综合事务管理方面。</w:t>
      </w:r>
    </w:p>
    <w:p>
      <w:pPr>
        <w:pStyle w:val="23"/>
      </w:pPr>
      <w:r>
        <w:t>绩效目标：保障镇政府领导和机关工作办公环境的措施，提升服务管理水平，保障镇领导和机关工作正常运行。</w:t>
      </w:r>
    </w:p>
    <w:p>
      <w:pPr>
        <w:pStyle w:val="23"/>
      </w:pPr>
      <w:r>
        <w:t>绩效指标：综合事务管理工作完成率98%以上。</w:t>
      </w:r>
    </w:p>
    <w:p>
      <w:pPr>
        <w:pStyle w:val="23"/>
      </w:pPr>
      <w:r>
        <w:t>二、改善农村人居环境和生态环境质量</w:t>
      </w:r>
    </w:p>
    <w:p>
      <w:pPr>
        <w:pStyle w:val="23"/>
      </w:pPr>
      <w:r>
        <w:t>绩效目标：继续大力推进美丽乡村建设。对农村改厕工作进行查漏补缺，确保改厕验收顺利完成，加强各村环境卫生整治工作，并作为一项重要指标列入量化考核体系中。加快农村基础设施建设，壮大农村环境卫生治理队伍，定时定点对村内卫生进行清扫，投入垃圾箱、建立垃圾回收站，维护村容村貌。</w:t>
      </w:r>
    </w:p>
    <w:p>
      <w:pPr>
        <w:pStyle w:val="23"/>
      </w:pPr>
      <w:r>
        <w:t>绩效指标：农村垃圾收集、处理率95%以上。</w:t>
      </w:r>
    </w:p>
    <w:p>
      <w:pPr>
        <w:pStyle w:val="23"/>
      </w:pPr>
      <w:r>
        <w:t>三、防范化解重大风险方面。</w:t>
      </w:r>
    </w:p>
    <w:p>
      <w:pPr>
        <w:pStyle w:val="23"/>
      </w:pPr>
      <w:r>
        <w:t>绩效目标：持续抓好信访维稳工作，及时做好市长热线交办单推进办理工作，持续开展安全生产大排查大整治活动，指导、协调和督促各村委会排查与化解不稳定隐患，有效化解不稳定隐患，维护公共安全。</w:t>
      </w:r>
    </w:p>
    <w:p>
      <w:pPr>
        <w:pStyle w:val="23"/>
      </w:pPr>
      <w:r>
        <w:t>绩效指标：市长热线处理、回复率达到98%以上。</w:t>
      </w:r>
    </w:p>
    <w:p>
      <w:pPr>
        <w:pStyle w:val="23"/>
      </w:pPr>
      <w:r>
        <w:t>四、完善社会救助制度，做好全镇居民最低生活保障等救助工作。</w:t>
      </w:r>
    </w:p>
    <w:p>
      <w:pPr>
        <w:pStyle w:val="23"/>
      </w:pPr>
      <w:r>
        <w:t>绩效目标：完善城乡社会救助制度，实施分类救助，应保尽保，动态管理，全力做好符合条件的低保、五保、残疾人补贴等城乡居民最低生活保障工作。</w:t>
      </w:r>
    </w:p>
    <w:p>
      <w:pPr>
        <w:pStyle w:val="23"/>
      </w:pPr>
      <w:r>
        <w:t>绩效指标：群众满意度达到95%以上。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完善制度建设。充分发挥预算单位的主体作用，让预算编制主体责任不断强化，切实担负起自身责任。逐步建立健全绩效管理制度，将单位财政资金使用绩效逐渐归纳到机关效能建设的管理范围内，通过严格管理单位对项目资金的使用不断提升绩效管理工作开展的自觉性。</w:t>
      </w:r>
    </w:p>
    <w:p>
      <w:pPr>
        <w:pStyle w:val="24"/>
      </w:pPr>
      <w:r>
        <w:t>二、强化宣传培训，加强队伍建设。由于预算绩效管理工作具有专业性高，内容较复杂的特点，预算单位要培养出具备专业知识以及专业技能的人员来担任此项工作。因此，要增强预算单位人员培训力度，使得相关人员业务素质不断提高，预算绩效管理意识不断增强，为预算绩效管理工作的有效推进和开展提供人员保障，促进预算绩效管理水平进一步提升。</w:t>
      </w:r>
    </w:p>
    <w:p>
      <w:pPr>
        <w:pStyle w:val="24"/>
        <w:sectPr>
          <w:pgSz w:w="16840" w:h="11900" w:orient="landscape"/>
          <w:pgMar w:top="1361" w:right="1020" w:bottom="1361" w:left="1020" w:header="720" w:footer="720" w:gutter="0"/>
          <w:cols w:space="720" w:num="1"/>
        </w:sectPr>
      </w:pPr>
      <w:r>
        <w:t>三、加强绩效监控，确保运行质量。按上级部门要求，在绩效运行过程中加强监督，发现问题及时采取措施，确保绩效目标高质量实现。同时，预算单位要积极开展上年度部门预算绩效自评和重点评价工作，对评价中发现的问题及时整改，调整优化支出结构，提高财政资金使用效益。</w:t>
      </w:r>
    </w:p>
    <w:p>
      <w:p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 xml:space="preserve">  </w:t>
      </w:r>
    </w:p>
    <w:p>
      <w:p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1、关于提前下达2025年中央专项彩票公益金支持地方社会公益事业发展资金绩效目标表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13013025P00007010006K</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20</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t>1</w:t>
            </w:r>
            <w:r>
              <w:rPr>
                <w:rFonts w:hint="eastAsia"/>
                <w:lang w:val="en-US" w:eastAsia="zh-CN"/>
              </w:rPr>
              <w:t>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1.及时拨付，福利彩票公益金支持的项目资金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≥95全部拨付</w:t>
            </w:r>
          </w:p>
        </w:tc>
        <w:tc>
          <w:tcPr>
            <w:tcW w:w="1276" w:type="dxa"/>
            <w:vAlign w:val="center"/>
          </w:tcPr>
          <w:p>
            <w:pPr>
              <w:pStyle w:val="13"/>
            </w:pPr>
            <w:r>
              <w:t>全部拨付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≥95及时拨付</w:t>
            </w:r>
          </w:p>
        </w:tc>
        <w:tc>
          <w:tcPr>
            <w:tcW w:w="1276" w:type="dxa"/>
            <w:vAlign w:val="center"/>
          </w:tcPr>
          <w:p>
            <w:pPr>
              <w:pStyle w:val="13"/>
            </w:pPr>
            <w:r>
              <w:t>及时拨付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≥95及时拨付</w:t>
            </w:r>
          </w:p>
        </w:tc>
        <w:tc>
          <w:tcPr>
            <w:tcW w:w="1276" w:type="dxa"/>
            <w:vAlign w:val="center"/>
          </w:tcPr>
          <w:p>
            <w:pPr>
              <w:pStyle w:val="13"/>
            </w:pPr>
            <w:r>
              <w:t>及时拨付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≥95全部拨付</w:t>
            </w:r>
          </w:p>
        </w:tc>
        <w:tc>
          <w:tcPr>
            <w:tcW w:w="1276" w:type="dxa"/>
            <w:vAlign w:val="center"/>
          </w:tcPr>
          <w:p>
            <w:pPr>
              <w:pStyle w:val="13"/>
            </w:pPr>
            <w:r>
              <w:t>全部拨付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≥95经济效益</w:t>
            </w:r>
          </w:p>
        </w:tc>
        <w:tc>
          <w:tcPr>
            <w:tcW w:w="1276" w:type="dxa"/>
            <w:vAlign w:val="center"/>
          </w:tcPr>
          <w:p>
            <w:pPr>
              <w:pStyle w:val="13"/>
            </w:pPr>
            <w:r>
              <w:t>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≥95社会效益</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≥95生态效益</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≥95社会效益</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≥95农户满意</w:t>
            </w:r>
          </w:p>
        </w:tc>
        <w:tc>
          <w:tcPr>
            <w:tcW w:w="1276" w:type="dxa"/>
            <w:vAlign w:val="center"/>
          </w:tcPr>
          <w:p>
            <w:pPr>
              <w:pStyle w:val="13"/>
            </w:pPr>
            <w:r>
              <w:t>农户满意</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934无极县北苏镇人民政府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无极县北苏镇人民政府本级小计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关于提前下达2025年中央专项彩票公益金支持地方社会公益事业发展资金</w:t>
            </w:r>
          </w:p>
        </w:tc>
        <w:tc>
          <w:tcPr>
            <w:tcW w:w="964" w:type="dxa"/>
            <w:vAlign w:val="center"/>
          </w:tcPr>
          <w:p>
            <w:pPr>
              <w:pStyle w:val="12"/>
            </w:pPr>
            <w:r>
              <w:t>150.00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150.00</w:t>
            </w: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r>
              <w:t>150.00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无极县北苏镇人民政府（含所属单位）上年末固定资产金额为589.31</w:t>
      </w:r>
      <w:bookmarkStart w:id="20" w:name="_GoBack"/>
      <w:bookmarkEnd w:id="20"/>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934无极县北苏镇人民政府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r>
              <w:t>589.31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7260</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352.67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2200</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172.89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49.85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338</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186.79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433B76"/>
    <w:rsid w:val="17DD7A61"/>
    <w:rsid w:val="2DA70E26"/>
    <w:rsid w:val="33F966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2025-02-06T10:47:00Z</dcterms:created>
  <dc:creator>lenovo</dc:creator>
  <cp:lastModifiedBy>浮生</cp:lastModifiedBy>
  <dcterms:modified xsi:type="dcterms:W3CDTF">2025-10-31T07:22:01Z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16A41B20261E403192E8FC08D4F6D648</vt:lpwstr>
  </property>
</Properties>
</file>