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940无极县南流乡人民政府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812.90</w:t>
            </w:r>
          </w:p>
        </w:tc>
        <w:tc>
          <w:tcPr>
            <w:tcW w:w="4535" w:type="dxa"/>
            <w:vAlign w:val="center"/>
          </w:tcPr>
          <w:p>
            <w:pPr>
              <w:pStyle w:val="13"/>
            </w:pPr>
            <w:r>
              <w:t>一、一般公共服务支出</w:t>
            </w:r>
          </w:p>
        </w:tc>
        <w:tc>
          <w:tcPr>
            <w:tcW w:w="2126" w:type="dxa"/>
            <w:vAlign w:val="center"/>
          </w:tcPr>
          <w:p>
            <w:pPr>
              <w:pStyle w:val="12"/>
            </w:pPr>
            <w:r>
              <w:t>547.95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189.00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1001.90</w:t>
            </w:r>
          </w:p>
        </w:tc>
        <w:tc>
          <w:tcPr>
            <w:tcW w:w="4535" w:type="dxa"/>
            <w:vAlign w:val="center"/>
          </w:tcPr>
          <w:p>
            <w:pPr>
              <w:pStyle w:val="15"/>
            </w:pPr>
            <w:r>
              <w:t>本年支出合计</w:t>
            </w:r>
          </w:p>
        </w:tc>
        <w:tc>
          <w:tcPr>
            <w:tcW w:w="2126" w:type="dxa"/>
            <w:vAlign w:val="center"/>
          </w:tcPr>
          <w:p>
            <w:pPr>
              <w:pStyle w:val="16"/>
            </w:pPr>
            <w:r>
              <w:t>1001.90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1001.90</w:t>
            </w:r>
          </w:p>
        </w:tc>
        <w:tc>
          <w:tcPr>
            <w:tcW w:w="4535" w:type="dxa"/>
            <w:vAlign w:val="center"/>
          </w:tcPr>
          <w:p>
            <w:pPr>
              <w:pStyle w:val="15"/>
            </w:pPr>
            <w:r>
              <w:t>支出总计</w:t>
            </w:r>
          </w:p>
        </w:tc>
        <w:tc>
          <w:tcPr>
            <w:tcW w:w="2126" w:type="dxa"/>
            <w:vAlign w:val="center"/>
          </w:tcPr>
          <w:p>
            <w:pPr>
              <w:pStyle w:val="16"/>
            </w:pPr>
            <w:r>
              <w:t>1001.90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940无极县南流乡人民政府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1001.90</w:t>
            </w:r>
          </w:p>
        </w:tc>
        <w:tc>
          <w:tcPr>
            <w:tcW w:w="1134" w:type="dxa"/>
            <w:vAlign w:val="center"/>
          </w:tcPr>
          <w:p>
            <w:pPr>
              <w:pStyle w:val="16"/>
            </w:pPr>
            <w:r>
              <w:t>1001.90</w:t>
            </w:r>
          </w:p>
        </w:tc>
        <w:tc>
          <w:tcPr>
            <w:tcW w:w="1134" w:type="dxa"/>
            <w:vAlign w:val="center"/>
          </w:tcPr>
          <w:p>
            <w:pPr>
              <w:pStyle w:val="16"/>
            </w:pPr>
            <w:r>
              <w:t>1001.90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547.95</w:t>
            </w:r>
          </w:p>
        </w:tc>
        <w:tc>
          <w:tcPr>
            <w:tcW w:w="1134" w:type="dxa"/>
            <w:vAlign w:val="center"/>
          </w:tcPr>
          <w:p>
            <w:pPr>
              <w:pStyle w:val="12"/>
            </w:pPr>
            <w:r>
              <w:t>547.95</w:t>
            </w:r>
          </w:p>
        </w:tc>
        <w:tc>
          <w:tcPr>
            <w:tcW w:w="1134" w:type="dxa"/>
            <w:vAlign w:val="center"/>
          </w:tcPr>
          <w:p>
            <w:pPr>
              <w:pStyle w:val="12"/>
            </w:pPr>
            <w:r>
              <w:t>547.95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547.95</w:t>
            </w:r>
          </w:p>
        </w:tc>
        <w:tc>
          <w:tcPr>
            <w:tcW w:w="1134" w:type="dxa"/>
            <w:vAlign w:val="center"/>
          </w:tcPr>
          <w:p>
            <w:pPr>
              <w:pStyle w:val="12"/>
            </w:pPr>
            <w:r>
              <w:t>547.95</w:t>
            </w:r>
          </w:p>
        </w:tc>
        <w:tc>
          <w:tcPr>
            <w:tcW w:w="1134" w:type="dxa"/>
            <w:vAlign w:val="center"/>
          </w:tcPr>
          <w:p>
            <w:pPr>
              <w:pStyle w:val="12"/>
            </w:pPr>
            <w:r>
              <w:t>547.95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547.95</w:t>
            </w:r>
          </w:p>
        </w:tc>
        <w:tc>
          <w:tcPr>
            <w:tcW w:w="1134" w:type="dxa"/>
            <w:vAlign w:val="center"/>
          </w:tcPr>
          <w:p>
            <w:pPr>
              <w:pStyle w:val="12"/>
            </w:pPr>
            <w:r>
              <w:t>547.95</w:t>
            </w:r>
          </w:p>
        </w:tc>
        <w:tc>
          <w:tcPr>
            <w:tcW w:w="1134" w:type="dxa"/>
            <w:vAlign w:val="center"/>
          </w:tcPr>
          <w:p>
            <w:pPr>
              <w:pStyle w:val="12"/>
            </w:pPr>
            <w:r>
              <w:t>547.95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115.95</w:t>
            </w:r>
          </w:p>
        </w:tc>
        <w:tc>
          <w:tcPr>
            <w:tcW w:w="1134" w:type="dxa"/>
            <w:vAlign w:val="center"/>
          </w:tcPr>
          <w:p>
            <w:pPr>
              <w:pStyle w:val="12"/>
            </w:pPr>
            <w:r>
              <w:t>115.95</w:t>
            </w:r>
          </w:p>
        </w:tc>
        <w:tc>
          <w:tcPr>
            <w:tcW w:w="1134" w:type="dxa"/>
            <w:vAlign w:val="center"/>
          </w:tcPr>
          <w:p>
            <w:pPr>
              <w:pStyle w:val="12"/>
            </w:pPr>
            <w:r>
              <w:t>115.95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111.50</w:t>
            </w:r>
          </w:p>
        </w:tc>
        <w:tc>
          <w:tcPr>
            <w:tcW w:w="1134" w:type="dxa"/>
            <w:vAlign w:val="center"/>
          </w:tcPr>
          <w:p>
            <w:pPr>
              <w:pStyle w:val="12"/>
            </w:pPr>
            <w:r>
              <w:t>111.50</w:t>
            </w:r>
          </w:p>
        </w:tc>
        <w:tc>
          <w:tcPr>
            <w:tcW w:w="1134" w:type="dxa"/>
            <w:vAlign w:val="center"/>
          </w:tcPr>
          <w:p>
            <w:pPr>
              <w:pStyle w:val="12"/>
            </w:pPr>
            <w:r>
              <w:t>111.50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4.45</w:t>
            </w:r>
          </w:p>
        </w:tc>
        <w:tc>
          <w:tcPr>
            <w:tcW w:w="1134" w:type="dxa"/>
            <w:vAlign w:val="center"/>
          </w:tcPr>
          <w:p>
            <w:pPr>
              <w:pStyle w:val="12"/>
            </w:pPr>
            <w:r>
              <w:t>4.45</w:t>
            </w:r>
          </w:p>
        </w:tc>
        <w:tc>
          <w:tcPr>
            <w:tcW w:w="1134" w:type="dxa"/>
            <w:vAlign w:val="center"/>
          </w:tcPr>
          <w:p>
            <w:pPr>
              <w:pStyle w:val="12"/>
            </w:pPr>
            <w:r>
              <w:t>4.45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2.25</w:t>
            </w:r>
          </w:p>
        </w:tc>
        <w:tc>
          <w:tcPr>
            <w:tcW w:w="1134" w:type="dxa"/>
            <w:vAlign w:val="center"/>
          </w:tcPr>
          <w:p>
            <w:pPr>
              <w:pStyle w:val="12"/>
            </w:pPr>
            <w:r>
              <w:t>2.25</w:t>
            </w:r>
          </w:p>
        </w:tc>
        <w:tc>
          <w:tcPr>
            <w:tcW w:w="1134" w:type="dxa"/>
            <w:vAlign w:val="center"/>
          </w:tcPr>
          <w:p>
            <w:pPr>
              <w:pStyle w:val="12"/>
            </w:pPr>
            <w:r>
              <w:t>2.25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299.00</w:t>
            </w:r>
          </w:p>
        </w:tc>
        <w:tc>
          <w:tcPr>
            <w:tcW w:w="1134" w:type="dxa"/>
            <w:vAlign w:val="center"/>
          </w:tcPr>
          <w:p>
            <w:pPr>
              <w:pStyle w:val="12"/>
            </w:pPr>
            <w:r>
              <w:t>299.00</w:t>
            </w:r>
          </w:p>
        </w:tc>
        <w:tc>
          <w:tcPr>
            <w:tcW w:w="1134" w:type="dxa"/>
            <w:vAlign w:val="center"/>
          </w:tcPr>
          <w:p>
            <w:pPr>
              <w:pStyle w:val="12"/>
            </w:pPr>
            <w:r>
              <w:t>299.00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189.00</w:t>
            </w:r>
          </w:p>
        </w:tc>
        <w:tc>
          <w:tcPr>
            <w:tcW w:w="1134" w:type="dxa"/>
            <w:vAlign w:val="center"/>
          </w:tcPr>
          <w:p>
            <w:pPr>
              <w:pStyle w:val="12"/>
            </w:pPr>
            <w:r>
              <w:t>189.00</w:t>
            </w:r>
          </w:p>
        </w:tc>
        <w:tc>
          <w:tcPr>
            <w:tcW w:w="1134" w:type="dxa"/>
            <w:vAlign w:val="center"/>
          </w:tcPr>
          <w:p>
            <w:pPr>
              <w:pStyle w:val="12"/>
            </w:pPr>
            <w:r>
              <w:t>189.00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189.00</w:t>
            </w:r>
          </w:p>
        </w:tc>
        <w:tc>
          <w:tcPr>
            <w:tcW w:w="1134" w:type="dxa"/>
            <w:vAlign w:val="center"/>
          </w:tcPr>
          <w:p>
            <w:pPr>
              <w:pStyle w:val="12"/>
            </w:pPr>
            <w:r>
              <w:t>189.00</w:t>
            </w:r>
          </w:p>
        </w:tc>
        <w:tc>
          <w:tcPr>
            <w:tcW w:w="1134" w:type="dxa"/>
            <w:vAlign w:val="center"/>
          </w:tcPr>
          <w:p>
            <w:pPr>
              <w:pStyle w:val="12"/>
            </w:pPr>
            <w:r>
              <w:t>189.00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1001.90</w:t>
            </w:r>
          </w:p>
        </w:tc>
        <w:tc>
          <w:tcPr>
            <w:tcW w:w="1361" w:type="dxa"/>
            <w:vAlign w:val="center"/>
          </w:tcPr>
          <w:p>
            <w:pPr>
              <w:pStyle w:val="16"/>
            </w:pPr>
            <w:r>
              <w:t>702.90</w:t>
            </w:r>
          </w:p>
        </w:tc>
        <w:tc>
          <w:tcPr>
            <w:tcW w:w="1361" w:type="dxa"/>
            <w:vAlign w:val="center"/>
          </w:tcPr>
          <w:p>
            <w:pPr>
              <w:pStyle w:val="16"/>
            </w:pPr>
            <w:r>
              <w:t>299.00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547.95</w:t>
            </w:r>
          </w:p>
        </w:tc>
        <w:tc>
          <w:tcPr>
            <w:tcW w:w="1361" w:type="dxa"/>
            <w:vAlign w:val="center"/>
          </w:tcPr>
          <w:p>
            <w:pPr>
              <w:pStyle w:val="12"/>
            </w:pPr>
            <w:r>
              <w:t>547.95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547.95</w:t>
            </w:r>
          </w:p>
        </w:tc>
        <w:tc>
          <w:tcPr>
            <w:tcW w:w="1361" w:type="dxa"/>
            <w:vAlign w:val="center"/>
          </w:tcPr>
          <w:p>
            <w:pPr>
              <w:pStyle w:val="12"/>
            </w:pPr>
            <w:r>
              <w:t>547.95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547.95</w:t>
            </w:r>
          </w:p>
        </w:tc>
        <w:tc>
          <w:tcPr>
            <w:tcW w:w="1361" w:type="dxa"/>
            <w:vAlign w:val="center"/>
          </w:tcPr>
          <w:p>
            <w:pPr>
              <w:pStyle w:val="12"/>
            </w:pPr>
            <w:r>
              <w:t>547.95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115.95</w:t>
            </w:r>
          </w:p>
        </w:tc>
        <w:tc>
          <w:tcPr>
            <w:tcW w:w="1361" w:type="dxa"/>
            <w:vAlign w:val="center"/>
          </w:tcPr>
          <w:p>
            <w:pPr>
              <w:pStyle w:val="12"/>
            </w:pPr>
            <w:r>
              <w:t>115.95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111.50</w:t>
            </w:r>
          </w:p>
        </w:tc>
        <w:tc>
          <w:tcPr>
            <w:tcW w:w="1361" w:type="dxa"/>
            <w:vAlign w:val="center"/>
          </w:tcPr>
          <w:p>
            <w:pPr>
              <w:pStyle w:val="12"/>
            </w:pPr>
            <w:r>
              <w:t>111.50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95.00</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4.45</w:t>
            </w:r>
          </w:p>
        </w:tc>
        <w:tc>
          <w:tcPr>
            <w:tcW w:w="1361" w:type="dxa"/>
            <w:vAlign w:val="center"/>
          </w:tcPr>
          <w:p>
            <w:pPr>
              <w:pStyle w:val="12"/>
            </w:pPr>
            <w:r>
              <w:t>4.45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2.20</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2.25</w:t>
            </w:r>
          </w:p>
        </w:tc>
        <w:tc>
          <w:tcPr>
            <w:tcW w:w="1361" w:type="dxa"/>
            <w:vAlign w:val="center"/>
          </w:tcPr>
          <w:p>
            <w:pPr>
              <w:pStyle w:val="12"/>
            </w:pPr>
            <w:r>
              <w:t>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39.00</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39.00</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39.00</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299.00</w:t>
            </w:r>
          </w:p>
        </w:tc>
        <w:tc>
          <w:tcPr>
            <w:tcW w:w="1361" w:type="dxa"/>
            <w:vAlign w:val="center"/>
          </w:tcPr>
          <w:p>
            <w:pPr>
              <w:pStyle w:val="12"/>
            </w:pPr>
          </w:p>
        </w:tc>
        <w:tc>
          <w:tcPr>
            <w:tcW w:w="1361" w:type="dxa"/>
            <w:vAlign w:val="center"/>
          </w:tcPr>
          <w:p>
            <w:pPr>
              <w:pStyle w:val="12"/>
            </w:pPr>
            <w:r>
              <w:t>299.00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189.00</w:t>
            </w:r>
          </w:p>
        </w:tc>
        <w:tc>
          <w:tcPr>
            <w:tcW w:w="1361" w:type="dxa"/>
            <w:vAlign w:val="center"/>
          </w:tcPr>
          <w:p>
            <w:pPr>
              <w:pStyle w:val="12"/>
            </w:pPr>
          </w:p>
        </w:tc>
        <w:tc>
          <w:tcPr>
            <w:tcW w:w="1361" w:type="dxa"/>
            <w:vAlign w:val="center"/>
          </w:tcPr>
          <w:p>
            <w:pPr>
              <w:pStyle w:val="12"/>
            </w:pPr>
            <w:r>
              <w:t>189.00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189.00</w:t>
            </w:r>
          </w:p>
        </w:tc>
        <w:tc>
          <w:tcPr>
            <w:tcW w:w="1361" w:type="dxa"/>
            <w:vAlign w:val="center"/>
          </w:tcPr>
          <w:p>
            <w:pPr>
              <w:pStyle w:val="12"/>
            </w:pPr>
          </w:p>
        </w:tc>
        <w:tc>
          <w:tcPr>
            <w:tcW w:w="1361" w:type="dxa"/>
            <w:vAlign w:val="center"/>
          </w:tcPr>
          <w:p>
            <w:pPr>
              <w:pStyle w:val="12"/>
            </w:pPr>
            <w:r>
              <w:t>189.00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812.90</w:t>
            </w:r>
          </w:p>
        </w:tc>
        <w:tc>
          <w:tcPr>
            <w:tcW w:w="3402" w:type="dxa"/>
            <w:vAlign w:val="center"/>
          </w:tcPr>
          <w:p>
            <w:pPr>
              <w:pStyle w:val="13"/>
            </w:pPr>
            <w:r>
              <w:t>一、一般公共服务支出</w:t>
            </w:r>
          </w:p>
        </w:tc>
        <w:tc>
          <w:tcPr>
            <w:tcW w:w="1474" w:type="dxa"/>
            <w:vAlign w:val="center"/>
          </w:tcPr>
          <w:p>
            <w:pPr>
              <w:pStyle w:val="12"/>
            </w:pPr>
            <w:r>
              <w:t>547.95</w:t>
            </w:r>
          </w:p>
        </w:tc>
        <w:tc>
          <w:tcPr>
            <w:tcW w:w="1474" w:type="dxa"/>
            <w:vAlign w:val="center"/>
          </w:tcPr>
          <w:p>
            <w:pPr>
              <w:pStyle w:val="12"/>
            </w:pPr>
            <w:r>
              <w:t>547.95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189.00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115.95</w:t>
            </w:r>
          </w:p>
        </w:tc>
        <w:tc>
          <w:tcPr>
            <w:tcW w:w="1474" w:type="dxa"/>
            <w:vAlign w:val="center"/>
          </w:tcPr>
          <w:p>
            <w:pPr>
              <w:pStyle w:val="12"/>
            </w:pPr>
            <w:r>
              <w:t>115.95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39.00</w:t>
            </w:r>
          </w:p>
        </w:tc>
        <w:tc>
          <w:tcPr>
            <w:tcW w:w="1474" w:type="dxa"/>
            <w:vAlign w:val="center"/>
          </w:tcPr>
          <w:p>
            <w:pPr>
              <w:pStyle w:val="12"/>
            </w:pPr>
            <w:r>
              <w:t>39.00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299.00</w:t>
            </w:r>
          </w:p>
        </w:tc>
        <w:tc>
          <w:tcPr>
            <w:tcW w:w="1474" w:type="dxa"/>
            <w:vAlign w:val="center"/>
          </w:tcPr>
          <w:p>
            <w:pPr>
              <w:pStyle w:val="12"/>
            </w:pPr>
            <w:r>
              <w:t>110.00</w:t>
            </w:r>
          </w:p>
        </w:tc>
        <w:tc>
          <w:tcPr>
            <w:tcW w:w="1474" w:type="dxa"/>
            <w:vAlign w:val="center"/>
          </w:tcPr>
          <w:p>
            <w:pPr>
              <w:pStyle w:val="12"/>
            </w:pPr>
            <w:r>
              <w:t>189.00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1001.90</w:t>
            </w:r>
          </w:p>
        </w:tc>
        <w:tc>
          <w:tcPr>
            <w:tcW w:w="3402" w:type="dxa"/>
            <w:vAlign w:val="center"/>
          </w:tcPr>
          <w:p>
            <w:pPr>
              <w:pStyle w:val="15"/>
            </w:pPr>
            <w:r>
              <w:t>本年支出合计</w:t>
            </w:r>
          </w:p>
        </w:tc>
        <w:tc>
          <w:tcPr>
            <w:tcW w:w="1474" w:type="dxa"/>
            <w:vAlign w:val="center"/>
          </w:tcPr>
          <w:p>
            <w:pPr>
              <w:pStyle w:val="16"/>
            </w:pPr>
            <w:r>
              <w:t>1001.90</w:t>
            </w:r>
          </w:p>
        </w:tc>
        <w:tc>
          <w:tcPr>
            <w:tcW w:w="1474" w:type="dxa"/>
            <w:vAlign w:val="center"/>
          </w:tcPr>
          <w:p>
            <w:pPr>
              <w:pStyle w:val="16"/>
            </w:pPr>
            <w:r>
              <w:t>812.90</w:t>
            </w:r>
          </w:p>
        </w:tc>
        <w:tc>
          <w:tcPr>
            <w:tcW w:w="1474" w:type="dxa"/>
            <w:vAlign w:val="center"/>
          </w:tcPr>
          <w:p>
            <w:pPr>
              <w:pStyle w:val="16"/>
            </w:pPr>
            <w:r>
              <w:t>189.00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1001.90</w:t>
            </w:r>
          </w:p>
        </w:tc>
        <w:tc>
          <w:tcPr>
            <w:tcW w:w="3402" w:type="dxa"/>
            <w:vAlign w:val="center"/>
          </w:tcPr>
          <w:p>
            <w:pPr>
              <w:pStyle w:val="15"/>
            </w:pPr>
            <w:r>
              <w:t>支出总计</w:t>
            </w:r>
          </w:p>
        </w:tc>
        <w:tc>
          <w:tcPr>
            <w:tcW w:w="1474" w:type="dxa"/>
            <w:vAlign w:val="center"/>
          </w:tcPr>
          <w:p>
            <w:pPr>
              <w:pStyle w:val="16"/>
            </w:pPr>
            <w:r>
              <w:t>1001.90</w:t>
            </w:r>
          </w:p>
        </w:tc>
        <w:tc>
          <w:tcPr>
            <w:tcW w:w="1474" w:type="dxa"/>
            <w:vAlign w:val="center"/>
          </w:tcPr>
          <w:p>
            <w:pPr>
              <w:pStyle w:val="16"/>
            </w:pPr>
            <w:r>
              <w:t>812.90</w:t>
            </w:r>
          </w:p>
        </w:tc>
        <w:tc>
          <w:tcPr>
            <w:tcW w:w="1474" w:type="dxa"/>
            <w:vAlign w:val="center"/>
          </w:tcPr>
          <w:p>
            <w:pPr>
              <w:pStyle w:val="16"/>
            </w:pPr>
            <w:r>
              <w:t>189.00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812.90</w:t>
            </w:r>
          </w:p>
        </w:tc>
        <w:tc>
          <w:tcPr>
            <w:tcW w:w="2551" w:type="dxa"/>
            <w:vAlign w:val="center"/>
          </w:tcPr>
          <w:p>
            <w:pPr>
              <w:pStyle w:val="16"/>
            </w:pPr>
            <w:r>
              <w:t>702.90</w:t>
            </w:r>
          </w:p>
        </w:tc>
        <w:tc>
          <w:tcPr>
            <w:tcW w:w="2551" w:type="dxa"/>
            <w:vAlign w:val="center"/>
          </w:tcPr>
          <w:p>
            <w:pPr>
              <w:pStyle w:val="16"/>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547.95</w:t>
            </w:r>
          </w:p>
        </w:tc>
        <w:tc>
          <w:tcPr>
            <w:tcW w:w="2551" w:type="dxa"/>
            <w:vAlign w:val="center"/>
          </w:tcPr>
          <w:p>
            <w:pPr>
              <w:pStyle w:val="12"/>
            </w:pPr>
            <w:r>
              <w:t>547.95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547.95</w:t>
            </w:r>
          </w:p>
        </w:tc>
        <w:tc>
          <w:tcPr>
            <w:tcW w:w="2551" w:type="dxa"/>
            <w:vAlign w:val="center"/>
          </w:tcPr>
          <w:p>
            <w:pPr>
              <w:pStyle w:val="12"/>
            </w:pPr>
            <w:r>
              <w:t>547.95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547.95</w:t>
            </w:r>
          </w:p>
        </w:tc>
        <w:tc>
          <w:tcPr>
            <w:tcW w:w="2551" w:type="dxa"/>
            <w:vAlign w:val="center"/>
          </w:tcPr>
          <w:p>
            <w:pPr>
              <w:pStyle w:val="12"/>
            </w:pPr>
            <w:r>
              <w:t>547.95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115.95</w:t>
            </w:r>
          </w:p>
        </w:tc>
        <w:tc>
          <w:tcPr>
            <w:tcW w:w="2551" w:type="dxa"/>
            <w:vAlign w:val="center"/>
          </w:tcPr>
          <w:p>
            <w:pPr>
              <w:pStyle w:val="12"/>
            </w:pPr>
            <w:r>
              <w:t>115.95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111.50</w:t>
            </w:r>
          </w:p>
        </w:tc>
        <w:tc>
          <w:tcPr>
            <w:tcW w:w="2551" w:type="dxa"/>
            <w:vAlign w:val="center"/>
          </w:tcPr>
          <w:p>
            <w:pPr>
              <w:pStyle w:val="12"/>
            </w:pPr>
            <w:r>
              <w:t>111.50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4.45</w:t>
            </w:r>
          </w:p>
        </w:tc>
        <w:tc>
          <w:tcPr>
            <w:tcW w:w="2551" w:type="dxa"/>
            <w:vAlign w:val="center"/>
          </w:tcPr>
          <w:p>
            <w:pPr>
              <w:pStyle w:val="12"/>
            </w:pPr>
            <w:r>
              <w:t>4.45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2.25</w:t>
            </w:r>
          </w:p>
        </w:tc>
        <w:tc>
          <w:tcPr>
            <w:tcW w:w="2551" w:type="dxa"/>
            <w:vAlign w:val="center"/>
          </w:tcPr>
          <w:p>
            <w:pPr>
              <w:pStyle w:val="12"/>
            </w:pPr>
            <w:r>
              <w:t>2.25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702.90</w:t>
            </w:r>
          </w:p>
        </w:tc>
        <w:tc>
          <w:tcPr>
            <w:tcW w:w="2551" w:type="dxa"/>
            <w:vAlign w:val="center"/>
          </w:tcPr>
          <w:p>
            <w:pPr>
              <w:pStyle w:val="16"/>
            </w:pPr>
            <w:r>
              <w:t>638.40</w:t>
            </w:r>
          </w:p>
        </w:tc>
        <w:tc>
          <w:tcPr>
            <w:tcW w:w="2551" w:type="dxa"/>
            <w:vAlign w:val="center"/>
          </w:tcPr>
          <w:p>
            <w:pPr>
              <w:pStyle w:val="16"/>
            </w:pPr>
            <w:r>
              <w:t>64.50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622.15</w:t>
            </w:r>
          </w:p>
        </w:tc>
        <w:tc>
          <w:tcPr>
            <w:tcW w:w="2551" w:type="dxa"/>
            <w:vAlign w:val="center"/>
          </w:tcPr>
          <w:p>
            <w:pPr>
              <w:pStyle w:val="12"/>
            </w:pPr>
            <w:r>
              <w:t>622.15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231.00</w:t>
            </w:r>
          </w:p>
        </w:tc>
        <w:tc>
          <w:tcPr>
            <w:tcW w:w="2551" w:type="dxa"/>
            <w:vAlign w:val="center"/>
          </w:tcPr>
          <w:p>
            <w:pPr>
              <w:pStyle w:val="12"/>
            </w:pPr>
            <w:r>
              <w:t>231.00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105.00</w:t>
            </w:r>
          </w:p>
        </w:tc>
        <w:tc>
          <w:tcPr>
            <w:tcW w:w="2551" w:type="dxa"/>
            <w:vAlign w:val="center"/>
          </w:tcPr>
          <w:p>
            <w:pPr>
              <w:pStyle w:val="12"/>
            </w:pPr>
            <w:r>
              <w:t>105.00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56.20</w:t>
            </w:r>
          </w:p>
        </w:tc>
        <w:tc>
          <w:tcPr>
            <w:tcW w:w="2551" w:type="dxa"/>
            <w:vAlign w:val="center"/>
          </w:tcPr>
          <w:p>
            <w:pPr>
              <w:pStyle w:val="12"/>
            </w:pPr>
            <w:r>
              <w:t>56.20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67.50</w:t>
            </w:r>
          </w:p>
        </w:tc>
        <w:tc>
          <w:tcPr>
            <w:tcW w:w="2551" w:type="dxa"/>
            <w:vAlign w:val="center"/>
          </w:tcPr>
          <w:p>
            <w:pPr>
              <w:pStyle w:val="12"/>
            </w:pPr>
            <w:r>
              <w:t>67.50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4.45</w:t>
            </w:r>
          </w:p>
        </w:tc>
        <w:tc>
          <w:tcPr>
            <w:tcW w:w="2551" w:type="dxa"/>
            <w:vAlign w:val="center"/>
          </w:tcPr>
          <w:p>
            <w:pPr>
              <w:pStyle w:val="12"/>
            </w:pPr>
            <w:r>
              <w:t>4.45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64.50</w:t>
            </w:r>
          </w:p>
        </w:tc>
        <w:tc>
          <w:tcPr>
            <w:tcW w:w="2551" w:type="dxa"/>
            <w:vAlign w:val="center"/>
          </w:tcPr>
          <w:p>
            <w:pPr>
              <w:pStyle w:val="12"/>
            </w:pPr>
          </w:p>
        </w:tc>
        <w:tc>
          <w:tcPr>
            <w:tcW w:w="2551" w:type="dxa"/>
            <w:vAlign w:val="center"/>
          </w:tcPr>
          <w:p>
            <w:pPr>
              <w:pStyle w:val="12"/>
            </w:pPr>
            <w:r>
              <w:t>64.50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22.50</w:t>
            </w:r>
          </w:p>
        </w:tc>
        <w:tc>
          <w:tcPr>
            <w:tcW w:w="2551" w:type="dxa"/>
            <w:vAlign w:val="center"/>
          </w:tcPr>
          <w:p>
            <w:pPr>
              <w:pStyle w:val="12"/>
            </w:pPr>
          </w:p>
        </w:tc>
        <w:tc>
          <w:tcPr>
            <w:tcW w:w="2551" w:type="dxa"/>
            <w:vAlign w:val="center"/>
          </w:tcPr>
          <w:p>
            <w:pPr>
              <w:pStyle w:val="12"/>
            </w:pPr>
            <w:r>
              <w:t>22.50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26.50</w:t>
            </w:r>
          </w:p>
        </w:tc>
        <w:tc>
          <w:tcPr>
            <w:tcW w:w="2551" w:type="dxa"/>
            <w:vAlign w:val="center"/>
          </w:tcPr>
          <w:p>
            <w:pPr>
              <w:pStyle w:val="12"/>
            </w:pPr>
          </w:p>
        </w:tc>
        <w:tc>
          <w:tcPr>
            <w:tcW w:w="2551" w:type="dxa"/>
            <w:vAlign w:val="center"/>
          </w:tcPr>
          <w:p>
            <w:pPr>
              <w:pStyle w:val="12"/>
            </w:pPr>
            <w:r>
              <w:t>26.50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16.25</w:t>
            </w:r>
          </w:p>
        </w:tc>
        <w:tc>
          <w:tcPr>
            <w:tcW w:w="2551" w:type="dxa"/>
            <w:vAlign w:val="center"/>
          </w:tcPr>
          <w:p>
            <w:pPr>
              <w:pStyle w:val="12"/>
            </w:pPr>
            <w:r>
              <w:t>16.25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16.25</w:t>
            </w:r>
          </w:p>
        </w:tc>
        <w:tc>
          <w:tcPr>
            <w:tcW w:w="2551" w:type="dxa"/>
            <w:vAlign w:val="center"/>
          </w:tcPr>
          <w:p>
            <w:pPr>
              <w:pStyle w:val="12"/>
            </w:pPr>
            <w:r>
              <w:t>16.25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189.00</w:t>
            </w:r>
          </w:p>
        </w:tc>
        <w:tc>
          <w:tcPr>
            <w:tcW w:w="2551" w:type="dxa"/>
            <w:vAlign w:val="center"/>
          </w:tcPr>
          <w:p>
            <w:pPr>
              <w:pStyle w:val="16"/>
            </w:pPr>
          </w:p>
        </w:tc>
        <w:tc>
          <w:tcPr>
            <w:tcW w:w="2551" w:type="dxa"/>
            <w:vAlign w:val="center"/>
          </w:tcPr>
          <w:p>
            <w:pPr>
              <w:pStyle w:val="16"/>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189.00</w:t>
            </w:r>
          </w:p>
        </w:tc>
        <w:tc>
          <w:tcPr>
            <w:tcW w:w="2551" w:type="dxa"/>
            <w:vAlign w:val="center"/>
          </w:tcPr>
          <w:p>
            <w:pPr>
              <w:pStyle w:val="12"/>
            </w:pPr>
          </w:p>
        </w:tc>
        <w:tc>
          <w:tcPr>
            <w:tcW w:w="2551" w:type="dxa"/>
            <w:vAlign w:val="center"/>
          </w:tcPr>
          <w:p>
            <w:pPr>
              <w:pStyle w:val="12"/>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189.00</w:t>
            </w:r>
          </w:p>
        </w:tc>
        <w:tc>
          <w:tcPr>
            <w:tcW w:w="2551" w:type="dxa"/>
            <w:vAlign w:val="center"/>
          </w:tcPr>
          <w:p>
            <w:pPr>
              <w:pStyle w:val="12"/>
            </w:pPr>
          </w:p>
        </w:tc>
        <w:tc>
          <w:tcPr>
            <w:tcW w:w="2551" w:type="dxa"/>
            <w:vAlign w:val="center"/>
          </w:tcPr>
          <w:p>
            <w:pPr>
              <w:pStyle w:val="12"/>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189.00</w:t>
            </w:r>
          </w:p>
        </w:tc>
        <w:tc>
          <w:tcPr>
            <w:tcW w:w="2551" w:type="dxa"/>
            <w:vAlign w:val="center"/>
          </w:tcPr>
          <w:p>
            <w:pPr>
              <w:pStyle w:val="12"/>
            </w:pPr>
          </w:p>
        </w:tc>
        <w:tc>
          <w:tcPr>
            <w:tcW w:w="2551" w:type="dxa"/>
            <w:vAlign w:val="center"/>
          </w:tcPr>
          <w:p>
            <w:pPr>
              <w:pStyle w:val="12"/>
            </w:pPr>
            <w:r>
              <w:t>189.00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无极县南流乡人民政府2025年部门预算信息公开情况说明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无极县南流乡人民政府2025年部门预算信息公开情况说明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按照《中华人民共和国预算法》、《地方预决算公开操作规程》和《关于进一步推进预算公开工作的实施意见》规定，现将无极县南流乡人民政府2025年部门预算公开如下：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18"/>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脱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无极县南流乡人民政府本级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按照预算管理有关规定，目前部门预算的编制实行综合预算管理，即全部收入和支出都反映在预算中。无极县南流乡人民政府机关及所属事业单位的收支包含在部门预算中。</w:t>
      </w:r>
    </w:p>
    <w:p>
      <w:pPr>
        <w:pStyle w:val="19"/>
      </w:pPr>
      <w:r>
        <w:t>1、收入说明</w:t>
      </w:r>
    </w:p>
    <w:p>
      <w:pPr>
        <w:pStyle w:val="19"/>
      </w:pPr>
      <w:r>
        <w:t>反映本部门当年全部收入。2025年预算收入1001.90万元，其中：一般公共预算收入812.90万元，基金预算收入189.00万元，国有资本经营预算收入0.00万元，财政专户核拨收入0.00万元，单位资金收入0.00万元，上年结转结余0.00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无极县南流乡人民政府年度部门预算中支出预算的总体情况。2025年支出预算1001.90万元，其中基本支出702.90万元，包括人员经费638.40万元和日常公用经费64.50万元；项目支出299.00万元，主要为2025年新增两个项目</w:t>
      </w:r>
      <w:r>
        <w:rPr>
          <w:rFonts w:hint="eastAsia"/>
          <w:lang w:eastAsia="zh-CN"/>
        </w:rPr>
        <w:t>。</w:t>
      </w:r>
      <w:bookmarkStart w:id="20" w:name="_GoBack"/>
      <w:bookmarkEnd w:id="20"/>
    </w:p>
    <w:p>
      <w:pPr>
        <w:pStyle w:val="19"/>
      </w:pPr>
      <w:r>
        <w:t>3、比上年增减情况</w:t>
      </w:r>
    </w:p>
    <w:p>
      <w:pPr>
        <w:pStyle w:val="19"/>
        <w:rPr>
          <w:rFonts w:hint="eastAsia" w:eastAsia="方正仿宋_GBK"/>
          <w:lang w:eastAsia="zh-CN"/>
        </w:rPr>
      </w:pPr>
      <w:r>
        <w:t>2025年预算收支安排1001.90万元，较2024年预算增加78.61万元，其中：基本支出减少220.39万元，主要为单位人员减少项目支出增加299.00万元，主要为2025年新增两个项目</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2025年，我部门机关运行经费共计安排64.50万元，主要用于日常维修、办公用房水电费、办公用房取暖费、办公用房物业管理费等日常运行支出。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未发生变化</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1．进一步转变政府职能    </w:t>
      </w:r>
    </w:p>
    <w:p>
      <w:pPr>
        <w:pStyle w:val="22"/>
      </w:pPr>
      <w:r>
        <w:t>依法全面履行政府职能。注重强化社会管理职能和公共服务职能。依法加强对社会组织和社会事务的管理，妥善协调各种利益关系，增强维护公共安全和处理突发事件的能力，维护社会公正、社会秩序和社会稳定。进一步完善政府管理体制，合理划分和依法规范行政机关的职能、权限。</w:t>
      </w:r>
    </w:p>
    <w:p>
      <w:pPr>
        <w:pStyle w:val="22"/>
      </w:pPr>
      <w:r>
        <w:t xml:space="preserve">2、努力提高行政效率 </w:t>
      </w:r>
    </w:p>
    <w:p>
      <w:pPr>
        <w:pStyle w:val="22"/>
      </w:pPr>
      <w:r>
        <w:t xml:space="preserve">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按照上级机关关于乡镇各项工作安排，进一步推进新农村建设，加快农村基础设施建设，保护农业资源，进行自然生态建设。保障便民服务中心的正常运转，宣传并落实社会救助政策，保障义务教育、信访、安全维稳、党代会、人代会、纪检监察、党建、服务群众等各项工作正常开展。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1.保障乡政府领导和机关工作办公环境的措施，提升了服务管理水平，保障了乡领导和机关工作的正常运行。</w:t>
      </w:r>
    </w:p>
    <w:p>
      <w:pPr>
        <w:pStyle w:val="23"/>
      </w:pPr>
      <w:r>
        <w:t>绩效目标：保障办公机关正常运行。</w:t>
      </w:r>
    </w:p>
    <w:p>
      <w:pPr>
        <w:pStyle w:val="23"/>
      </w:pPr>
      <w:r>
        <w:t>绩效指标：综合事务管理工作完成率95%以上。</w:t>
      </w:r>
    </w:p>
    <w:p>
      <w:pPr>
        <w:pStyle w:val="23"/>
      </w:pPr>
      <w:r>
        <w:t>2.乡镇的信息化建设和维护，平稳推进信访工作和新闻宣传工作。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3.按照统筹城乡发展的要求，组织实施农村面貌改造提升行动，加快社会主义新农村建设。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4.开展党风党纪教育，加强党内监督。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5.改善农村卫生情况。</w:t>
      </w:r>
    </w:p>
    <w:p>
      <w:pPr>
        <w:pStyle w:val="23"/>
      </w:pPr>
      <w:r>
        <w:t>绩效目标：建制村环境整治任务，保障乡村卫生，经过整治的村庄人居环境质量明显提升。</w:t>
      </w:r>
    </w:p>
    <w:p>
      <w:pPr>
        <w:pStyle w:val="23"/>
      </w:pPr>
      <w:r>
        <w:t>绩效指标：保证乡整体卫生，十二村生活垃圾均得到有效处理，保证村容村貌干净整洁，环境宜居。</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1、关于提前下达2025年中央专项彩票公益金支持地方社会公益事业发展资金绩效目标表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13013025P00007010001H</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189.00</w:t>
            </w:r>
          </w:p>
        </w:tc>
        <w:tc>
          <w:tcPr>
            <w:tcW w:w="2835" w:type="dxa"/>
            <w:vAlign w:val="center"/>
          </w:tcPr>
          <w:p>
            <w:pPr>
              <w:pStyle w:val="11"/>
            </w:pPr>
            <w:r>
              <w:t>其中：财政    资金</w:t>
            </w:r>
          </w:p>
        </w:tc>
        <w:tc>
          <w:tcPr>
            <w:tcW w:w="2551" w:type="dxa"/>
            <w:vAlign w:val="center"/>
          </w:tcPr>
          <w:p>
            <w:pPr>
              <w:pStyle w:val="13"/>
            </w:pPr>
            <w:r>
              <w:t>189.00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支持农村公益性事业发展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20%</w:t>
            </w:r>
          </w:p>
        </w:tc>
        <w:tc>
          <w:tcPr>
            <w:tcW w:w="2835" w:type="dxa"/>
            <w:vAlign w:val="center"/>
          </w:tcPr>
          <w:p>
            <w:pPr>
              <w:pStyle w:val="14"/>
              <w:rPr>
                <w:rFonts w:hint="default" w:eastAsia="方正书宋_GBK"/>
                <w:lang w:val="en-US" w:eastAsia="zh-CN"/>
              </w:rPr>
            </w:pPr>
            <w:r>
              <w:t xml:space="preserve"> </w:t>
            </w:r>
            <w:r>
              <w:rPr>
                <w:rFonts w:hint="eastAsia"/>
                <w:lang w:val="en-US" w:eastAsia="zh-CN"/>
              </w:rPr>
              <w:t>50%</w:t>
            </w:r>
          </w:p>
        </w:tc>
        <w:tc>
          <w:tcPr>
            <w:tcW w:w="2551" w:type="dxa"/>
            <w:vAlign w:val="center"/>
          </w:tcPr>
          <w:p>
            <w:pPr>
              <w:pStyle w:val="14"/>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1.支持农村公益性事业发展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能否按预期完成任务量</w:t>
            </w:r>
          </w:p>
        </w:tc>
        <w:tc>
          <w:tcPr>
            <w:tcW w:w="5386" w:type="dxa"/>
            <w:vAlign w:val="center"/>
          </w:tcPr>
          <w:p>
            <w:pPr>
              <w:pStyle w:val="13"/>
            </w:pPr>
            <w:r>
              <w:t>能否按预期完成任务量</w:t>
            </w:r>
          </w:p>
        </w:tc>
        <w:tc>
          <w:tcPr>
            <w:tcW w:w="2268" w:type="dxa"/>
            <w:vAlign w:val="center"/>
          </w:tcPr>
          <w:p>
            <w:pPr>
              <w:pStyle w:val="13"/>
            </w:pPr>
            <w:r>
              <w:t>≥98</w:t>
            </w:r>
          </w:p>
        </w:tc>
        <w:tc>
          <w:tcPr>
            <w:tcW w:w="1276" w:type="dxa"/>
            <w:vAlign w:val="center"/>
          </w:tcPr>
          <w:p>
            <w:pPr>
              <w:pStyle w:val="13"/>
            </w:pPr>
            <w:r>
              <w:t>能否按预期完成任务量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根据考核要求对所属质量达标情况做好统计 </w:t>
            </w:r>
          </w:p>
        </w:tc>
        <w:tc>
          <w:tcPr>
            <w:tcW w:w="5386" w:type="dxa"/>
            <w:vAlign w:val="center"/>
          </w:tcPr>
          <w:p>
            <w:pPr>
              <w:pStyle w:val="13"/>
            </w:pPr>
            <w:r>
              <w:t xml:space="preserve">根据考核要求对所属质量达标情况做好统计 </w:t>
            </w:r>
          </w:p>
        </w:tc>
        <w:tc>
          <w:tcPr>
            <w:tcW w:w="2268" w:type="dxa"/>
            <w:vAlign w:val="center"/>
          </w:tcPr>
          <w:p>
            <w:pPr>
              <w:pStyle w:val="13"/>
            </w:pPr>
            <w:r>
              <w:t>≥98</w:t>
            </w:r>
          </w:p>
        </w:tc>
        <w:tc>
          <w:tcPr>
            <w:tcW w:w="1276" w:type="dxa"/>
            <w:vAlign w:val="center"/>
          </w:tcPr>
          <w:p>
            <w:pPr>
              <w:pStyle w:val="13"/>
            </w:pPr>
            <w:r>
              <w:t xml:space="preserve">根据考核要求对所属质量达标情况做好统计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能按期完成目标任务</w:t>
            </w:r>
          </w:p>
        </w:tc>
        <w:tc>
          <w:tcPr>
            <w:tcW w:w="5386" w:type="dxa"/>
            <w:vAlign w:val="center"/>
          </w:tcPr>
          <w:p>
            <w:pPr>
              <w:pStyle w:val="13"/>
            </w:pPr>
            <w:r>
              <w:t>能按期完成目标任务</w:t>
            </w:r>
          </w:p>
        </w:tc>
        <w:tc>
          <w:tcPr>
            <w:tcW w:w="2268" w:type="dxa"/>
            <w:vAlign w:val="center"/>
          </w:tcPr>
          <w:p>
            <w:pPr>
              <w:pStyle w:val="13"/>
            </w:pPr>
            <w:r>
              <w:t>≥98</w:t>
            </w:r>
          </w:p>
        </w:tc>
        <w:tc>
          <w:tcPr>
            <w:tcW w:w="1276" w:type="dxa"/>
            <w:vAlign w:val="center"/>
          </w:tcPr>
          <w:p>
            <w:pPr>
              <w:pStyle w:val="13"/>
            </w:pPr>
            <w:r>
              <w:t>能按期完成目标任务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在保证质量的前提下尽可能节约成本</w:t>
            </w:r>
          </w:p>
        </w:tc>
        <w:tc>
          <w:tcPr>
            <w:tcW w:w="5386" w:type="dxa"/>
            <w:vAlign w:val="center"/>
          </w:tcPr>
          <w:p>
            <w:pPr>
              <w:pStyle w:val="13"/>
            </w:pPr>
            <w:r>
              <w:t>在保证质量的前提下尽可能节约成本</w:t>
            </w:r>
          </w:p>
        </w:tc>
        <w:tc>
          <w:tcPr>
            <w:tcW w:w="2268" w:type="dxa"/>
            <w:vAlign w:val="center"/>
          </w:tcPr>
          <w:p>
            <w:pPr>
              <w:pStyle w:val="13"/>
            </w:pPr>
            <w:r>
              <w:t>≥98</w:t>
            </w:r>
          </w:p>
        </w:tc>
        <w:tc>
          <w:tcPr>
            <w:tcW w:w="1276" w:type="dxa"/>
            <w:vAlign w:val="center"/>
          </w:tcPr>
          <w:p>
            <w:pPr>
              <w:pStyle w:val="13"/>
            </w:pPr>
            <w:r>
              <w:t>在保证质量的前提下尽可能节约成本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使用后能产生经济效益</w:t>
            </w:r>
          </w:p>
        </w:tc>
        <w:tc>
          <w:tcPr>
            <w:tcW w:w="5386" w:type="dxa"/>
            <w:vAlign w:val="center"/>
          </w:tcPr>
          <w:p>
            <w:pPr>
              <w:pStyle w:val="13"/>
            </w:pPr>
            <w:r>
              <w:t>使用后能产生经济效益</w:t>
            </w:r>
          </w:p>
        </w:tc>
        <w:tc>
          <w:tcPr>
            <w:tcW w:w="2268" w:type="dxa"/>
            <w:vAlign w:val="center"/>
          </w:tcPr>
          <w:p>
            <w:pPr>
              <w:pStyle w:val="13"/>
            </w:pPr>
            <w:r>
              <w:t>≥98</w:t>
            </w:r>
          </w:p>
        </w:tc>
        <w:tc>
          <w:tcPr>
            <w:tcW w:w="1276" w:type="dxa"/>
            <w:vAlign w:val="center"/>
          </w:tcPr>
          <w:p>
            <w:pPr>
              <w:pStyle w:val="13"/>
            </w:pPr>
            <w:r>
              <w:t>使用后能产生经济效益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使用后能产生社会效益</w:t>
            </w:r>
          </w:p>
        </w:tc>
        <w:tc>
          <w:tcPr>
            <w:tcW w:w="5386" w:type="dxa"/>
            <w:vAlign w:val="center"/>
          </w:tcPr>
          <w:p>
            <w:pPr>
              <w:pStyle w:val="13"/>
            </w:pPr>
            <w:r>
              <w:t>使用后能产生社会效益</w:t>
            </w:r>
          </w:p>
        </w:tc>
        <w:tc>
          <w:tcPr>
            <w:tcW w:w="2268" w:type="dxa"/>
            <w:vAlign w:val="center"/>
          </w:tcPr>
          <w:p>
            <w:pPr>
              <w:pStyle w:val="13"/>
            </w:pPr>
            <w:r>
              <w:t>≥98</w:t>
            </w:r>
          </w:p>
        </w:tc>
        <w:tc>
          <w:tcPr>
            <w:tcW w:w="1276" w:type="dxa"/>
            <w:vAlign w:val="center"/>
          </w:tcPr>
          <w:p>
            <w:pPr>
              <w:pStyle w:val="13"/>
            </w:pPr>
            <w:r>
              <w:t>使用后能产生社会效益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在保护环境的前提下建设</w:t>
            </w:r>
          </w:p>
        </w:tc>
        <w:tc>
          <w:tcPr>
            <w:tcW w:w="5386" w:type="dxa"/>
            <w:vAlign w:val="center"/>
          </w:tcPr>
          <w:p>
            <w:pPr>
              <w:pStyle w:val="13"/>
            </w:pPr>
            <w:r>
              <w:t>在保护环境的前提下建设</w:t>
            </w:r>
          </w:p>
        </w:tc>
        <w:tc>
          <w:tcPr>
            <w:tcW w:w="2268" w:type="dxa"/>
            <w:vAlign w:val="center"/>
          </w:tcPr>
          <w:p>
            <w:pPr>
              <w:pStyle w:val="13"/>
            </w:pPr>
            <w:r>
              <w:t>≥98</w:t>
            </w:r>
          </w:p>
        </w:tc>
        <w:tc>
          <w:tcPr>
            <w:tcW w:w="1276" w:type="dxa"/>
            <w:vAlign w:val="center"/>
          </w:tcPr>
          <w:p>
            <w:pPr>
              <w:pStyle w:val="13"/>
            </w:pPr>
            <w:r>
              <w:t>在保护环境的前提下建设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使用后能产生可持续效益</w:t>
            </w:r>
          </w:p>
        </w:tc>
        <w:tc>
          <w:tcPr>
            <w:tcW w:w="5386" w:type="dxa"/>
            <w:vAlign w:val="center"/>
          </w:tcPr>
          <w:p>
            <w:pPr>
              <w:pStyle w:val="13"/>
            </w:pPr>
            <w:r>
              <w:t>使用后能产生可持续效益</w:t>
            </w:r>
          </w:p>
        </w:tc>
        <w:tc>
          <w:tcPr>
            <w:tcW w:w="2268" w:type="dxa"/>
            <w:vAlign w:val="center"/>
          </w:tcPr>
          <w:p>
            <w:pPr>
              <w:pStyle w:val="13"/>
            </w:pPr>
            <w:r>
              <w:t>≥98</w:t>
            </w:r>
          </w:p>
        </w:tc>
        <w:tc>
          <w:tcPr>
            <w:tcW w:w="1276" w:type="dxa"/>
            <w:vAlign w:val="center"/>
          </w:tcPr>
          <w:p>
            <w:pPr>
              <w:pStyle w:val="13"/>
            </w:pPr>
            <w:r>
              <w:t>使用后能产生可持续效益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村民对此的满意度</w:t>
            </w:r>
          </w:p>
        </w:tc>
        <w:tc>
          <w:tcPr>
            <w:tcW w:w="5386" w:type="dxa"/>
            <w:vAlign w:val="center"/>
          </w:tcPr>
          <w:p>
            <w:pPr>
              <w:pStyle w:val="13"/>
            </w:pPr>
            <w:r>
              <w:t>村民对此的满意度</w:t>
            </w:r>
          </w:p>
        </w:tc>
        <w:tc>
          <w:tcPr>
            <w:tcW w:w="2268" w:type="dxa"/>
            <w:vAlign w:val="center"/>
          </w:tcPr>
          <w:p>
            <w:pPr>
              <w:pStyle w:val="13"/>
            </w:pPr>
            <w:r>
              <w:t>≥98</w:t>
            </w:r>
          </w:p>
        </w:tc>
        <w:tc>
          <w:tcPr>
            <w:tcW w:w="1276" w:type="dxa"/>
            <w:vAlign w:val="center"/>
          </w:tcPr>
          <w:p>
            <w:pPr>
              <w:pStyle w:val="13"/>
            </w:pPr>
            <w:r>
              <w:t>村民对此的满意度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2、江仁村农村道路硬化工程绩效目标表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13013025P000062100029</w:t>
            </w:r>
          </w:p>
        </w:tc>
        <w:tc>
          <w:tcPr>
            <w:tcW w:w="2835" w:type="dxa"/>
            <w:vAlign w:val="center"/>
          </w:tcPr>
          <w:p>
            <w:pPr>
              <w:pStyle w:val="11"/>
            </w:pPr>
            <w:r>
              <w:t>项目名称</w:t>
            </w:r>
          </w:p>
        </w:tc>
        <w:tc>
          <w:tcPr>
            <w:tcW w:w="6095" w:type="dxa"/>
            <w:gridSpan w:val="3"/>
            <w:vAlign w:val="center"/>
          </w:tcPr>
          <w:p>
            <w:pPr>
              <w:pStyle w:val="13"/>
            </w:pPr>
            <w:r>
              <w:t>江仁村农村道路硬化工程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江仁村道路硬化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1.增强群众的生活满意度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能否按预期完成任务量</w:t>
            </w:r>
          </w:p>
        </w:tc>
        <w:tc>
          <w:tcPr>
            <w:tcW w:w="5386" w:type="dxa"/>
            <w:vAlign w:val="center"/>
          </w:tcPr>
          <w:p>
            <w:pPr>
              <w:pStyle w:val="13"/>
            </w:pPr>
            <w:r>
              <w:t>能否按预期完成任务量</w:t>
            </w:r>
          </w:p>
        </w:tc>
        <w:tc>
          <w:tcPr>
            <w:tcW w:w="2268" w:type="dxa"/>
            <w:vAlign w:val="center"/>
          </w:tcPr>
          <w:p>
            <w:pPr>
              <w:pStyle w:val="13"/>
            </w:pPr>
            <w:r>
              <w:t>≥98</w:t>
            </w:r>
          </w:p>
        </w:tc>
        <w:tc>
          <w:tcPr>
            <w:tcW w:w="1276" w:type="dxa"/>
            <w:vAlign w:val="center"/>
          </w:tcPr>
          <w:p>
            <w:pPr>
              <w:pStyle w:val="13"/>
            </w:pPr>
            <w:r>
              <w:t>能否按预期完成任务量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根据考核要求对所属质量达标情况做好统计</w:t>
            </w:r>
          </w:p>
        </w:tc>
        <w:tc>
          <w:tcPr>
            <w:tcW w:w="5386" w:type="dxa"/>
            <w:vAlign w:val="center"/>
          </w:tcPr>
          <w:p>
            <w:pPr>
              <w:pStyle w:val="13"/>
            </w:pPr>
            <w:r>
              <w:t>根据考核要求对所属质量达标情况做好统计</w:t>
            </w:r>
          </w:p>
        </w:tc>
        <w:tc>
          <w:tcPr>
            <w:tcW w:w="2268" w:type="dxa"/>
            <w:vAlign w:val="center"/>
          </w:tcPr>
          <w:p>
            <w:pPr>
              <w:pStyle w:val="13"/>
            </w:pPr>
            <w:r>
              <w:t>≥98</w:t>
            </w:r>
          </w:p>
        </w:tc>
        <w:tc>
          <w:tcPr>
            <w:tcW w:w="1276" w:type="dxa"/>
            <w:vAlign w:val="center"/>
          </w:tcPr>
          <w:p>
            <w:pPr>
              <w:pStyle w:val="13"/>
            </w:pPr>
            <w:r>
              <w:t>根据考核要求对所属质量达标情况做好统计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能按期完成目标任务</w:t>
            </w:r>
          </w:p>
        </w:tc>
        <w:tc>
          <w:tcPr>
            <w:tcW w:w="5386" w:type="dxa"/>
            <w:vAlign w:val="center"/>
          </w:tcPr>
          <w:p>
            <w:pPr>
              <w:pStyle w:val="13"/>
            </w:pPr>
            <w:r>
              <w:t>能按期完成目标任务</w:t>
            </w:r>
          </w:p>
        </w:tc>
        <w:tc>
          <w:tcPr>
            <w:tcW w:w="2268" w:type="dxa"/>
            <w:vAlign w:val="center"/>
          </w:tcPr>
          <w:p>
            <w:pPr>
              <w:pStyle w:val="13"/>
            </w:pPr>
            <w:r>
              <w:t>≥98</w:t>
            </w:r>
          </w:p>
        </w:tc>
        <w:tc>
          <w:tcPr>
            <w:tcW w:w="1276" w:type="dxa"/>
            <w:vAlign w:val="center"/>
          </w:tcPr>
          <w:p>
            <w:pPr>
              <w:pStyle w:val="13"/>
            </w:pPr>
            <w:r>
              <w:t>能按期完成目标任务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在保证质量的前提下尽可能节约成本</w:t>
            </w:r>
          </w:p>
        </w:tc>
        <w:tc>
          <w:tcPr>
            <w:tcW w:w="5386" w:type="dxa"/>
            <w:vAlign w:val="center"/>
          </w:tcPr>
          <w:p>
            <w:pPr>
              <w:pStyle w:val="13"/>
            </w:pPr>
            <w:r>
              <w:t>在保证质量的前提下尽可能节约成本</w:t>
            </w:r>
          </w:p>
        </w:tc>
        <w:tc>
          <w:tcPr>
            <w:tcW w:w="2268" w:type="dxa"/>
            <w:vAlign w:val="center"/>
          </w:tcPr>
          <w:p>
            <w:pPr>
              <w:pStyle w:val="13"/>
            </w:pPr>
            <w:r>
              <w:t>≥98</w:t>
            </w:r>
          </w:p>
        </w:tc>
        <w:tc>
          <w:tcPr>
            <w:tcW w:w="1276" w:type="dxa"/>
            <w:vAlign w:val="center"/>
          </w:tcPr>
          <w:p>
            <w:pPr>
              <w:pStyle w:val="13"/>
            </w:pPr>
            <w:r>
              <w:t>在保证质量的前提下尽可能节约成本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使用后能产生经济效益</w:t>
            </w:r>
          </w:p>
        </w:tc>
        <w:tc>
          <w:tcPr>
            <w:tcW w:w="5386" w:type="dxa"/>
            <w:vAlign w:val="center"/>
          </w:tcPr>
          <w:p>
            <w:pPr>
              <w:pStyle w:val="13"/>
            </w:pPr>
            <w:r>
              <w:t>使用后能产生经济效益</w:t>
            </w:r>
          </w:p>
        </w:tc>
        <w:tc>
          <w:tcPr>
            <w:tcW w:w="2268" w:type="dxa"/>
            <w:vAlign w:val="center"/>
          </w:tcPr>
          <w:p>
            <w:pPr>
              <w:pStyle w:val="13"/>
            </w:pPr>
            <w:r>
              <w:t>≥98</w:t>
            </w:r>
          </w:p>
        </w:tc>
        <w:tc>
          <w:tcPr>
            <w:tcW w:w="1276" w:type="dxa"/>
            <w:vAlign w:val="center"/>
          </w:tcPr>
          <w:p>
            <w:pPr>
              <w:pStyle w:val="13"/>
            </w:pPr>
            <w:r>
              <w:t>使用后能产生经济效益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使用后能产生社会效益</w:t>
            </w:r>
          </w:p>
        </w:tc>
        <w:tc>
          <w:tcPr>
            <w:tcW w:w="5386" w:type="dxa"/>
            <w:vAlign w:val="center"/>
          </w:tcPr>
          <w:p>
            <w:pPr>
              <w:pStyle w:val="13"/>
            </w:pPr>
            <w:r>
              <w:t>使用后能产生社会效益</w:t>
            </w:r>
          </w:p>
        </w:tc>
        <w:tc>
          <w:tcPr>
            <w:tcW w:w="2268" w:type="dxa"/>
            <w:vAlign w:val="center"/>
          </w:tcPr>
          <w:p>
            <w:pPr>
              <w:pStyle w:val="13"/>
            </w:pPr>
            <w:r>
              <w:t>≥98</w:t>
            </w:r>
          </w:p>
        </w:tc>
        <w:tc>
          <w:tcPr>
            <w:tcW w:w="1276" w:type="dxa"/>
            <w:vAlign w:val="center"/>
          </w:tcPr>
          <w:p>
            <w:pPr>
              <w:pStyle w:val="13"/>
            </w:pPr>
            <w:r>
              <w:t>使用后能产生社会效益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在保护环境的前提下建设</w:t>
            </w:r>
          </w:p>
        </w:tc>
        <w:tc>
          <w:tcPr>
            <w:tcW w:w="5386" w:type="dxa"/>
            <w:vAlign w:val="center"/>
          </w:tcPr>
          <w:p>
            <w:pPr>
              <w:pStyle w:val="13"/>
            </w:pPr>
            <w:r>
              <w:t>在保护环境的前提下建设</w:t>
            </w:r>
          </w:p>
        </w:tc>
        <w:tc>
          <w:tcPr>
            <w:tcW w:w="2268" w:type="dxa"/>
            <w:vAlign w:val="center"/>
          </w:tcPr>
          <w:p>
            <w:pPr>
              <w:pStyle w:val="13"/>
            </w:pPr>
            <w:r>
              <w:t>≥98</w:t>
            </w:r>
          </w:p>
        </w:tc>
        <w:tc>
          <w:tcPr>
            <w:tcW w:w="1276" w:type="dxa"/>
            <w:vAlign w:val="center"/>
          </w:tcPr>
          <w:p>
            <w:pPr>
              <w:pStyle w:val="13"/>
            </w:pPr>
            <w:r>
              <w:t>在保护环境的前提下建设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使用后能产生可持续效益</w:t>
            </w:r>
          </w:p>
        </w:tc>
        <w:tc>
          <w:tcPr>
            <w:tcW w:w="5386" w:type="dxa"/>
            <w:vAlign w:val="center"/>
          </w:tcPr>
          <w:p>
            <w:pPr>
              <w:pStyle w:val="13"/>
            </w:pPr>
            <w:r>
              <w:t>使用后能产生可持续效益</w:t>
            </w:r>
          </w:p>
        </w:tc>
        <w:tc>
          <w:tcPr>
            <w:tcW w:w="2268" w:type="dxa"/>
            <w:vAlign w:val="center"/>
          </w:tcPr>
          <w:p>
            <w:pPr>
              <w:pStyle w:val="13"/>
            </w:pPr>
            <w:r>
              <w:t>≥98</w:t>
            </w:r>
          </w:p>
        </w:tc>
        <w:tc>
          <w:tcPr>
            <w:tcW w:w="1276" w:type="dxa"/>
            <w:vAlign w:val="center"/>
          </w:tcPr>
          <w:p>
            <w:pPr>
              <w:pStyle w:val="13"/>
            </w:pPr>
            <w:r>
              <w:t>使用后能产生可持续效益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村民对此的满意度</w:t>
            </w:r>
          </w:p>
        </w:tc>
        <w:tc>
          <w:tcPr>
            <w:tcW w:w="5386" w:type="dxa"/>
            <w:vAlign w:val="center"/>
          </w:tcPr>
          <w:p>
            <w:pPr>
              <w:pStyle w:val="13"/>
            </w:pPr>
            <w:r>
              <w:t>村民对此的满意度</w:t>
            </w:r>
          </w:p>
        </w:tc>
        <w:tc>
          <w:tcPr>
            <w:tcW w:w="2268" w:type="dxa"/>
            <w:vAlign w:val="center"/>
          </w:tcPr>
          <w:p>
            <w:pPr>
              <w:pStyle w:val="13"/>
            </w:pPr>
            <w:r>
              <w:t>≥98</w:t>
            </w:r>
          </w:p>
        </w:tc>
        <w:tc>
          <w:tcPr>
            <w:tcW w:w="1276" w:type="dxa"/>
            <w:vAlign w:val="center"/>
          </w:tcPr>
          <w:p>
            <w:pPr>
              <w:pStyle w:val="13"/>
            </w:pPr>
            <w:r>
              <w:t>村民对此的满意度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940无极县南流乡人民政府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299.00</w:t>
            </w:r>
          </w:p>
        </w:tc>
        <w:tc>
          <w:tcPr>
            <w:tcW w:w="964" w:type="dxa"/>
            <w:vAlign w:val="center"/>
          </w:tcPr>
          <w:p>
            <w:pPr>
              <w:pStyle w:val="16"/>
            </w:pPr>
            <w:r>
              <w:t>110.00</w:t>
            </w:r>
          </w:p>
        </w:tc>
        <w:tc>
          <w:tcPr>
            <w:tcW w:w="964" w:type="dxa"/>
            <w:vAlign w:val="center"/>
          </w:tcPr>
          <w:p>
            <w:pPr>
              <w:pStyle w:val="16"/>
            </w:pPr>
            <w:r>
              <w:t>189.00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无极县南流乡人民政府本级小计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299.00</w:t>
            </w:r>
          </w:p>
        </w:tc>
        <w:tc>
          <w:tcPr>
            <w:tcW w:w="964" w:type="dxa"/>
            <w:vAlign w:val="center"/>
          </w:tcPr>
          <w:p>
            <w:pPr>
              <w:pStyle w:val="16"/>
            </w:pPr>
            <w:r>
              <w:t>110.00</w:t>
            </w:r>
          </w:p>
        </w:tc>
        <w:tc>
          <w:tcPr>
            <w:tcW w:w="964" w:type="dxa"/>
            <w:vAlign w:val="center"/>
          </w:tcPr>
          <w:p>
            <w:pPr>
              <w:pStyle w:val="16"/>
            </w:pPr>
            <w:r>
              <w:t>189.00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关于提前下达2025年中央专项彩票公益金支持地方社会公益事业发展资金</w:t>
            </w:r>
          </w:p>
        </w:tc>
        <w:tc>
          <w:tcPr>
            <w:tcW w:w="964" w:type="dxa"/>
            <w:vAlign w:val="center"/>
          </w:tcPr>
          <w:p>
            <w:pPr>
              <w:pStyle w:val="12"/>
            </w:pPr>
            <w:r>
              <w:t>189.00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189.00</w:t>
            </w:r>
          </w:p>
        </w:tc>
        <w:tc>
          <w:tcPr>
            <w:tcW w:w="964" w:type="dxa"/>
            <w:vAlign w:val="center"/>
          </w:tcPr>
          <w:p>
            <w:pPr>
              <w:pStyle w:val="12"/>
            </w:pPr>
            <w:r>
              <w:t>189.00</w:t>
            </w:r>
          </w:p>
        </w:tc>
        <w:tc>
          <w:tcPr>
            <w:tcW w:w="964" w:type="dxa"/>
            <w:vAlign w:val="center"/>
          </w:tcPr>
          <w:p>
            <w:pPr>
              <w:pStyle w:val="12"/>
            </w:pPr>
          </w:p>
        </w:tc>
        <w:tc>
          <w:tcPr>
            <w:tcW w:w="964" w:type="dxa"/>
            <w:vAlign w:val="center"/>
          </w:tcPr>
          <w:p>
            <w:pPr>
              <w:pStyle w:val="12"/>
            </w:pPr>
            <w:r>
              <w:t>189.00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江仁村农村道路硬化工程</w:t>
            </w:r>
          </w:p>
        </w:tc>
        <w:tc>
          <w:tcPr>
            <w:tcW w:w="964" w:type="dxa"/>
            <w:vAlign w:val="center"/>
          </w:tcPr>
          <w:p>
            <w:pPr>
              <w:pStyle w:val="12"/>
            </w:pPr>
            <w:r>
              <w:t>110.00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 无</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无极县南流乡人民政府（含所属单位）上年末固定资产金额为218.97万元（详见下表）。本年度拟购置固定资产总额为0.00万元。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940无极县南流乡人民政府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2000</w:t>
            </w:r>
          </w:p>
        </w:tc>
        <w:tc>
          <w:tcPr>
            <w:tcW w:w="2835" w:type="dxa"/>
            <w:vAlign w:val="center"/>
          </w:tcPr>
          <w:p>
            <w:pPr>
              <w:pStyle w:val="12"/>
            </w:pPr>
            <w:r>
              <w:t>48.20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1400</w:t>
            </w:r>
          </w:p>
        </w:tc>
        <w:tc>
          <w:tcPr>
            <w:tcW w:w="2835" w:type="dxa"/>
            <w:vAlign w:val="center"/>
          </w:tcPr>
          <w:p>
            <w:pPr>
              <w:pStyle w:val="12"/>
            </w:pPr>
            <w:r>
              <w:t>29.53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90.61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512</w:t>
            </w:r>
          </w:p>
        </w:tc>
        <w:tc>
          <w:tcPr>
            <w:tcW w:w="2835" w:type="dxa"/>
            <w:vAlign w:val="center"/>
          </w:tcPr>
          <w:p>
            <w:pPr>
              <w:pStyle w:val="12"/>
            </w:pPr>
            <w:r>
              <w:t>80.16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1661D1"/>
    <w:rsid w:val="400807B5"/>
    <w:rsid w:val="4BA8572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2025-02-07T10:34:00Z</dcterms:created>
  <dc:creator>lenovo</dc:creator>
  <cp:lastModifiedBy>浮生</cp:lastModifiedBy>
  <dcterms:modified xsi:type="dcterms:W3CDTF">2025-10-31T08:55:03Z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60E10902B65C45329429D8388717330A</vt:lpwstr>
  </property>
</Properties>
</file>