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一、无极县大陈镇人民政府本级收支预算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一、无极县大陈镇人民政府本级收支预算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1069.60</w:t>
            </w:r>
          </w:p>
        </w:tc>
        <w:tc>
          <w:tcPr>
            <w:tcW w:w="4535" w:type="dxa"/>
            <w:vAlign w:val="center"/>
          </w:tcPr>
          <w:p>
            <w:pPr>
              <w:pStyle w:val="12"/>
            </w:pPr>
            <w:r>
              <w:t>一、一般公共服务支出</w:t>
            </w:r>
          </w:p>
        </w:tc>
        <w:tc>
          <w:tcPr>
            <w:tcW w:w="2126" w:type="dxa"/>
            <w:vAlign w:val="center"/>
          </w:tcPr>
          <w:p>
            <w:pPr>
              <w:pStyle w:val="11"/>
            </w:pPr>
            <w:r>
              <w:t>861.20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1069.60</w:t>
            </w:r>
          </w:p>
        </w:tc>
        <w:tc>
          <w:tcPr>
            <w:tcW w:w="4535" w:type="dxa"/>
            <w:vAlign w:val="center"/>
          </w:tcPr>
          <w:p>
            <w:pPr>
              <w:pStyle w:val="14"/>
            </w:pPr>
            <w:r>
              <w:t>本年支出合计</w:t>
            </w:r>
          </w:p>
        </w:tc>
        <w:tc>
          <w:tcPr>
            <w:tcW w:w="2126" w:type="dxa"/>
            <w:vAlign w:val="center"/>
          </w:tcPr>
          <w:p>
            <w:pPr>
              <w:pStyle w:val="15"/>
            </w:pPr>
            <w:r>
              <w:t>1074.25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4.65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1074.25</w:t>
            </w:r>
          </w:p>
        </w:tc>
        <w:tc>
          <w:tcPr>
            <w:tcW w:w="4535" w:type="dxa"/>
            <w:vAlign w:val="center"/>
          </w:tcPr>
          <w:p>
            <w:pPr>
              <w:pStyle w:val="14"/>
            </w:pPr>
            <w:r>
              <w:t>支出总计</w:t>
            </w:r>
          </w:p>
        </w:tc>
        <w:tc>
          <w:tcPr>
            <w:tcW w:w="2126" w:type="dxa"/>
            <w:vAlign w:val="center"/>
          </w:tcPr>
          <w:p>
            <w:pPr>
              <w:pStyle w:val="15"/>
            </w:pPr>
            <w:r>
              <w:t>1074.25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1074.25</w:t>
            </w:r>
          </w:p>
        </w:tc>
        <w:tc>
          <w:tcPr>
            <w:tcW w:w="1134" w:type="dxa"/>
            <w:vAlign w:val="center"/>
          </w:tcPr>
          <w:p>
            <w:pPr>
              <w:pStyle w:val="15"/>
            </w:pPr>
            <w:r>
              <w:t>1069.60</w:t>
            </w:r>
          </w:p>
        </w:tc>
        <w:tc>
          <w:tcPr>
            <w:tcW w:w="1134" w:type="dxa"/>
            <w:vAlign w:val="center"/>
          </w:tcPr>
          <w:p>
            <w:pPr>
              <w:pStyle w:val="15"/>
            </w:pPr>
            <w:r>
              <w:t>1069.60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r>
              <w:t>861.20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154.40</w:t>
            </w:r>
          </w:p>
        </w:tc>
        <w:tc>
          <w:tcPr>
            <w:tcW w:w="1134" w:type="dxa"/>
            <w:vAlign w:val="center"/>
          </w:tcPr>
          <w:p>
            <w:pPr>
              <w:pStyle w:val="11"/>
            </w:pPr>
            <w:r>
              <w:t>154.40</w:t>
            </w:r>
          </w:p>
        </w:tc>
        <w:tc>
          <w:tcPr>
            <w:tcW w:w="1134" w:type="dxa"/>
            <w:vAlign w:val="center"/>
          </w:tcPr>
          <w:p>
            <w:pPr>
              <w:pStyle w:val="11"/>
            </w:pPr>
            <w:r>
              <w:t>154.40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1074.25</w:t>
            </w:r>
          </w:p>
        </w:tc>
        <w:tc>
          <w:tcPr>
            <w:tcW w:w="1361" w:type="dxa"/>
            <w:vAlign w:val="center"/>
          </w:tcPr>
          <w:p>
            <w:pPr>
              <w:pStyle w:val="15"/>
            </w:pPr>
            <w:r>
              <w:t>1069.60</w:t>
            </w:r>
          </w:p>
        </w:tc>
        <w:tc>
          <w:tcPr>
            <w:tcW w:w="1361" w:type="dxa"/>
            <w:vAlign w:val="center"/>
          </w:tcPr>
          <w:p>
            <w:pPr>
              <w:pStyle w:val="15"/>
            </w:pPr>
            <w:r>
              <w:t>4.65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861.20</w:t>
            </w:r>
          </w:p>
        </w:tc>
        <w:tc>
          <w:tcPr>
            <w:tcW w:w="1361" w:type="dxa"/>
            <w:vAlign w:val="center"/>
          </w:tcPr>
          <w:p>
            <w:pPr>
              <w:pStyle w:val="11"/>
            </w:pPr>
            <w:r>
              <w:t>861.20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861.20</w:t>
            </w:r>
          </w:p>
        </w:tc>
        <w:tc>
          <w:tcPr>
            <w:tcW w:w="1361" w:type="dxa"/>
            <w:vAlign w:val="center"/>
          </w:tcPr>
          <w:p>
            <w:pPr>
              <w:pStyle w:val="11"/>
            </w:pPr>
            <w:r>
              <w:t>861.20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861.20</w:t>
            </w:r>
          </w:p>
        </w:tc>
        <w:tc>
          <w:tcPr>
            <w:tcW w:w="1361" w:type="dxa"/>
            <w:vAlign w:val="center"/>
          </w:tcPr>
          <w:p>
            <w:pPr>
              <w:pStyle w:val="11"/>
            </w:pPr>
            <w:r>
              <w:t>861.20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154.40</w:t>
            </w:r>
          </w:p>
        </w:tc>
        <w:tc>
          <w:tcPr>
            <w:tcW w:w="1361" w:type="dxa"/>
            <w:vAlign w:val="center"/>
          </w:tcPr>
          <w:p>
            <w:pPr>
              <w:pStyle w:val="11"/>
            </w:pPr>
            <w:r>
              <w:t>154.40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152.00</w:t>
            </w:r>
          </w:p>
        </w:tc>
        <w:tc>
          <w:tcPr>
            <w:tcW w:w="1361" w:type="dxa"/>
            <w:vAlign w:val="center"/>
          </w:tcPr>
          <w:p>
            <w:pPr>
              <w:pStyle w:val="11"/>
            </w:pPr>
            <w:r>
              <w:t>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2.40</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2.40</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1069.60</w:t>
            </w:r>
          </w:p>
        </w:tc>
        <w:tc>
          <w:tcPr>
            <w:tcW w:w="3402" w:type="dxa"/>
            <w:vAlign w:val="center"/>
          </w:tcPr>
          <w:p>
            <w:pPr>
              <w:pStyle w:val="12"/>
            </w:pPr>
            <w:r>
              <w:t>一、一般公共服务支出</w:t>
            </w:r>
          </w:p>
        </w:tc>
        <w:tc>
          <w:tcPr>
            <w:tcW w:w="1474" w:type="dxa"/>
            <w:vAlign w:val="center"/>
          </w:tcPr>
          <w:p>
            <w:pPr>
              <w:pStyle w:val="11"/>
            </w:pPr>
            <w:r>
              <w:t>861.20</w:t>
            </w:r>
          </w:p>
        </w:tc>
        <w:tc>
          <w:tcPr>
            <w:tcW w:w="1474" w:type="dxa"/>
            <w:vAlign w:val="center"/>
          </w:tcPr>
          <w:p>
            <w:pPr>
              <w:pStyle w:val="11"/>
            </w:pPr>
            <w:r>
              <w:t>861.20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154.40</w:t>
            </w:r>
          </w:p>
        </w:tc>
        <w:tc>
          <w:tcPr>
            <w:tcW w:w="1474" w:type="dxa"/>
            <w:vAlign w:val="center"/>
          </w:tcPr>
          <w:p>
            <w:pPr>
              <w:pStyle w:val="11"/>
            </w:pPr>
            <w:r>
              <w:t>154.40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54.00</w:t>
            </w:r>
          </w:p>
        </w:tc>
        <w:tc>
          <w:tcPr>
            <w:tcW w:w="1474" w:type="dxa"/>
            <w:vAlign w:val="center"/>
          </w:tcPr>
          <w:p>
            <w:pPr>
              <w:pStyle w:val="11"/>
            </w:pPr>
            <w:r>
              <w:t>54.00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4.65</w:t>
            </w:r>
          </w:p>
        </w:tc>
        <w:tc>
          <w:tcPr>
            <w:tcW w:w="1474" w:type="dxa"/>
            <w:vAlign w:val="center"/>
          </w:tcPr>
          <w:p>
            <w:pPr>
              <w:pStyle w:val="11"/>
            </w:pPr>
            <w:r>
              <w:t>4.65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1069.60</w:t>
            </w:r>
          </w:p>
        </w:tc>
        <w:tc>
          <w:tcPr>
            <w:tcW w:w="3402" w:type="dxa"/>
            <w:vAlign w:val="center"/>
          </w:tcPr>
          <w:p>
            <w:pPr>
              <w:pStyle w:val="14"/>
            </w:pPr>
            <w:r>
              <w:t>本年支出合计</w:t>
            </w:r>
          </w:p>
        </w:tc>
        <w:tc>
          <w:tcPr>
            <w:tcW w:w="1474" w:type="dxa"/>
            <w:vAlign w:val="center"/>
          </w:tcPr>
          <w:p>
            <w:pPr>
              <w:pStyle w:val="15"/>
            </w:pPr>
            <w:r>
              <w:t>1074.25</w:t>
            </w:r>
          </w:p>
        </w:tc>
        <w:tc>
          <w:tcPr>
            <w:tcW w:w="1474" w:type="dxa"/>
            <w:vAlign w:val="center"/>
          </w:tcPr>
          <w:p>
            <w:pPr>
              <w:pStyle w:val="15"/>
            </w:pPr>
            <w:r>
              <w:t>1074.25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4.65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4.65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1074.25</w:t>
            </w:r>
          </w:p>
        </w:tc>
        <w:tc>
          <w:tcPr>
            <w:tcW w:w="3402" w:type="dxa"/>
            <w:vAlign w:val="center"/>
          </w:tcPr>
          <w:p>
            <w:pPr>
              <w:pStyle w:val="14"/>
            </w:pPr>
            <w:r>
              <w:t>支出总计</w:t>
            </w:r>
          </w:p>
        </w:tc>
        <w:tc>
          <w:tcPr>
            <w:tcW w:w="1474" w:type="dxa"/>
            <w:vAlign w:val="center"/>
          </w:tcPr>
          <w:p>
            <w:pPr>
              <w:pStyle w:val="15"/>
            </w:pPr>
            <w:r>
              <w:t>1074.25</w:t>
            </w:r>
          </w:p>
        </w:tc>
        <w:tc>
          <w:tcPr>
            <w:tcW w:w="1474" w:type="dxa"/>
            <w:vAlign w:val="center"/>
          </w:tcPr>
          <w:p>
            <w:pPr>
              <w:pStyle w:val="15"/>
            </w:pPr>
            <w:r>
              <w:t>1074.25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1074.25</w:t>
            </w:r>
          </w:p>
        </w:tc>
        <w:tc>
          <w:tcPr>
            <w:tcW w:w="2551" w:type="dxa"/>
            <w:vAlign w:val="center"/>
          </w:tcPr>
          <w:p>
            <w:pPr>
              <w:pStyle w:val="15"/>
            </w:pPr>
            <w:r>
              <w:t>1069.60</w:t>
            </w:r>
          </w:p>
        </w:tc>
        <w:tc>
          <w:tcPr>
            <w:tcW w:w="2551" w:type="dxa"/>
            <w:vAlign w:val="center"/>
          </w:tcPr>
          <w:p>
            <w:pPr>
              <w:pStyle w:val="15"/>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861.20</w:t>
            </w:r>
          </w:p>
        </w:tc>
        <w:tc>
          <w:tcPr>
            <w:tcW w:w="2551" w:type="dxa"/>
            <w:vAlign w:val="center"/>
          </w:tcPr>
          <w:p>
            <w:pPr>
              <w:pStyle w:val="11"/>
            </w:pPr>
            <w:r>
              <w:t>861.20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861.20</w:t>
            </w:r>
          </w:p>
        </w:tc>
        <w:tc>
          <w:tcPr>
            <w:tcW w:w="2551" w:type="dxa"/>
            <w:vAlign w:val="center"/>
          </w:tcPr>
          <w:p>
            <w:pPr>
              <w:pStyle w:val="11"/>
            </w:pPr>
            <w:r>
              <w:t>861.20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861.20</w:t>
            </w:r>
          </w:p>
        </w:tc>
        <w:tc>
          <w:tcPr>
            <w:tcW w:w="2551" w:type="dxa"/>
            <w:vAlign w:val="center"/>
          </w:tcPr>
          <w:p>
            <w:pPr>
              <w:pStyle w:val="11"/>
            </w:pPr>
            <w:r>
              <w:t>861.20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154.40</w:t>
            </w:r>
          </w:p>
        </w:tc>
        <w:tc>
          <w:tcPr>
            <w:tcW w:w="2551" w:type="dxa"/>
            <w:vAlign w:val="center"/>
          </w:tcPr>
          <w:p>
            <w:pPr>
              <w:pStyle w:val="11"/>
            </w:pPr>
            <w:r>
              <w:t>154.40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152.00</w:t>
            </w:r>
          </w:p>
        </w:tc>
        <w:tc>
          <w:tcPr>
            <w:tcW w:w="2551" w:type="dxa"/>
            <w:vAlign w:val="center"/>
          </w:tcPr>
          <w:p>
            <w:pPr>
              <w:pStyle w:val="11"/>
            </w:pPr>
            <w:r>
              <w:t>152.00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4.65</w:t>
            </w:r>
          </w:p>
        </w:tc>
        <w:tc>
          <w:tcPr>
            <w:tcW w:w="2551" w:type="dxa"/>
            <w:vAlign w:val="center"/>
          </w:tcPr>
          <w:p>
            <w:pPr>
              <w:pStyle w:val="11"/>
            </w:pPr>
          </w:p>
        </w:tc>
        <w:tc>
          <w:tcPr>
            <w:tcW w:w="2551" w:type="dxa"/>
            <w:vAlign w:val="center"/>
          </w:tcPr>
          <w:p>
            <w:pPr>
              <w:pStyle w:val="11"/>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4.65</w:t>
            </w:r>
          </w:p>
        </w:tc>
        <w:tc>
          <w:tcPr>
            <w:tcW w:w="2551" w:type="dxa"/>
            <w:vAlign w:val="center"/>
          </w:tcPr>
          <w:p>
            <w:pPr>
              <w:pStyle w:val="11"/>
            </w:pPr>
          </w:p>
        </w:tc>
        <w:tc>
          <w:tcPr>
            <w:tcW w:w="2551" w:type="dxa"/>
            <w:vAlign w:val="center"/>
          </w:tcPr>
          <w:p>
            <w:pPr>
              <w:pStyle w:val="11"/>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4.65</w:t>
            </w:r>
          </w:p>
        </w:tc>
        <w:tc>
          <w:tcPr>
            <w:tcW w:w="2551" w:type="dxa"/>
            <w:vAlign w:val="center"/>
          </w:tcPr>
          <w:p>
            <w:pPr>
              <w:pStyle w:val="11"/>
            </w:pPr>
          </w:p>
        </w:tc>
        <w:tc>
          <w:tcPr>
            <w:tcW w:w="2551" w:type="dxa"/>
            <w:vAlign w:val="center"/>
          </w:tcPr>
          <w:p>
            <w:pPr>
              <w:pStyle w:val="11"/>
            </w:pPr>
            <w:r>
              <w:t>4.65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1069.60</w:t>
            </w:r>
          </w:p>
        </w:tc>
        <w:tc>
          <w:tcPr>
            <w:tcW w:w="2551" w:type="dxa"/>
            <w:vAlign w:val="center"/>
          </w:tcPr>
          <w:p>
            <w:pPr>
              <w:pStyle w:val="15"/>
            </w:pPr>
            <w:r>
              <w:t>987.10</w:t>
            </w:r>
          </w:p>
        </w:tc>
        <w:tc>
          <w:tcPr>
            <w:tcW w:w="2551" w:type="dxa"/>
            <w:vAlign w:val="center"/>
          </w:tcPr>
          <w:p>
            <w:pPr>
              <w:pStyle w:val="15"/>
            </w:pPr>
            <w:r>
              <w:t>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938.70</w:t>
            </w:r>
          </w:p>
        </w:tc>
        <w:tc>
          <w:tcPr>
            <w:tcW w:w="2551" w:type="dxa"/>
            <w:vAlign w:val="center"/>
          </w:tcPr>
          <w:p>
            <w:pPr>
              <w:pStyle w:val="11"/>
            </w:pPr>
            <w:r>
              <w:t>938.70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334.00</w:t>
            </w:r>
          </w:p>
        </w:tc>
        <w:tc>
          <w:tcPr>
            <w:tcW w:w="2551" w:type="dxa"/>
            <w:vAlign w:val="center"/>
          </w:tcPr>
          <w:p>
            <w:pPr>
              <w:pStyle w:val="11"/>
            </w:pPr>
            <w:r>
              <w:t>334.00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140.30</w:t>
            </w:r>
          </w:p>
        </w:tc>
        <w:tc>
          <w:tcPr>
            <w:tcW w:w="2551" w:type="dxa"/>
            <w:vAlign w:val="center"/>
          </w:tcPr>
          <w:p>
            <w:pPr>
              <w:pStyle w:val="11"/>
            </w:pPr>
            <w:r>
              <w:t>140.30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125.00</w:t>
            </w:r>
          </w:p>
        </w:tc>
        <w:tc>
          <w:tcPr>
            <w:tcW w:w="2551" w:type="dxa"/>
            <w:vAlign w:val="center"/>
          </w:tcPr>
          <w:p>
            <w:pPr>
              <w:pStyle w:val="11"/>
            </w:pPr>
            <w:r>
              <w:t>125.00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82.50</w:t>
            </w:r>
          </w:p>
        </w:tc>
        <w:tc>
          <w:tcPr>
            <w:tcW w:w="2551" w:type="dxa"/>
            <w:vAlign w:val="center"/>
          </w:tcPr>
          <w:p>
            <w:pPr>
              <w:pStyle w:val="11"/>
            </w:pPr>
          </w:p>
        </w:tc>
        <w:tc>
          <w:tcPr>
            <w:tcW w:w="2551" w:type="dxa"/>
            <w:vAlign w:val="center"/>
          </w:tcPr>
          <w:p>
            <w:pPr>
              <w:pStyle w:val="11"/>
            </w:pPr>
            <w:r>
              <w:t>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32.50</w:t>
            </w:r>
          </w:p>
        </w:tc>
        <w:tc>
          <w:tcPr>
            <w:tcW w:w="2551" w:type="dxa"/>
            <w:vAlign w:val="center"/>
          </w:tcPr>
          <w:p>
            <w:pPr>
              <w:pStyle w:val="11"/>
            </w:pPr>
          </w:p>
        </w:tc>
        <w:tc>
          <w:tcPr>
            <w:tcW w:w="2551" w:type="dxa"/>
            <w:vAlign w:val="center"/>
          </w:tcPr>
          <w:p>
            <w:pPr>
              <w:pStyle w:val="11"/>
            </w:pPr>
            <w:r>
              <w:t>32.50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48.40</w:t>
            </w:r>
          </w:p>
        </w:tc>
        <w:tc>
          <w:tcPr>
            <w:tcW w:w="2551" w:type="dxa"/>
            <w:vAlign w:val="center"/>
          </w:tcPr>
          <w:p>
            <w:pPr>
              <w:pStyle w:val="11"/>
            </w:pPr>
            <w:r>
              <w:t>48.40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48.40</w:t>
            </w:r>
          </w:p>
        </w:tc>
        <w:tc>
          <w:tcPr>
            <w:tcW w:w="2551" w:type="dxa"/>
            <w:vAlign w:val="center"/>
          </w:tcPr>
          <w:p>
            <w:pPr>
              <w:pStyle w:val="11"/>
            </w:pPr>
            <w:r>
              <w:t>48.40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无极县大陈镇人民政府本级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1074.25万元，其中：一般公共预算收入1069.60万元，基金预算收入0.00万元，国有资本经营预算收入0.00万元，财政专户核拨收入0.00万元，单位资金收入0.00万元，上年结转结余4.65万元。</w:t>
      </w:r>
    </w:p>
    <w:p>
      <w:pPr>
        <w:pStyle w:val="18"/>
      </w:pPr>
      <w:r>
        <w:t>2、支出说明</w:t>
      </w:r>
    </w:p>
    <w:p>
      <w:pPr>
        <w:pStyle w:val="18"/>
      </w:pPr>
      <w:r>
        <w:t>收支预算总表支出栏、基本支出表、项目支出表按经济分类和支出功能分类科目编制，反映无极县大陈镇人民政府本级年度单位预算中支出预算的总体情况。2025年支出预算1074.25万元，其中基本支出1069.60万元，包括人员经费987.10万元和日常公用经费82.50万元；项目支出4.65万元，主要为革命老区项目质保金。</w:t>
      </w:r>
    </w:p>
    <w:p>
      <w:pPr>
        <w:pStyle w:val="18"/>
      </w:pPr>
      <w:r>
        <w:t>3、比上年增减情况</w:t>
      </w:r>
    </w:p>
    <w:p>
      <w:pPr>
        <w:pStyle w:val="18"/>
      </w:pPr>
      <w:r>
        <w:t>2025年预算收支安排1074.25万元，较2024年预算减少321.42万元，其中：基本支出减少171.07万元，主要为缩减支出。项目支出减少150.35万元，主要为年初无项目安排。</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2025年，我单位机关运行经费共计安排82.50万元，主要用于日常维修、办公用房水电费、办公用房取暖费、办公用房物业管理费等日常运行支出。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减少3.00万元，增减变化的主要原因是减少相关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1、2024年小陈村道路硬化及提升整治工程绩效目标表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13013024P00003610049L</w:t>
            </w:r>
          </w:p>
        </w:tc>
        <w:tc>
          <w:tcPr>
            <w:tcW w:w="2835" w:type="dxa"/>
            <w:vAlign w:val="center"/>
          </w:tcPr>
          <w:p>
            <w:pPr>
              <w:pStyle w:val="10"/>
            </w:pPr>
            <w:r>
              <w:t>项目名称</w:t>
            </w:r>
          </w:p>
        </w:tc>
        <w:tc>
          <w:tcPr>
            <w:tcW w:w="6095" w:type="dxa"/>
            <w:gridSpan w:val="3"/>
            <w:vAlign w:val="center"/>
          </w:tcPr>
          <w:p>
            <w:pPr>
              <w:pStyle w:val="12"/>
            </w:pPr>
            <w:r>
              <w:t>2024年小陈村道路硬化及提升整治工程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4.65</w:t>
            </w:r>
          </w:p>
        </w:tc>
        <w:tc>
          <w:tcPr>
            <w:tcW w:w="2835" w:type="dxa"/>
            <w:vAlign w:val="center"/>
          </w:tcPr>
          <w:p>
            <w:pPr>
              <w:pStyle w:val="10"/>
            </w:pPr>
            <w:r>
              <w:t>其中：财政    资金</w:t>
            </w:r>
          </w:p>
        </w:tc>
        <w:tc>
          <w:tcPr>
            <w:tcW w:w="2551" w:type="dxa"/>
            <w:vAlign w:val="center"/>
          </w:tcPr>
          <w:p>
            <w:pPr>
              <w:pStyle w:val="12"/>
            </w:pPr>
            <w:r>
              <w:t>4.65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小陈村道路硬化及提升整治工程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20%</w:t>
            </w:r>
          </w:p>
        </w:tc>
        <w:tc>
          <w:tcPr>
            <w:tcW w:w="2835" w:type="dxa"/>
            <w:vAlign w:val="center"/>
          </w:tcPr>
          <w:p>
            <w:pPr>
              <w:pStyle w:val="13"/>
            </w:pPr>
            <w:r>
              <w:rPr>
                <w:rFonts w:hint="eastAsia"/>
                <w:lang w:val="en-US" w:eastAsia="zh-CN"/>
              </w:rPr>
              <w:t>50%</w:t>
            </w:r>
            <w:r>
              <w:t xml:space="preserve"> </w:t>
            </w:r>
          </w:p>
        </w:tc>
        <w:tc>
          <w:tcPr>
            <w:tcW w:w="2551" w:type="dxa"/>
            <w:vAlign w:val="center"/>
          </w:tcPr>
          <w:p>
            <w:pPr>
              <w:pStyle w:val="13"/>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w:t>
            </w:r>
          </w:p>
        </w:tc>
        <w:tc>
          <w:tcPr>
            <w:tcW w:w="5386" w:type="dxa"/>
            <w:vAlign w:val="center"/>
          </w:tcPr>
          <w:p>
            <w:pPr>
              <w:pStyle w:val="12"/>
            </w:pPr>
            <w:r>
              <w:t>足额发放</w:t>
            </w:r>
          </w:p>
        </w:tc>
        <w:tc>
          <w:tcPr>
            <w:tcW w:w="2268" w:type="dxa"/>
            <w:vAlign w:val="center"/>
          </w:tcPr>
          <w:p>
            <w:pPr>
              <w:pStyle w:val="12"/>
            </w:pPr>
            <w:r>
              <w:t>足额发放</w:t>
            </w:r>
          </w:p>
        </w:tc>
        <w:tc>
          <w:tcPr>
            <w:tcW w:w="1276" w:type="dxa"/>
            <w:vAlign w:val="center"/>
          </w:tcPr>
          <w:p>
            <w:pPr>
              <w:pStyle w:val="12"/>
            </w:pPr>
            <w:r>
              <w:t>是否足额发放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w:t>
            </w:r>
          </w:p>
        </w:tc>
        <w:tc>
          <w:tcPr>
            <w:tcW w:w="5386" w:type="dxa"/>
            <w:vAlign w:val="center"/>
          </w:tcPr>
          <w:p>
            <w:pPr>
              <w:pStyle w:val="12"/>
            </w:pPr>
            <w:r>
              <w:t>发放准确</w:t>
            </w:r>
          </w:p>
        </w:tc>
        <w:tc>
          <w:tcPr>
            <w:tcW w:w="2268" w:type="dxa"/>
            <w:vAlign w:val="center"/>
          </w:tcPr>
          <w:p>
            <w:pPr>
              <w:pStyle w:val="12"/>
            </w:pPr>
            <w:r>
              <w:t>发放准确</w:t>
            </w:r>
          </w:p>
        </w:tc>
        <w:tc>
          <w:tcPr>
            <w:tcW w:w="1276" w:type="dxa"/>
            <w:vAlign w:val="center"/>
          </w:tcPr>
          <w:p>
            <w:pPr>
              <w:pStyle w:val="12"/>
            </w:pPr>
            <w:r>
              <w:t>是否发放准确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w:t>
            </w:r>
          </w:p>
        </w:tc>
        <w:tc>
          <w:tcPr>
            <w:tcW w:w="5386" w:type="dxa"/>
            <w:vAlign w:val="center"/>
          </w:tcPr>
          <w:p>
            <w:pPr>
              <w:pStyle w:val="12"/>
            </w:pPr>
            <w:r>
              <w:t>发放及时</w:t>
            </w:r>
          </w:p>
        </w:tc>
        <w:tc>
          <w:tcPr>
            <w:tcW w:w="2268" w:type="dxa"/>
            <w:vAlign w:val="center"/>
          </w:tcPr>
          <w:p>
            <w:pPr>
              <w:pStyle w:val="12"/>
            </w:pPr>
            <w:r>
              <w:t>发放及时</w:t>
            </w:r>
          </w:p>
        </w:tc>
        <w:tc>
          <w:tcPr>
            <w:tcW w:w="1276" w:type="dxa"/>
            <w:vAlign w:val="center"/>
          </w:tcPr>
          <w:p>
            <w:pPr>
              <w:pStyle w:val="12"/>
            </w:pPr>
            <w:r>
              <w:t>是否发放及时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不超项目金额</w:t>
            </w:r>
          </w:p>
        </w:tc>
        <w:tc>
          <w:tcPr>
            <w:tcW w:w="5386" w:type="dxa"/>
            <w:vAlign w:val="center"/>
          </w:tcPr>
          <w:p>
            <w:pPr>
              <w:pStyle w:val="12"/>
            </w:pPr>
            <w:r>
              <w:t>不超项目金额</w:t>
            </w:r>
          </w:p>
        </w:tc>
        <w:tc>
          <w:tcPr>
            <w:tcW w:w="2268" w:type="dxa"/>
            <w:vAlign w:val="center"/>
          </w:tcPr>
          <w:p>
            <w:pPr>
              <w:pStyle w:val="12"/>
            </w:pPr>
            <w:r>
              <w:t>不超项目金额</w:t>
            </w:r>
          </w:p>
        </w:tc>
        <w:tc>
          <w:tcPr>
            <w:tcW w:w="1276" w:type="dxa"/>
            <w:vAlign w:val="center"/>
          </w:tcPr>
          <w:p>
            <w:pPr>
              <w:pStyle w:val="12"/>
            </w:pPr>
            <w:r>
              <w:t>是否超项目金额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带来经济效益</w:t>
            </w:r>
          </w:p>
        </w:tc>
        <w:tc>
          <w:tcPr>
            <w:tcW w:w="5386" w:type="dxa"/>
            <w:vAlign w:val="center"/>
          </w:tcPr>
          <w:p>
            <w:pPr>
              <w:pStyle w:val="12"/>
            </w:pPr>
            <w:r>
              <w:t>带来经济效益</w:t>
            </w:r>
          </w:p>
        </w:tc>
        <w:tc>
          <w:tcPr>
            <w:tcW w:w="2268" w:type="dxa"/>
            <w:vAlign w:val="center"/>
          </w:tcPr>
          <w:p>
            <w:pPr>
              <w:pStyle w:val="12"/>
            </w:pPr>
            <w:r>
              <w:t>带来经济效益</w:t>
            </w:r>
          </w:p>
        </w:tc>
        <w:tc>
          <w:tcPr>
            <w:tcW w:w="1276" w:type="dxa"/>
            <w:vAlign w:val="center"/>
          </w:tcPr>
          <w:p>
            <w:pPr>
              <w:pStyle w:val="12"/>
            </w:pPr>
            <w:r>
              <w:t>是否带来经济效益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带来社会效益</w:t>
            </w:r>
          </w:p>
        </w:tc>
        <w:tc>
          <w:tcPr>
            <w:tcW w:w="5386" w:type="dxa"/>
            <w:vAlign w:val="center"/>
          </w:tcPr>
          <w:p>
            <w:pPr>
              <w:pStyle w:val="12"/>
            </w:pPr>
            <w:r>
              <w:t>带来社会效益</w:t>
            </w:r>
          </w:p>
        </w:tc>
        <w:tc>
          <w:tcPr>
            <w:tcW w:w="2268" w:type="dxa"/>
            <w:vAlign w:val="center"/>
          </w:tcPr>
          <w:p>
            <w:pPr>
              <w:pStyle w:val="12"/>
            </w:pPr>
            <w:r>
              <w:t>带来社会效益</w:t>
            </w:r>
          </w:p>
        </w:tc>
        <w:tc>
          <w:tcPr>
            <w:tcW w:w="1276" w:type="dxa"/>
            <w:vAlign w:val="center"/>
          </w:tcPr>
          <w:p>
            <w:pPr>
              <w:pStyle w:val="12"/>
            </w:pPr>
            <w:r>
              <w:t>是否带来社会效益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带来生态效益</w:t>
            </w:r>
          </w:p>
        </w:tc>
        <w:tc>
          <w:tcPr>
            <w:tcW w:w="5386" w:type="dxa"/>
            <w:vAlign w:val="center"/>
          </w:tcPr>
          <w:p>
            <w:pPr>
              <w:pStyle w:val="12"/>
            </w:pPr>
            <w:r>
              <w:t>带来生态效益</w:t>
            </w:r>
          </w:p>
        </w:tc>
        <w:tc>
          <w:tcPr>
            <w:tcW w:w="2268" w:type="dxa"/>
            <w:vAlign w:val="center"/>
          </w:tcPr>
          <w:p>
            <w:pPr>
              <w:pStyle w:val="12"/>
            </w:pPr>
            <w:r>
              <w:t>带来生态效益</w:t>
            </w:r>
          </w:p>
        </w:tc>
        <w:tc>
          <w:tcPr>
            <w:tcW w:w="1276" w:type="dxa"/>
            <w:vAlign w:val="center"/>
          </w:tcPr>
          <w:p>
            <w:pPr>
              <w:pStyle w:val="12"/>
            </w:pPr>
            <w:r>
              <w:t>是否带来生态效益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有可持续影响</w:t>
            </w:r>
          </w:p>
        </w:tc>
        <w:tc>
          <w:tcPr>
            <w:tcW w:w="5386" w:type="dxa"/>
            <w:vAlign w:val="center"/>
          </w:tcPr>
          <w:p>
            <w:pPr>
              <w:pStyle w:val="12"/>
            </w:pPr>
            <w:r>
              <w:t>有可持续影响</w:t>
            </w:r>
          </w:p>
        </w:tc>
        <w:tc>
          <w:tcPr>
            <w:tcW w:w="2268" w:type="dxa"/>
            <w:vAlign w:val="center"/>
          </w:tcPr>
          <w:p>
            <w:pPr>
              <w:pStyle w:val="12"/>
            </w:pPr>
            <w:r>
              <w:t>有可持续影响</w:t>
            </w:r>
          </w:p>
        </w:tc>
        <w:tc>
          <w:tcPr>
            <w:tcW w:w="1276" w:type="dxa"/>
            <w:vAlign w:val="center"/>
          </w:tcPr>
          <w:p>
            <w:pPr>
              <w:pStyle w:val="12"/>
            </w:pPr>
            <w:r>
              <w:t>是否有可持续影响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受益人满意度</w:t>
            </w:r>
          </w:p>
        </w:tc>
        <w:tc>
          <w:tcPr>
            <w:tcW w:w="5386" w:type="dxa"/>
            <w:vAlign w:val="center"/>
          </w:tcPr>
          <w:p>
            <w:pPr>
              <w:pStyle w:val="12"/>
            </w:pPr>
            <w:r>
              <w:t>受益人满意度</w:t>
            </w:r>
          </w:p>
        </w:tc>
        <w:tc>
          <w:tcPr>
            <w:tcW w:w="2268" w:type="dxa"/>
            <w:vAlign w:val="center"/>
          </w:tcPr>
          <w:p>
            <w:pPr>
              <w:pStyle w:val="12"/>
            </w:pPr>
            <w:r>
              <w:t>≥95%</w:t>
            </w:r>
          </w:p>
        </w:tc>
        <w:tc>
          <w:tcPr>
            <w:tcW w:w="1276" w:type="dxa"/>
            <w:vAlign w:val="center"/>
          </w:tcPr>
          <w:p>
            <w:pPr>
              <w:pStyle w:val="12"/>
            </w:pPr>
            <w:r>
              <w:t>受益人是否满意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w:t>
            </w:r>
          </w:p>
        </w:tc>
        <w:tc>
          <w:tcPr>
            <w:tcW w:w="964" w:type="dxa"/>
            <w:vAlign w:val="center"/>
          </w:tcPr>
          <w:p>
            <w:pPr>
              <w:pStyle w:val="15"/>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无极县大陈镇人民政府本级小计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w:t>
            </w:r>
          </w:p>
        </w:tc>
        <w:tc>
          <w:tcPr>
            <w:tcW w:w="964" w:type="dxa"/>
            <w:vAlign w:val="center"/>
          </w:tcPr>
          <w:p>
            <w:pPr>
              <w:pStyle w:val="15"/>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2024年小陈村道路硬化及提升整治工程</w:t>
            </w:r>
          </w:p>
        </w:tc>
        <w:tc>
          <w:tcPr>
            <w:tcW w:w="964" w:type="dxa"/>
            <w:vAlign w:val="center"/>
          </w:tcPr>
          <w:p>
            <w:pPr>
              <w:pStyle w:val="11"/>
            </w:pPr>
            <w:r>
              <w:t>4.65</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4.65</w:t>
            </w:r>
          </w:p>
        </w:tc>
        <w:tc>
          <w:tcPr>
            <w:tcW w:w="964" w:type="dxa"/>
            <w:vAlign w:val="center"/>
          </w:tcPr>
          <w:p>
            <w:pPr>
              <w:pStyle w:val="11"/>
            </w:pPr>
            <w:r>
              <w:t>4.65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4.65</w:t>
            </w:r>
          </w:p>
        </w:tc>
        <w:tc>
          <w:tcPr>
            <w:tcW w:w="964" w:type="dxa"/>
            <w:vAlign w:val="center"/>
          </w:tcPr>
          <w:p>
            <w:pPr>
              <w:pStyle w:val="11"/>
            </w:pPr>
            <w:r>
              <w:t>4.65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无极县大陈镇人民政府本级上年末固定资产金额为733.46万元（详见下表）。本年度拟购置固定资产总额为0.00万元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44800</w:t>
            </w:r>
          </w:p>
        </w:tc>
        <w:tc>
          <w:tcPr>
            <w:tcW w:w="2835" w:type="dxa"/>
            <w:vAlign w:val="center"/>
          </w:tcPr>
          <w:p>
            <w:pPr>
              <w:pStyle w:val="11"/>
            </w:pPr>
            <w:r>
              <w:t>482.72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6500</w:t>
            </w:r>
          </w:p>
        </w:tc>
        <w:tc>
          <w:tcPr>
            <w:tcW w:w="2835" w:type="dxa"/>
            <w:vAlign w:val="center"/>
          </w:tcPr>
          <w:p>
            <w:pPr>
              <w:pStyle w:val="11"/>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63.13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306</w:t>
            </w:r>
          </w:p>
        </w:tc>
        <w:tc>
          <w:tcPr>
            <w:tcW w:w="2835" w:type="dxa"/>
            <w:vAlign w:val="center"/>
          </w:tcPr>
          <w:p>
            <w:pPr>
              <w:pStyle w:val="11"/>
            </w:pPr>
            <w:r>
              <w:t>150.88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756A9"/>
    <w:rsid w:val="619D77B2"/>
    <w:rsid w:val="61FF7301"/>
    <w:rsid w:val="657E0A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2025-02-10T15:31:00Z</dcterms:created>
  <dc:creator>lenovo</dc:creator>
  <cp:lastModifiedBy>浮生</cp:lastModifiedBy>
  <dcterms:modified xsi:type="dcterms:W3CDTF">2025-10-31T08:52:32Z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0B280C894DFD48ECA90C5F88A42D0683</vt:lpwstr>
  </property>
</Properties>
</file>