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一、无极县文学艺术联合会收支预算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一、无极县文学艺术联合会收支预算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95.90</w:t>
            </w:r>
          </w:p>
        </w:tc>
        <w:tc>
          <w:tcPr>
            <w:tcW w:w="4535" w:type="dxa"/>
            <w:vAlign w:val="center"/>
          </w:tcPr>
          <w:p>
            <w:pPr>
              <w:pStyle w:val="12"/>
            </w:pPr>
            <w:r>
              <w:t>一、一般公共服务支出</w:t>
            </w:r>
          </w:p>
        </w:tc>
        <w:tc>
          <w:tcPr>
            <w:tcW w:w="2126" w:type="dxa"/>
            <w:vAlign w:val="center"/>
          </w:tcPr>
          <w:p>
            <w:pPr>
              <w:pStyle w:val="11"/>
            </w:pPr>
            <w:r>
              <w:t>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95.90</w:t>
            </w:r>
          </w:p>
        </w:tc>
        <w:tc>
          <w:tcPr>
            <w:tcW w:w="4535" w:type="dxa"/>
            <w:vAlign w:val="center"/>
          </w:tcPr>
          <w:p>
            <w:pPr>
              <w:pStyle w:val="14"/>
            </w:pPr>
            <w:r>
              <w:t>本年支出合计</w:t>
            </w:r>
          </w:p>
        </w:tc>
        <w:tc>
          <w:tcPr>
            <w:tcW w:w="2126" w:type="dxa"/>
            <w:vAlign w:val="center"/>
          </w:tcPr>
          <w:p>
            <w:pPr>
              <w:pStyle w:val="15"/>
            </w:pPr>
            <w:r>
              <w:t>95.90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95.90</w:t>
            </w:r>
          </w:p>
        </w:tc>
        <w:tc>
          <w:tcPr>
            <w:tcW w:w="4535" w:type="dxa"/>
            <w:vAlign w:val="center"/>
          </w:tcPr>
          <w:p>
            <w:pPr>
              <w:pStyle w:val="14"/>
            </w:pPr>
            <w:r>
              <w:t>支出总计</w:t>
            </w:r>
          </w:p>
        </w:tc>
        <w:tc>
          <w:tcPr>
            <w:tcW w:w="2126" w:type="dxa"/>
            <w:vAlign w:val="center"/>
          </w:tcPr>
          <w:p>
            <w:pPr>
              <w:pStyle w:val="15"/>
            </w:pPr>
            <w:r>
              <w:t>95.90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95.90</w:t>
            </w:r>
          </w:p>
        </w:tc>
        <w:tc>
          <w:tcPr>
            <w:tcW w:w="1134" w:type="dxa"/>
            <w:vAlign w:val="center"/>
          </w:tcPr>
          <w:p>
            <w:pPr>
              <w:pStyle w:val="15"/>
            </w:pPr>
            <w:r>
              <w:t>95.90</w:t>
            </w:r>
          </w:p>
        </w:tc>
        <w:tc>
          <w:tcPr>
            <w:tcW w:w="1134" w:type="dxa"/>
            <w:vAlign w:val="center"/>
          </w:tcPr>
          <w:p>
            <w:pPr>
              <w:pStyle w:val="15"/>
            </w:pPr>
            <w:r>
              <w:t>95.90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r>
              <w:t>13.20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r>
              <w:t>11.20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r>
              <w:t>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95.90</w:t>
            </w:r>
          </w:p>
        </w:tc>
        <w:tc>
          <w:tcPr>
            <w:tcW w:w="1361" w:type="dxa"/>
            <w:vAlign w:val="center"/>
          </w:tcPr>
          <w:p>
            <w:pPr>
              <w:pStyle w:val="15"/>
            </w:pPr>
            <w:r>
              <w:t>95.90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13.20</w:t>
            </w:r>
          </w:p>
        </w:tc>
        <w:tc>
          <w:tcPr>
            <w:tcW w:w="1361" w:type="dxa"/>
            <w:vAlign w:val="center"/>
          </w:tcPr>
          <w:p>
            <w:pPr>
              <w:pStyle w:val="11"/>
            </w:pPr>
            <w:r>
              <w:t>13.20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11.20</w:t>
            </w:r>
          </w:p>
        </w:tc>
        <w:tc>
          <w:tcPr>
            <w:tcW w:w="1361" w:type="dxa"/>
            <w:vAlign w:val="center"/>
          </w:tcPr>
          <w:p>
            <w:pPr>
              <w:pStyle w:val="11"/>
            </w:pPr>
            <w:r>
              <w:t>11.20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4.50</w:t>
            </w:r>
          </w:p>
        </w:tc>
        <w:tc>
          <w:tcPr>
            <w:tcW w:w="1361" w:type="dxa"/>
            <w:vAlign w:val="center"/>
          </w:tcPr>
          <w:p>
            <w:pPr>
              <w:pStyle w:val="11"/>
            </w:pPr>
            <w:r>
              <w:t>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95.90</w:t>
            </w:r>
          </w:p>
        </w:tc>
        <w:tc>
          <w:tcPr>
            <w:tcW w:w="3402" w:type="dxa"/>
            <w:vAlign w:val="center"/>
          </w:tcPr>
          <w:p>
            <w:pPr>
              <w:pStyle w:val="12"/>
            </w:pPr>
            <w:r>
              <w:t>一、一般公共服务支出</w:t>
            </w:r>
          </w:p>
        </w:tc>
        <w:tc>
          <w:tcPr>
            <w:tcW w:w="1474" w:type="dxa"/>
            <w:vAlign w:val="center"/>
          </w:tcPr>
          <w:p>
            <w:pPr>
              <w:pStyle w:val="11"/>
            </w:pPr>
            <w:r>
              <w:t>78.00</w:t>
            </w:r>
          </w:p>
        </w:tc>
        <w:tc>
          <w:tcPr>
            <w:tcW w:w="1474" w:type="dxa"/>
            <w:vAlign w:val="center"/>
          </w:tcPr>
          <w:p>
            <w:pPr>
              <w:pStyle w:val="11"/>
            </w:pPr>
            <w:r>
              <w:t>78.00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13.40</w:t>
            </w:r>
          </w:p>
        </w:tc>
        <w:tc>
          <w:tcPr>
            <w:tcW w:w="1474" w:type="dxa"/>
            <w:vAlign w:val="center"/>
          </w:tcPr>
          <w:p>
            <w:pPr>
              <w:pStyle w:val="11"/>
            </w:pPr>
            <w:r>
              <w:t>13.40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4.50</w:t>
            </w:r>
          </w:p>
        </w:tc>
        <w:tc>
          <w:tcPr>
            <w:tcW w:w="1474" w:type="dxa"/>
            <w:vAlign w:val="center"/>
          </w:tcPr>
          <w:p>
            <w:pPr>
              <w:pStyle w:val="11"/>
            </w:pPr>
            <w:r>
              <w:t>4.50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95.90</w:t>
            </w:r>
          </w:p>
        </w:tc>
        <w:tc>
          <w:tcPr>
            <w:tcW w:w="3402" w:type="dxa"/>
            <w:vAlign w:val="center"/>
          </w:tcPr>
          <w:p>
            <w:pPr>
              <w:pStyle w:val="14"/>
            </w:pPr>
            <w:r>
              <w:t>本年支出合计</w:t>
            </w:r>
          </w:p>
        </w:tc>
        <w:tc>
          <w:tcPr>
            <w:tcW w:w="1474" w:type="dxa"/>
            <w:vAlign w:val="center"/>
          </w:tcPr>
          <w:p>
            <w:pPr>
              <w:pStyle w:val="15"/>
            </w:pPr>
            <w:r>
              <w:t>95.90</w:t>
            </w:r>
          </w:p>
        </w:tc>
        <w:tc>
          <w:tcPr>
            <w:tcW w:w="1474" w:type="dxa"/>
            <w:vAlign w:val="center"/>
          </w:tcPr>
          <w:p>
            <w:pPr>
              <w:pStyle w:val="15"/>
            </w:pPr>
            <w:r>
              <w:t>95.90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95.90</w:t>
            </w:r>
          </w:p>
        </w:tc>
        <w:tc>
          <w:tcPr>
            <w:tcW w:w="3402" w:type="dxa"/>
            <w:vAlign w:val="center"/>
          </w:tcPr>
          <w:p>
            <w:pPr>
              <w:pStyle w:val="14"/>
            </w:pPr>
            <w:r>
              <w:t>支出总计</w:t>
            </w:r>
          </w:p>
        </w:tc>
        <w:tc>
          <w:tcPr>
            <w:tcW w:w="1474" w:type="dxa"/>
            <w:vAlign w:val="center"/>
          </w:tcPr>
          <w:p>
            <w:pPr>
              <w:pStyle w:val="15"/>
            </w:pPr>
            <w:r>
              <w:t>95.90</w:t>
            </w:r>
          </w:p>
        </w:tc>
        <w:tc>
          <w:tcPr>
            <w:tcW w:w="1474" w:type="dxa"/>
            <w:vAlign w:val="center"/>
          </w:tcPr>
          <w:p>
            <w:pPr>
              <w:pStyle w:val="15"/>
            </w:pPr>
            <w:r>
              <w:t>95.90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95.90</w:t>
            </w:r>
          </w:p>
        </w:tc>
        <w:tc>
          <w:tcPr>
            <w:tcW w:w="2551" w:type="dxa"/>
            <w:vAlign w:val="center"/>
          </w:tcPr>
          <w:p>
            <w:pPr>
              <w:pStyle w:val="15"/>
            </w:pPr>
            <w:r>
              <w:t>95.90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13.20</w:t>
            </w:r>
          </w:p>
        </w:tc>
        <w:tc>
          <w:tcPr>
            <w:tcW w:w="2551" w:type="dxa"/>
            <w:vAlign w:val="center"/>
          </w:tcPr>
          <w:p>
            <w:pPr>
              <w:pStyle w:val="11"/>
            </w:pPr>
            <w:r>
              <w:t>13.20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95.90</w:t>
            </w:r>
          </w:p>
        </w:tc>
        <w:tc>
          <w:tcPr>
            <w:tcW w:w="2551" w:type="dxa"/>
            <w:vAlign w:val="center"/>
          </w:tcPr>
          <w:p>
            <w:pPr>
              <w:pStyle w:val="15"/>
            </w:pPr>
            <w:r>
              <w:t>86.30</w:t>
            </w:r>
          </w:p>
        </w:tc>
        <w:tc>
          <w:tcPr>
            <w:tcW w:w="2551" w:type="dxa"/>
            <w:vAlign w:val="center"/>
          </w:tcPr>
          <w:p>
            <w:pPr>
              <w:pStyle w:val="15"/>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76.00</w:t>
            </w:r>
          </w:p>
        </w:tc>
        <w:tc>
          <w:tcPr>
            <w:tcW w:w="2551" w:type="dxa"/>
            <w:vAlign w:val="center"/>
          </w:tcPr>
          <w:p>
            <w:pPr>
              <w:pStyle w:val="11"/>
            </w:pPr>
            <w:r>
              <w:t>76.00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12.90</w:t>
            </w:r>
          </w:p>
        </w:tc>
        <w:tc>
          <w:tcPr>
            <w:tcW w:w="2551" w:type="dxa"/>
            <w:vAlign w:val="center"/>
          </w:tcPr>
          <w:p>
            <w:pPr>
              <w:pStyle w:val="11"/>
            </w:pPr>
            <w:r>
              <w:t>12.90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11.40</w:t>
            </w:r>
          </w:p>
        </w:tc>
        <w:tc>
          <w:tcPr>
            <w:tcW w:w="2551" w:type="dxa"/>
            <w:vAlign w:val="center"/>
          </w:tcPr>
          <w:p>
            <w:pPr>
              <w:pStyle w:val="11"/>
            </w:pPr>
            <w:r>
              <w:t>11.40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9.60</w:t>
            </w:r>
          </w:p>
        </w:tc>
        <w:tc>
          <w:tcPr>
            <w:tcW w:w="2551" w:type="dxa"/>
            <w:vAlign w:val="center"/>
          </w:tcPr>
          <w:p>
            <w:pPr>
              <w:pStyle w:val="11"/>
            </w:pPr>
          </w:p>
        </w:tc>
        <w:tc>
          <w:tcPr>
            <w:tcW w:w="2551" w:type="dxa"/>
            <w:vAlign w:val="center"/>
          </w:tcPr>
          <w:p>
            <w:pPr>
              <w:pStyle w:val="11"/>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10.30</w:t>
            </w:r>
          </w:p>
        </w:tc>
        <w:tc>
          <w:tcPr>
            <w:tcW w:w="2551" w:type="dxa"/>
            <w:vAlign w:val="center"/>
          </w:tcPr>
          <w:p>
            <w:pPr>
              <w:pStyle w:val="11"/>
            </w:pPr>
            <w:r>
              <w:t>10.30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无极县文学艺术联合会2025年单位预算信息公开情况说明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按照《中华人民共和国预算法》、《地方预决算公开操作规程》和《关于进一步推进预算公开工作的实施意见》规定，现将无极县文学艺术联合会2025年单位预算公开如下：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是鼓励重点作者下基层采风，为创作精品提供充实的第一资料；二是组织各协会进行交流，取长补短；三是举办个门类培训班，邀请专家学者授课指导，提高水平；四是下大力培养新人推出新作，使文艺事业后继有人。开展主题性文艺活动，展示我县在社会发展进程中取得的成绩。</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rPr>
                <w:rFonts w:hint="eastAsia" w:eastAsia="方正书宋_GBK"/>
                <w:lang w:eastAsia="zh-CN"/>
              </w:rPr>
            </w:pPr>
            <w:r>
              <w:t>无极县文学艺术联合会</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95.90万元，其中：一般公共预算收入95.90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文学艺术联合会年度单位预算中支出预算的总体情况。2025年支出预算95.90万元，其中基本支出95.90万元，包括人员经费86.30万元和日常公用经费9.60万元；项目支出0.00万元，主要为2025年预算暂未安排项目支出。</w:t>
      </w:r>
    </w:p>
    <w:p>
      <w:pPr>
        <w:pStyle w:val="18"/>
      </w:pPr>
      <w:r>
        <w:t>3、比上年增减情况</w:t>
      </w:r>
    </w:p>
    <w:p>
      <w:pPr>
        <w:pStyle w:val="18"/>
      </w:pPr>
      <w:r>
        <w:t>2025年预算收支安排95.90万元，较2024年预算减少13.24万元，其中：基本支出减少12.24万元，主要为2024年人员调整引起此种情况。项目支出减少1.00万元，主要为2025年预算暂未安排项目支出。</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2"/>
        <w:ind w:left="0" w:leftChars="0" w:firstLine="560" w:firstLineChars="200"/>
      </w:pPr>
      <w:r>
        <w:t>机关运行经费安排情况202</w:t>
      </w:r>
      <w:r>
        <w:rPr>
          <w:rFonts w:hint="eastAsia"/>
          <w:lang w:val="en-US" w:eastAsia="zh-CN"/>
        </w:rPr>
        <w:t>5</w:t>
      </w:r>
      <w:r>
        <w:t>年，机关运行经费共计安排</w:t>
      </w:r>
      <w:r>
        <w:rPr>
          <w:rFonts w:hint="eastAsia"/>
          <w:lang w:val="en-US" w:eastAsia="zh-CN"/>
        </w:rPr>
        <w:t>9.6</w:t>
      </w:r>
      <w:r>
        <w:t>万元</w:t>
      </w:r>
      <w:r>
        <w:rPr>
          <w:rFonts w:hint="eastAsia"/>
          <w:lang w:eastAsia="zh-CN"/>
        </w:rPr>
        <w:t>，</w:t>
      </w:r>
      <w:r>
        <w:t>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三公经费预算情况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无极县文学艺术联合会上年末固定资产金额为1</w:t>
      </w:r>
      <w:r>
        <w:rPr>
          <w:rFonts w:hint="eastAsia" w:eastAsia="方正仿宋_GBK"/>
          <w:color w:val="000000"/>
          <w:sz w:val="28"/>
          <w:lang w:val="en-US" w:eastAsia="zh-CN"/>
        </w:rPr>
        <w:t>.</w:t>
      </w:r>
      <w:r>
        <w:rPr>
          <w:rFonts w:eastAsia="方正仿宋_GBK"/>
          <w:color w:val="000000"/>
          <w:sz w:val="28"/>
        </w:rPr>
        <w:t>97万元（详见下表）。本年度拟购置固定资产总额为0.00万元，已按要求列入政府采购预算，详见政府采购预算表。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rPr>
                <w:rFonts w:hint="eastAsia" w:eastAsia="方正小标宋_GBK"/>
                <w:lang w:eastAsia="zh-CN"/>
              </w:rPr>
            </w:pPr>
            <w:r>
              <w:t>721001无极县文学艺术联合会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17</w:t>
            </w:r>
          </w:p>
        </w:tc>
        <w:tc>
          <w:tcPr>
            <w:tcW w:w="2835" w:type="dxa"/>
            <w:vAlign w:val="center"/>
          </w:tcPr>
          <w:p>
            <w:pPr>
              <w:pStyle w:val="11"/>
            </w:pPr>
            <w:bookmarkStart w:id="1" w:name="_GoBack"/>
            <w:r>
              <w:t>1</w:t>
            </w:r>
            <w:r>
              <w:rPr>
                <w:rFonts w:hint="eastAsia"/>
                <w:lang w:val="en-US" w:eastAsia="zh-CN"/>
              </w:rPr>
              <w:t>.</w:t>
            </w:r>
            <w:r>
              <w:t>97</w:t>
            </w:r>
          </w:p>
          <w:bookmarkEnd w:id="1"/>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w:t>
            </w:r>
          </w:p>
        </w:tc>
        <w:tc>
          <w:tcPr>
            <w:tcW w:w="2835" w:type="dxa"/>
            <w:vAlign w:val="center"/>
          </w:tcPr>
          <w:p>
            <w:pPr>
              <w:pStyle w:val="11"/>
            </w:pPr>
            <w:r>
              <w:t>1</w:t>
            </w:r>
            <w:r>
              <w:rPr>
                <w:rFonts w:hint="eastAsia"/>
                <w:lang w:val="en-US" w:eastAsia="zh-CN"/>
              </w:rPr>
              <w:t>.</w:t>
            </w:r>
            <w:r>
              <w:t>97</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FFF5AA"/>
    <w:multiLevelType w:val="singleLevel"/>
    <w:tmpl w:val="EFFFF5A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5D3"/>
    <w:rsid w:val="00B305D3"/>
    <w:rsid w:val="00C314BF"/>
    <w:rsid w:val="00CC3ECB"/>
    <w:rsid w:val="19BB6FA7"/>
    <w:rsid w:val="FDFA790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1077</Words>
  <Characters>6142</Characters>
  <Lines>51</Lines>
  <Paragraphs>14</Paragraphs>
  <TotalTime>0</TotalTime>
  <ScaleCrop>false</ScaleCrop>
  <LinksUpToDate>false</LinksUpToDate>
  <CharactersWithSpaces>7205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2025-02-10T17:20:00Z</dcterms:created>
  <dc:creator>Administrator</dc:creator>
  <cp:lastModifiedBy>浮生</cp:lastModifiedBy>
  <dcterms:modified xsi:type="dcterms:W3CDTF">2025-10-31T06:26:56Z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927E93E9FE794499BF3C3EF8AF4FF6D7</vt:lpwstr>
  </property>
</Properties>
</file>