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hint="eastAsia" w:eastAsia="黑体"/>
          <w:color w:val="FF0000"/>
          <w:sz w:val="24"/>
          <w:lang w:val="en-US" w:eastAsia="zh-CN"/>
        </w:rPr>
        <w:t xml:space="preserve"> </w:t>
      </w: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359无极县融媒体中心（无极县广播电视台）</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506.90</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425.00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72.50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506.90</w:t>
            </w:r>
          </w:p>
        </w:tc>
        <w:tc>
          <w:tcPr>
            <w:tcW w:w="4535" w:type="dxa"/>
            <w:vAlign w:val="center"/>
          </w:tcPr>
          <w:p>
            <w:pPr>
              <w:pStyle w:val="15"/>
            </w:pPr>
            <w:r>
              <w:t>本年支出合计</w:t>
            </w:r>
          </w:p>
        </w:tc>
        <w:tc>
          <w:tcPr>
            <w:tcW w:w="2126" w:type="dxa"/>
            <w:vAlign w:val="center"/>
          </w:tcPr>
          <w:p>
            <w:pPr>
              <w:pStyle w:val="16"/>
            </w:pPr>
            <w:r>
              <w:t>520.50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13.60</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520.50</w:t>
            </w:r>
          </w:p>
        </w:tc>
        <w:tc>
          <w:tcPr>
            <w:tcW w:w="4535" w:type="dxa"/>
            <w:vAlign w:val="center"/>
          </w:tcPr>
          <w:p>
            <w:pPr>
              <w:pStyle w:val="15"/>
            </w:pPr>
            <w:r>
              <w:t>支出总计</w:t>
            </w:r>
          </w:p>
        </w:tc>
        <w:tc>
          <w:tcPr>
            <w:tcW w:w="2126" w:type="dxa"/>
            <w:vAlign w:val="center"/>
          </w:tcPr>
          <w:p>
            <w:pPr>
              <w:pStyle w:val="16"/>
            </w:pPr>
            <w:r>
              <w:t>520.50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359无极县融媒体中心（无极县广播电视台）</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520.50</w:t>
            </w:r>
          </w:p>
        </w:tc>
        <w:tc>
          <w:tcPr>
            <w:tcW w:w="1134" w:type="dxa"/>
            <w:vAlign w:val="center"/>
          </w:tcPr>
          <w:p>
            <w:pPr>
              <w:pStyle w:val="16"/>
            </w:pPr>
            <w:r>
              <w:t>506.90</w:t>
            </w:r>
          </w:p>
        </w:tc>
        <w:tc>
          <w:tcPr>
            <w:tcW w:w="1134" w:type="dxa"/>
            <w:vAlign w:val="center"/>
          </w:tcPr>
          <w:p>
            <w:pPr>
              <w:pStyle w:val="16"/>
            </w:pPr>
            <w:r>
              <w:t>506.90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13.60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425.00</w:t>
            </w:r>
          </w:p>
        </w:tc>
        <w:tc>
          <w:tcPr>
            <w:tcW w:w="1134" w:type="dxa"/>
            <w:vAlign w:val="center"/>
          </w:tcPr>
          <w:p>
            <w:pPr>
              <w:pStyle w:val="12"/>
            </w:pPr>
            <w:r>
              <w:t>411.40</w:t>
            </w:r>
          </w:p>
        </w:tc>
        <w:tc>
          <w:tcPr>
            <w:tcW w:w="1134" w:type="dxa"/>
            <w:vAlign w:val="center"/>
          </w:tcPr>
          <w:p>
            <w:pPr>
              <w:pStyle w:val="12"/>
            </w:pPr>
            <w:r>
              <w:t>411.40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13.60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20708</w:t>
            </w:r>
          </w:p>
        </w:tc>
        <w:tc>
          <w:tcPr>
            <w:tcW w:w="1559" w:type="dxa"/>
            <w:vAlign w:val="center"/>
          </w:tcPr>
          <w:p>
            <w:pPr>
              <w:pStyle w:val="13"/>
            </w:pPr>
            <w:r>
              <w:t>广播电视</w:t>
            </w:r>
          </w:p>
        </w:tc>
        <w:tc>
          <w:tcPr>
            <w:tcW w:w="1134" w:type="dxa"/>
            <w:vAlign w:val="center"/>
          </w:tcPr>
          <w:p>
            <w:pPr>
              <w:pStyle w:val="12"/>
            </w:pPr>
            <w:r>
              <w:t>425.00</w:t>
            </w:r>
          </w:p>
        </w:tc>
        <w:tc>
          <w:tcPr>
            <w:tcW w:w="1134" w:type="dxa"/>
            <w:vAlign w:val="center"/>
          </w:tcPr>
          <w:p>
            <w:pPr>
              <w:pStyle w:val="12"/>
            </w:pPr>
            <w:r>
              <w:t>411.40</w:t>
            </w:r>
          </w:p>
        </w:tc>
        <w:tc>
          <w:tcPr>
            <w:tcW w:w="1134" w:type="dxa"/>
            <w:vAlign w:val="center"/>
          </w:tcPr>
          <w:p>
            <w:pPr>
              <w:pStyle w:val="12"/>
            </w:pPr>
            <w:r>
              <w:t>411.40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13.60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2070801</w:t>
            </w:r>
          </w:p>
        </w:tc>
        <w:tc>
          <w:tcPr>
            <w:tcW w:w="1559" w:type="dxa"/>
            <w:vAlign w:val="center"/>
          </w:tcPr>
          <w:p>
            <w:pPr>
              <w:pStyle w:val="13"/>
            </w:pPr>
            <w:r>
              <w:t>行政运行</w:t>
            </w:r>
          </w:p>
        </w:tc>
        <w:tc>
          <w:tcPr>
            <w:tcW w:w="1134" w:type="dxa"/>
            <w:vAlign w:val="center"/>
          </w:tcPr>
          <w:p>
            <w:pPr>
              <w:pStyle w:val="12"/>
            </w:pPr>
            <w:r>
              <w:t>387.70</w:t>
            </w:r>
          </w:p>
        </w:tc>
        <w:tc>
          <w:tcPr>
            <w:tcW w:w="1134" w:type="dxa"/>
            <w:vAlign w:val="center"/>
          </w:tcPr>
          <w:p>
            <w:pPr>
              <w:pStyle w:val="12"/>
            </w:pPr>
            <w:r>
              <w:t>387.70</w:t>
            </w:r>
          </w:p>
        </w:tc>
        <w:tc>
          <w:tcPr>
            <w:tcW w:w="1134" w:type="dxa"/>
            <w:vAlign w:val="center"/>
          </w:tcPr>
          <w:p>
            <w:pPr>
              <w:pStyle w:val="12"/>
            </w:pPr>
            <w:r>
              <w:t>387.70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2070808</w:t>
            </w:r>
          </w:p>
        </w:tc>
        <w:tc>
          <w:tcPr>
            <w:tcW w:w="1559" w:type="dxa"/>
            <w:vAlign w:val="center"/>
          </w:tcPr>
          <w:p>
            <w:pPr>
              <w:pStyle w:val="13"/>
            </w:pPr>
            <w:r>
              <w:t>广播电视事务</w:t>
            </w:r>
          </w:p>
        </w:tc>
        <w:tc>
          <w:tcPr>
            <w:tcW w:w="1134" w:type="dxa"/>
            <w:vAlign w:val="center"/>
          </w:tcPr>
          <w:p>
            <w:pPr>
              <w:pStyle w:val="12"/>
            </w:pPr>
            <w:r>
              <w:t>37.30</w:t>
            </w:r>
          </w:p>
        </w:tc>
        <w:tc>
          <w:tcPr>
            <w:tcW w:w="1134" w:type="dxa"/>
            <w:vAlign w:val="center"/>
          </w:tcPr>
          <w:p>
            <w:pPr>
              <w:pStyle w:val="12"/>
            </w:pPr>
            <w:r>
              <w:t>23.70</w:t>
            </w:r>
          </w:p>
        </w:tc>
        <w:tc>
          <w:tcPr>
            <w:tcW w:w="1134" w:type="dxa"/>
            <w:vAlign w:val="center"/>
          </w:tcPr>
          <w:p>
            <w:pPr>
              <w:pStyle w:val="12"/>
            </w:pPr>
            <w:r>
              <w:t>23.70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13.60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72.50</w:t>
            </w:r>
          </w:p>
        </w:tc>
        <w:tc>
          <w:tcPr>
            <w:tcW w:w="1134" w:type="dxa"/>
            <w:vAlign w:val="center"/>
          </w:tcPr>
          <w:p>
            <w:pPr>
              <w:pStyle w:val="12"/>
            </w:pPr>
            <w:r>
              <w:t>72.50</w:t>
            </w:r>
          </w:p>
        </w:tc>
        <w:tc>
          <w:tcPr>
            <w:tcW w:w="1134" w:type="dxa"/>
            <w:vAlign w:val="center"/>
          </w:tcPr>
          <w:p>
            <w:pPr>
              <w:pStyle w:val="12"/>
            </w:pPr>
            <w:r>
              <w:t>72.50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69.20</w:t>
            </w:r>
          </w:p>
        </w:tc>
        <w:tc>
          <w:tcPr>
            <w:tcW w:w="1134" w:type="dxa"/>
            <w:vAlign w:val="center"/>
          </w:tcPr>
          <w:p>
            <w:pPr>
              <w:pStyle w:val="12"/>
            </w:pPr>
            <w:r>
              <w:t>69.20</w:t>
            </w:r>
          </w:p>
        </w:tc>
        <w:tc>
          <w:tcPr>
            <w:tcW w:w="1134" w:type="dxa"/>
            <w:vAlign w:val="center"/>
          </w:tcPr>
          <w:p>
            <w:pPr>
              <w:pStyle w:val="12"/>
            </w:pPr>
            <w:r>
              <w:t>69.20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59.00</w:t>
            </w:r>
          </w:p>
        </w:tc>
        <w:tc>
          <w:tcPr>
            <w:tcW w:w="1134" w:type="dxa"/>
            <w:vAlign w:val="center"/>
          </w:tcPr>
          <w:p>
            <w:pPr>
              <w:pStyle w:val="12"/>
            </w:pPr>
            <w:r>
              <w:t>59.00</w:t>
            </w:r>
          </w:p>
        </w:tc>
        <w:tc>
          <w:tcPr>
            <w:tcW w:w="1134" w:type="dxa"/>
            <w:vAlign w:val="center"/>
          </w:tcPr>
          <w:p>
            <w:pPr>
              <w:pStyle w:val="12"/>
            </w:pPr>
            <w:r>
              <w:t>59.00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10.20</w:t>
            </w:r>
          </w:p>
        </w:tc>
        <w:tc>
          <w:tcPr>
            <w:tcW w:w="1134" w:type="dxa"/>
            <w:vAlign w:val="center"/>
          </w:tcPr>
          <w:p>
            <w:pPr>
              <w:pStyle w:val="12"/>
            </w:pPr>
            <w:r>
              <w:t>10.20</w:t>
            </w:r>
          </w:p>
        </w:tc>
        <w:tc>
          <w:tcPr>
            <w:tcW w:w="1134" w:type="dxa"/>
            <w:vAlign w:val="center"/>
          </w:tcPr>
          <w:p>
            <w:pPr>
              <w:pStyle w:val="12"/>
            </w:pPr>
            <w:r>
              <w:t>10.20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3.30</w:t>
            </w:r>
          </w:p>
        </w:tc>
        <w:tc>
          <w:tcPr>
            <w:tcW w:w="1134" w:type="dxa"/>
            <w:vAlign w:val="center"/>
          </w:tcPr>
          <w:p>
            <w:pPr>
              <w:pStyle w:val="12"/>
            </w:pPr>
            <w:r>
              <w:t>3.30</w:t>
            </w:r>
          </w:p>
        </w:tc>
        <w:tc>
          <w:tcPr>
            <w:tcW w:w="1134" w:type="dxa"/>
            <w:vAlign w:val="center"/>
          </w:tcPr>
          <w:p>
            <w:pPr>
              <w:pStyle w:val="12"/>
            </w:pPr>
            <w:r>
              <w:t>3.30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2.20</w:t>
            </w:r>
          </w:p>
        </w:tc>
        <w:tc>
          <w:tcPr>
            <w:tcW w:w="1134" w:type="dxa"/>
            <w:vAlign w:val="center"/>
          </w:tcPr>
          <w:p>
            <w:pPr>
              <w:pStyle w:val="12"/>
            </w:pPr>
            <w:r>
              <w:t>2.20</w:t>
            </w:r>
          </w:p>
        </w:tc>
        <w:tc>
          <w:tcPr>
            <w:tcW w:w="1134" w:type="dxa"/>
            <w:vAlign w:val="center"/>
          </w:tcPr>
          <w:p>
            <w:pPr>
              <w:pStyle w:val="12"/>
            </w:pPr>
            <w:r>
              <w:t>2.20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1.10</w:t>
            </w:r>
          </w:p>
        </w:tc>
        <w:tc>
          <w:tcPr>
            <w:tcW w:w="1134" w:type="dxa"/>
            <w:vAlign w:val="center"/>
          </w:tcPr>
          <w:p>
            <w:pPr>
              <w:pStyle w:val="12"/>
            </w:pPr>
            <w:r>
              <w:t>1.10</w:t>
            </w:r>
          </w:p>
        </w:tc>
        <w:tc>
          <w:tcPr>
            <w:tcW w:w="1134" w:type="dxa"/>
            <w:vAlign w:val="center"/>
          </w:tcPr>
          <w:p>
            <w:pPr>
              <w:pStyle w:val="12"/>
            </w:pPr>
            <w:r>
              <w:t>1.10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4"/>
            </w:pPr>
            <w:r>
              <w:t>13</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23.00</w:t>
            </w:r>
          </w:p>
        </w:tc>
        <w:tc>
          <w:tcPr>
            <w:tcW w:w="1134" w:type="dxa"/>
            <w:vAlign w:val="center"/>
          </w:tcPr>
          <w:p>
            <w:pPr>
              <w:pStyle w:val="12"/>
            </w:pPr>
            <w:r>
              <w:t>23.00</w:t>
            </w:r>
          </w:p>
        </w:tc>
        <w:tc>
          <w:tcPr>
            <w:tcW w:w="1134" w:type="dxa"/>
            <w:vAlign w:val="center"/>
          </w:tcPr>
          <w:p>
            <w:pPr>
              <w:pStyle w:val="12"/>
            </w:pPr>
            <w:r>
              <w:t>23.00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23.00</w:t>
            </w:r>
          </w:p>
        </w:tc>
        <w:tc>
          <w:tcPr>
            <w:tcW w:w="1134" w:type="dxa"/>
            <w:vAlign w:val="center"/>
          </w:tcPr>
          <w:p>
            <w:pPr>
              <w:pStyle w:val="12"/>
            </w:pPr>
            <w:r>
              <w:t>23.00</w:t>
            </w:r>
          </w:p>
        </w:tc>
        <w:tc>
          <w:tcPr>
            <w:tcW w:w="1134" w:type="dxa"/>
            <w:vAlign w:val="center"/>
          </w:tcPr>
          <w:p>
            <w:pPr>
              <w:pStyle w:val="12"/>
            </w:pPr>
            <w:r>
              <w:t>23.00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23.00</w:t>
            </w:r>
          </w:p>
        </w:tc>
        <w:tc>
          <w:tcPr>
            <w:tcW w:w="1134" w:type="dxa"/>
            <w:vAlign w:val="center"/>
          </w:tcPr>
          <w:p>
            <w:pPr>
              <w:pStyle w:val="12"/>
            </w:pPr>
            <w:r>
              <w:t>23.00</w:t>
            </w:r>
          </w:p>
        </w:tc>
        <w:tc>
          <w:tcPr>
            <w:tcW w:w="1134" w:type="dxa"/>
            <w:vAlign w:val="center"/>
          </w:tcPr>
          <w:p>
            <w:pPr>
              <w:pStyle w:val="12"/>
            </w:pPr>
            <w:r>
              <w:t>23.00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359无极县融媒体中心（无极县广播电视台）</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520.50</w:t>
            </w:r>
          </w:p>
        </w:tc>
        <w:tc>
          <w:tcPr>
            <w:tcW w:w="1361" w:type="dxa"/>
            <w:vAlign w:val="center"/>
          </w:tcPr>
          <w:p>
            <w:pPr>
              <w:pStyle w:val="16"/>
            </w:pPr>
            <w:r>
              <w:t>483.20</w:t>
            </w:r>
          </w:p>
        </w:tc>
        <w:tc>
          <w:tcPr>
            <w:tcW w:w="1361" w:type="dxa"/>
            <w:vAlign w:val="center"/>
          </w:tcPr>
          <w:p>
            <w:pPr>
              <w:pStyle w:val="16"/>
            </w:pPr>
            <w:r>
              <w:t>37.30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425.00</w:t>
            </w:r>
          </w:p>
        </w:tc>
        <w:tc>
          <w:tcPr>
            <w:tcW w:w="1361" w:type="dxa"/>
            <w:vAlign w:val="center"/>
          </w:tcPr>
          <w:p>
            <w:pPr>
              <w:pStyle w:val="12"/>
            </w:pPr>
            <w:r>
              <w:t>387.70</w:t>
            </w:r>
          </w:p>
        </w:tc>
        <w:tc>
          <w:tcPr>
            <w:tcW w:w="1361" w:type="dxa"/>
            <w:vAlign w:val="center"/>
          </w:tcPr>
          <w:p>
            <w:pPr>
              <w:pStyle w:val="12"/>
            </w:pPr>
            <w:r>
              <w:t>37.30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20708</w:t>
            </w:r>
          </w:p>
        </w:tc>
        <w:tc>
          <w:tcPr>
            <w:tcW w:w="4535" w:type="dxa"/>
            <w:vAlign w:val="center"/>
          </w:tcPr>
          <w:p>
            <w:pPr>
              <w:pStyle w:val="13"/>
            </w:pPr>
            <w:r>
              <w:t>广播电视</w:t>
            </w:r>
          </w:p>
        </w:tc>
        <w:tc>
          <w:tcPr>
            <w:tcW w:w="1361" w:type="dxa"/>
            <w:vAlign w:val="center"/>
          </w:tcPr>
          <w:p>
            <w:pPr>
              <w:pStyle w:val="12"/>
            </w:pPr>
            <w:r>
              <w:t>425.00</w:t>
            </w:r>
          </w:p>
        </w:tc>
        <w:tc>
          <w:tcPr>
            <w:tcW w:w="1361" w:type="dxa"/>
            <w:vAlign w:val="center"/>
          </w:tcPr>
          <w:p>
            <w:pPr>
              <w:pStyle w:val="12"/>
            </w:pPr>
            <w:r>
              <w:t>387.70</w:t>
            </w:r>
          </w:p>
        </w:tc>
        <w:tc>
          <w:tcPr>
            <w:tcW w:w="1361" w:type="dxa"/>
            <w:vAlign w:val="center"/>
          </w:tcPr>
          <w:p>
            <w:pPr>
              <w:pStyle w:val="12"/>
            </w:pPr>
            <w:r>
              <w:t>37.30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2070801</w:t>
            </w:r>
          </w:p>
        </w:tc>
        <w:tc>
          <w:tcPr>
            <w:tcW w:w="4535" w:type="dxa"/>
            <w:vAlign w:val="center"/>
          </w:tcPr>
          <w:p>
            <w:pPr>
              <w:pStyle w:val="13"/>
            </w:pPr>
            <w:r>
              <w:t>行政运行</w:t>
            </w:r>
          </w:p>
        </w:tc>
        <w:tc>
          <w:tcPr>
            <w:tcW w:w="1361" w:type="dxa"/>
            <w:vAlign w:val="center"/>
          </w:tcPr>
          <w:p>
            <w:pPr>
              <w:pStyle w:val="12"/>
            </w:pPr>
            <w:r>
              <w:t>387.70</w:t>
            </w:r>
          </w:p>
        </w:tc>
        <w:tc>
          <w:tcPr>
            <w:tcW w:w="1361" w:type="dxa"/>
            <w:vAlign w:val="center"/>
          </w:tcPr>
          <w:p>
            <w:pPr>
              <w:pStyle w:val="12"/>
            </w:pPr>
            <w:r>
              <w:t>387.70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2070808</w:t>
            </w:r>
          </w:p>
        </w:tc>
        <w:tc>
          <w:tcPr>
            <w:tcW w:w="4535" w:type="dxa"/>
            <w:vAlign w:val="center"/>
          </w:tcPr>
          <w:p>
            <w:pPr>
              <w:pStyle w:val="13"/>
            </w:pPr>
            <w:r>
              <w:t>广播电视事务</w:t>
            </w:r>
          </w:p>
        </w:tc>
        <w:tc>
          <w:tcPr>
            <w:tcW w:w="1361" w:type="dxa"/>
            <w:vAlign w:val="center"/>
          </w:tcPr>
          <w:p>
            <w:pPr>
              <w:pStyle w:val="12"/>
            </w:pPr>
            <w:r>
              <w:t>37.30</w:t>
            </w:r>
          </w:p>
        </w:tc>
        <w:tc>
          <w:tcPr>
            <w:tcW w:w="1361" w:type="dxa"/>
            <w:vAlign w:val="center"/>
          </w:tcPr>
          <w:p>
            <w:pPr>
              <w:pStyle w:val="12"/>
            </w:pPr>
          </w:p>
        </w:tc>
        <w:tc>
          <w:tcPr>
            <w:tcW w:w="1361" w:type="dxa"/>
            <w:vAlign w:val="center"/>
          </w:tcPr>
          <w:p>
            <w:pPr>
              <w:pStyle w:val="12"/>
            </w:pPr>
            <w:r>
              <w:t>37.30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72.50</w:t>
            </w:r>
          </w:p>
        </w:tc>
        <w:tc>
          <w:tcPr>
            <w:tcW w:w="1361" w:type="dxa"/>
            <w:vAlign w:val="center"/>
          </w:tcPr>
          <w:p>
            <w:pPr>
              <w:pStyle w:val="12"/>
            </w:pPr>
            <w:r>
              <w:t>72.50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69.20</w:t>
            </w:r>
          </w:p>
        </w:tc>
        <w:tc>
          <w:tcPr>
            <w:tcW w:w="1361" w:type="dxa"/>
            <w:vAlign w:val="center"/>
          </w:tcPr>
          <w:p>
            <w:pPr>
              <w:pStyle w:val="12"/>
            </w:pPr>
            <w:r>
              <w:t>69.20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59.00</w:t>
            </w:r>
          </w:p>
        </w:tc>
        <w:tc>
          <w:tcPr>
            <w:tcW w:w="1361" w:type="dxa"/>
            <w:vAlign w:val="center"/>
          </w:tcPr>
          <w:p>
            <w:pPr>
              <w:pStyle w:val="12"/>
            </w:pPr>
            <w:r>
              <w:t>59.00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10.20</w:t>
            </w:r>
          </w:p>
        </w:tc>
        <w:tc>
          <w:tcPr>
            <w:tcW w:w="1361" w:type="dxa"/>
            <w:vAlign w:val="center"/>
          </w:tcPr>
          <w:p>
            <w:pPr>
              <w:pStyle w:val="12"/>
            </w:pPr>
            <w:r>
              <w:t>10.20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3.30</w:t>
            </w:r>
          </w:p>
        </w:tc>
        <w:tc>
          <w:tcPr>
            <w:tcW w:w="1361" w:type="dxa"/>
            <w:vAlign w:val="center"/>
          </w:tcPr>
          <w:p>
            <w:pPr>
              <w:pStyle w:val="12"/>
            </w:pPr>
            <w:r>
              <w:t>3.30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2.20</w:t>
            </w:r>
          </w:p>
        </w:tc>
        <w:tc>
          <w:tcPr>
            <w:tcW w:w="1361" w:type="dxa"/>
            <w:vAlign w:val="center"/>
          </w:tcPr>
          <w:p>
            <w:pPr>
              <w:pStyle w:val="12"/>
            </w:pPr>
            <w:r>
              <w:t>2.20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1.10</w:t>
            </w:r>
          </w:p>
        </w:tc>
        <w:tc>
          <w:tcPr>
            <w:tcW w:w="1361" w:type="dxa"/>
            <w:vAlign w:val="center"/>
          </w:tcPr>
          <w:p>
            <w:pPr>
              <w:pStyle w:val="12"/>
            </w:pPr>
            <w:r>
              <w:t>1.10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23.00</w:t>
            </w:r>
          </w:p>
        </w:tc>
        <w:tc>
          <w:tcPr>
            <w:tcW w:w="1361" w:type="dxa"/>
            <w:vAlign w:val="center"/>
          </w:tcPr>
          <w:p>
            <w:pPr>
              <w:pStyle w:val="12"/>
            </w:pPr>
            <w:r>
              <w:t>23.00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23.00</w:t>
            </w:r>
          </w:p>
        </w:tc>
        <w:tc>
          <w:tcPr>
            <w:tcW w:w="1361" w:type="dxa"/>
            <w:vAlign w:val="center"/>
          </w:tcPr>
          <w:p>
            <w:pPr>
              <w:pStyle w:val="12"/>
            </w:pPr>
            <w:r>
              <w:t>23.00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23.00</w:t>
            </w:r>
          </w:p>
        </w:tc>
        <w:tc>
          <w:tcPr>
            <w:tcW w:w="1361" w:type="dxa"/>
            <w:vAlign w:val="center"/>
          </w:tcPr>
          <w:p>
            <w:pPr>
              <w:pStyle w:val="12"/>
            </w:pPr>
            <w:r>
              <w:t>23.00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359无极县融媒体中心（无极县广播电视台）</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506.90</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425.00</w:t>
            </w:r>
          </w:p>
        </w:tc>
        <w:tc>
          <w:tcPr>
            <w:tcW w:w="1474" w:type="dxa"/>
            <w:vAlign w:val="center"/>
          </w:tcPr>
          <w:p>
            <w:pPr>
              <w:pStyle w:val="12"/>
            </w:pPr>
            <w:r>
              <w:t>425.00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72.50</w:t>
            </w:r>
          </w:p>
        </w:tc>
        <w:tc>
          <w:tcPr>
            <w:tcW w:w="1474" w:type="dxa"/>
            <w:vAlign w:val="center"/>
          </w:tcPr>
          <w:p>
            <w:pPr>
              <w:pStyle w:val="12"/>
            </w:pPr>
            <w:r>
              <w:t>72.50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23.00</w:t>
            </w:r>
          </w:p>
        </w:tc>
        <w:tc>
          <w:tcPr>
            <w:tcW w:w="1474" w:type="dxa"/>
            <w:vAlign w:val="center"/>
          </w:tcPr>
          <w:p>
            <w:pPr>
              <w:pStyle w:val="12"/>
            </w:pPr>
            <w:r>
              <w:t>23.00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506.90</w:t>
            </w:r>
          </w:p>
        </w:tc>
        <w:tc>
          <w:tcPr>
            <w:tcW w:w="3402" w:type="dxa"/>
            <w:vAlign w:val="center"/>
          </w:tcPr>
          <w:p>
            <w:pPr>
              <w:pStyle w:val="15"/>
            </w:pPr>
            <w:r>
              <w:t>本年支出合计</w:t>
            </w:r>
          </w:p>
        </w:tc>
        <w:tc>
          <w:tcPr>
            <w:tcW w:w="1474" w:type="dxa"/>
            <w:vAlign w:val="center"/>
          </w:tcPr>
          <w:p>
            <w:pPr>
              <w:pStyle w:val="16"/>
            </w:pPr>
            <w:r>
              <w:t>520.50</w:t>
            </w:r>
          </w:p>
        </w:tc>
        <w:tc>
          <w:tcPr>
            <w:tcW w:w="1474" w:type="dxa"/>
            <w:vAlign w:val="center"/>
          </w:tcPr>
          <w:p>
            <w:pPr>
              <w:pStyle w:val="16"/>
            </w:pPr>
            <w:r>
              <w:t>520.50</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13.60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13.60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520.50</w:t>
            </w:r>
          </w:p>
        </w:tc>
        <w:tc>
          <w:tcPr>
            <w:tcW w:w="3402" w:type="dxa"/>
            <w:vAlign w:val="center"/>
          </w:tcPr>
          <w:p>
            <w:pPr>
              <w:pStyle w:val="15"/>
            </w:pPr>
            <w:r>
              <w:t>支出总计</w:t>
            </w:r>
          </w:p>
        </w:tc>
        <w:tc>
          <w:tcPr>
            <w:tcW w:w="1474" w:type="dxa"/>
            <w:vAlign w:val="center"/>
          </w:tcPr>
          <w:p>
            <w:pPr>
              <w:pStyle w:val="16"/>
            </w:pPr>
            <w:r>
              <w:t>520.50</w:t>
            </w:r>
          </w:p>
        </w:tc>
        <w:tc>
          <w:tcPr>
            <w:tcW w:w="1474" w:type="dxa"/>
            <w:vAlign w:val="center"/>
          </w:tcPr>
          <w:p>
            <w:pPr>
              <w:pStyle w:val="16"/>
            </w:pPr>
            <w:r>
              <w:t>520.50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359无极县融媒体中心（无极县广播电视台）</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520.50</w:t>
            </w:r>
          </w:p>
        </w:tc>
        <w:tc>
          <w:tcPr>
            <w:tcW w:w="2551" w:type="dxa"/>
            <w:vAlign w:val="center"/>
          </w:tcPr>
          <w:p>
            <w:pPr>
              <w:pStyle w:val="16"/>
            </w:pPr>
            <w:r>
              <w:t>483.20</w:t>
            </w:r>
          </w:p>
        </w:tc>
        <w:tc>
          <w:tcPr>
            <w:tcW w:w="2551" w:type="dxa"/>
            <w:vAlign w:val="center"/>
          </w:tcPr>
          <w:p>
            <w:pPr>
              <w:pStyle w:val="16"/>
            </w:pPr>
            <w:r>
              <w:t>37.30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425.00</w:t>
            </w:r>
          </w:p>
        </w:tc>
        <w:tc>
          <w:tcPr>
            <w:tcW w:w="2551" w:type="dxa"/>
            <w:vAlign w:val="center"/>
          </w:tcPr>
          <w:p>
            <w:pPr>
              <w:pStyle w:val="12"/>
            </w:pPr>
            <w:r>
              <w:t>387.70</w:t>
            </w:r>
          </w:p>
        </w:tc>
        <w:tc>
          <w:tcPr>
            <w:tcW w:w="2551" w:type="dxa"/>
            <w:vAlign w:val="center"/>
          </w:tcPr>
          <w:p>
            <w:pPr>
              <w:pStyle w:val="12"/>
            </w:pPr>
            <w:r>
              <w:t>37.30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20708</w:t>
            </w:r>
          </w:p>
        </w:tc>
        <w:tc>
          <w:tcPr>
            <w:tcW w:w="4535" w:type="dxa"/>
            <w:vAlign w:val="center"/>
          </w:tcPr>
          <w:p>
            <w:pPr>
              <w:pStyle w:val="13"/>
            </w:pPr>
            <w:r>
              <w:t>广播电视</w:t>
            </w:r>
          </w:p>
        </w:tc>
        <w:tc>
          <w:tcPr>
            <w:tcW w:w="2551" w:type="dxa"/>
            <w:vAlign w:val="center"/>
          </w:tcPr>
          <w:p>
            <w:pPr>
              <w:pStyle w:val="12"/>
            </w:pPr>
            <w:r>
              <w:t>425.00</w:t>
            </w:r>
          </w:p>
        </w:tc>
        <w:tc>
          <w:tcPr>
            <w:tcW w:w="2551" w:type="dxa"/>
            <w:vAlign w:val="center"/>
          </w:tcPr>
          <w:p>
            <w:pPr>
              <w:pStyle w:val="12"/>
            </w:pPr>
            <w:r>
              <w:t>387.70</w:t>
            </w:r>
          </w:p>
        </w:tc>
        <w:tc>
          <w:tcPr>
            <w:tcW w:w="2551" w:type="dxa"/>
            <w:vAlign w:val="center"/>
          </w:tcPr>
          <w:p>
            <w:pPr>
              <w:pStyle w:val="12"/>
            </w:pPr>
            <w:r>
              <w:t>37.30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2070801</w:t>
            </w:r>
          </w:p>
        </w:tc>
        <w:tc>
          <w:tcPr>
            <w:tcW w:w="4535" w:type="dxa"/>
            <w:vAlign w:val="center"/>
          </w:tcPr>
          <w:p>
            <w:pPr>
              <w:pStyle w:val="13"/>
            </w:pPr>
            <w:r>
              <w:t>行政运行</w:t>
            </w:r>
          </w:p>
        </w:tc>
        <w:tc>
          <w:tcPr>
            <w:tcW w:w="2551" w:type="dxa"/>
            <w:vAlign w:val="center"/>
          </w:tcPr>
          <w:p>
            <w:pPr>
              <w:pStyle w:val="12"/>
            </w:pPr>
            <w:r>
              <w:t>387.70</w:t>
            </w:r>
          </w:p>
        </w:tc>
        <w:tc>
          <w:tcPr>
            <w:tcW w:w="2551" w:type="dxa"/>
            <w:vAlign w:val="center"/>
          </w:tcPr>
          <w:p>
            <w:pPr>
              <w:pStyle w:val="12"/>
            </w:pPr>
            <w:r>
              <w:t>387.70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2070808</w:t>
            </w:r>
          </w:p>
        </w:tc>
        <w:tc>
          <w:tcPr>
            <w:tcW w:w="4535" w:type="dxa"/>
            <w:vAlign w:val="center"/>
          </w:tcPr>
          <w:p>
            <w:pPr>
              <w:pStyle w:val="13"/>
            </w:pPr>
            <w:r>
              <w:t>广播电视事务</w:t>
            </w:r>
          </w:p>
        </w:tc>
        <w:tc>
          <w:tcPr>
            <w:tcW w:w="2551" w:type="dxa"/>
            <w:vAlign w:val="center"/>
          </w:tcPr>
          <w:p>
            <w:pPr>
              <w:pStyle w:val="12"/>
            </w:pPr>
            <w:r>
              <w:t>37.30</w:t>
            </w:r>
          </w:p>
        </w:tc>
        <w:tc>
          <w:tcPr>
            <w:tcW w:w="2551" w:type="dxa"/>
            <w:vAlign w:val="center"/>
          </w:tcPr>
          <w:p>
            <w:pPr>
              <w:pStyle w:val="12"/>
            </w:pPr>
          </w:p>
        </w:tc>
        <w:tc>
          <w:tcPr>
            <w:tcW w:w="2551" w:type="dxa"/>
            <w:vAlign w:val="center"/>
          </w:tcPr>
          <w:p>
            <w:pPr>
              <w:pStyle w:val="12"/>
            </w:pPr>
            <w:r>
              <w:t>37.30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72.50</w:t>
            </w:r>
          </w:p>
        </w:tc>
        <w:tc>
          <w:tcPr>
            <w:tcW w:w="2551" w:type="dxa"/>
            <w:vAlign w:val="center"/>
          </w:tcPr>
          <w:p>
            <w:pPr>
              <w:pStyle w:val="12"/>
            </w:pPr>
            <w:r>
              <w:t>72.50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69.20</w:t>
            </w:r>
          </w:p>
        </w:tc>
        <w:tc>
          <w:tcPr>
            <w:tcW w:w="2551" w:type="dxa"/>
            <w:vAlign w:val="center"/>
          </w:tcPr>
          <w:p>
            <w:pPr>
              <w:pStyle w:val="12"/>
            </w:pPr>
            <w:r>
              <w:t>69.20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59.00</w:t>
            </w:r>
          </w:p>
        </w:tc>
        <w:tc>
          <w:tcPr>
            <w:tcW w:w="2551" w:type="dxa"/>
            <w:vAlign w:val="center"/>
          </w:tcPr>
          <w:p>
            <w:pPr>
              <w:pStyle w:val="12"/>
            </w:pPr>
            <w:r>
              <w:t>59.00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10.20</w:t>
            </w:r>
          </w:p>
        </w:tc>
        <w:tc>
          <w:tcPr>
            <w:tcW w:w="2551" w:type="dxa"/>
            <w:vAlign w:val="center"/>
          </w:tcPr>
          <w:p>
            <w:pPr>
              <w:pStyle w:val="12"/>
            </w:pPr>
            <w:r>
              <w:t>10.20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3.30</w:t>
            </w:r>
          </w:p>
        </w:tc>
        <w:tc>
          <w:tcPr>
            <w:tcW w:w="2551" w:type="dxa"/>
            <w:vAlign w:val="center"/>
          </w:tcPr>
          <w:p>
            <w:pPr>
              <w:pStyle w:val="12"/>
            </w:pPr>
            <w:r>
              <w:t>3.30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2.20</w:t>
            </w:r>
          </w:p>
        </w:tc>
        <w:tc>
          <w:tcPr>
            <w:tcW w:w="2551" w:type="dxa"/>
            <w:vAlign w:val="center"/>
          </w:tcPr>
          <w:p>
            <w:pPr>
              <w:pStyle w:val="12"/>
            </w:pPr>
            <w:r>
              <w:t>2.20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1.10</w:t>
            </w:r>
          </w:p>
        </w:tc>
        <w:tc>
          <w:tcPr>
            <w:tcW w:w="2551" w:type="dxa"/>
            <w:vAlign w:val="center"/>
          </w:tcPr>
          <w:p>
            <w:pPr>
              <w:pStyle w:val="12"/>
            </w:pPr>
            <w:r>
              <w:t>1.10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23.00</w:t>
            </w:r>
          </w:p>
        </w:tc>
        <w:tc>
          <w:tcPr>
            <w:tcW w:w="2551" w:type="dxa"/>
            <w:vAlign w:val="center"/>
          </w:tcPr>
          <w:p>
            <w:pPr>
              <w:pStyle w:val="12"/>
            </w:pPr>
            <w:r>
              <w:t>23.00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23.00</w:t>
            </w:r>
          </w:p>
        </w:tc>
        <w:tc>
          <w:tcPr>
            <w:tcW w:w="2551" w:type="dxa"/>
            <w:vAlign w:val="center"/>
          </w:tcPr>
          <w:p>
            <w:pPr>
              <w:pStyle w:val="12"/>
            </w:pPr>
            <w:r>
              <w:t>23.00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23.00</w:t>
            </w:r>
          </w:p>
        </w:tc>
        <w:tc>
          <w:tcPr>
            <w:tcW w:w="2551" w:type="dxa"/>
            <w:vAlign w:val="center"/>
          </w:tcPr>
          <w:p>
            <w:pPr>
              <w:pStyle w:val="12"/>
            </w:pPr>
            <w:r>
              <w:t>23.00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359无极县融媒体中心（无极县广播电视台）</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483.20</w:t>
            </w:r>
          </w:p>
        </w:tc>
        <w:tc>
          <w:tcPr>
            <w:tcW w:w="2551" w:type="dxa"/>
            <w:vAlign w:val="center"/>
          </w:tcPr>
          <w:p>
            <w:pPr>
              <w:pStyle w:val="16"/>
            </w:pPr>
            <w:r>
              <w:t>444.20</w:t>
            </w:r>
          </w:p>
        </w:tc>
        <w:tc>
          <w:tcPr>
            <w:tcW w:w="2551" w:type="dxa"/>
            <w:vAlign w:val="center"/>
          </w:tcPr>
          <w:p>
            <w:pPr>
              <w:pStyle w:val="16"/>
            </w:pPr>
            <w:r>
              <w:t>39.00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399.30</w:t>
            </w:r>
          </w:p>
        </w:tc>
        <w:tc>
          <w:tcPr>
            <w:tcW w:w="2551" w:type="dxa"/>
            <w:vAlign w:val="center"/>
          </w:tcPr>
          <w:p>
            <w:pPr>
              <w:pStyle w:val="12"/>
            </w:pPr>
            <w:r>
              <w:t>399.30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162.00</w:t>
            </w:r>
          </w:p>
        </w:tc>
        <w:tc>
          <w:tcPr>
            <w:tcW w:w="2551" w:type="dxa"/>
            <w:vAlign w:val="center"/>
          </w:tcPr>
          <w:p>
            <w:pPr>
              <w:pStyle w:val="12"/>
            </w:pPr>
            <w:r>
              <w:t>162.00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24.80</w:t>
            </w:r>
          </w:p>
        </w:tc>
        <w:tc>
          <w:tcPr>
            <w:tcW w:w="2551" w:type="dxa"/>
            <w:vAlign w:val="center"/>
          </w:tcPr>
          <w:p>
            <w:pPr>
              <w:pStyle w:val="12"/>
            </w:pPr>
            <w:r>
              <w:t>24.80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117.00</w:t>
            </w:r>
          </w:p>
        </w:tc>
        <w:tc>
          <w:tcPr>
            <w:tcW w:w="2551" w:type="dxa"/>
            <w:vAlign w:val="center"/>
          </w:tcPr>
          <w:p>
            <w:pPr>
              <w:pStyle w:val="12"/>
            </w:pPr>
            <w:r>
              <w:t>117.00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59.00</w:t>
            </w:r>
          </w:p>
        </w:tc>
        <w:tc>
          <w:tcPr>
            <w:tcW w:w="2551" w:type="dxa"/>
            <w:vAlign w:val="center"/>
          </w:tcPr>
          <w:p>
            <w:pPr>
              <w:pStyle w:val="12"/>
            </w:pPr>
            <w:r>
              <w:t>59.00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10.20</w:t>
            </w:r>
          </w:p>
        </w:tc>
        <w:tc>
          <w:tcPr>
            <w:tcW w:w="2551" w:type="dxa"/>
            <w:vAlign w:val="center"/>
          </w:tcPr>
          <w:p>
            <w:pPr>
              <w:pStyle w:val="12"/>
            </w:pPr>
            <w:r>
              <w:t>10.20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23.00</w:t>
            </w:r>
          </w:p>
        </w:tc>
        <w:tc>
          <w:tcPr>
            <w:tcW w:w="2551" w:type="dxa"/>
            <w:vAlign w:val="center"/>
          </w:tcPr>
          <w:p>
            <w:pPr>
              <w:pStyle w:val="12"/>
            </w:pPr>
            <w:r>
              <w:t>23.00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3.30</w:t>
            </w:r>
          </w:p>
        </w:tc>
        <w:tc>
          <w:tcPr>
            <w:tcW w:w="2551" w:type="dxa"/>
            <w:vAlign w:val="center"/>
          </w:tcPr>
          <w:p>
            <w:pPr>
              <w:pStyle w:val="12"/>
            </w:pPr>
            <w:r>
              <w:t>3.30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39.00</w:t>
            </w:r>
          </w:p>
        </w:tc>
        <w:tc>
          <w:tcPr>
            <w:tcW w:w="2551" w:type="dxa"/>
            <w:vAlign w:val="center"/>
          </w:tcPr>
          <w:p>
            <w:pPr>
              <w:pStyle w:val="12"/>
            </w:pPr>
          </w:p>
        </w:tc>
        <w:tc>
          <w:tcPr>
            <w:tcW w:w="2551" w:type="dxa"/>
            <w:vAlign w:val="center"/>
          </w:tcPr>
          <w:p>
            <w:pPr>
              <w:pStyle w:val="12"/>
            </w:pPr>
            <w:r>
              <w:t>39.00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19.00</w:t>
            </w:r>
          </w:p>
        </w:tc>
        <w:tc>
          <w:tcPr>
            <w:tcW w:w="2551" w:type="dxa"/>
            <w:vAlign w:val="center"/>
          </w:tcPr>
          <w:p>
            <w:pPr>
              <w:pStyle w:val="12"/>
            </w:pPr>
          </w:p>
        </w:tc>
        <w:tc>
          <w:tcPr>
            <w:tcW w:w="2551" w:type="dxa"/>
            <w:vAlign w:val="center"/>
          </w:tcPr>
          <w:p>
            <w:pPr>
              <w:pStyle w:val="12"/>
            </w:pPr>
            <w:r>
              <w:t>19.00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44.90</w:t>
            </w:r>
          </w:p>
        </w:tc>
        <w:tc>
          <w:tcPr>
            <w:tcW w:w="2551" w:type="dxa"/>
            <w:vAlign w:val="center"/>
          </w:tcPr>
          <w:p>
            <w:pPr>
              <w:pStyle w:val="12"/>
            </w:pPr>
            <w:r>
              <w:t>44.90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44.90</w:t>
            </w:r>
          </w:p>
        </w:tc>
        <w:tc>
          <w:tcPr>
            <w:tcW w:w="2551" w:type="dxa"/>
            <w:vAlign w:val="center"/>
          </w:tcPr>
          <w:p>
            <w:pPr>
              <w:pStyle w:val="12"/>
            </w:pPr>
            <w:r>
              <w:t>44.90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359无极县融媒体中心（无极县广播电视台）</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359无极县融媒体中心（无极县广播电视台）</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359无极县融媒体中心（无极县广播电视台）</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无极县融媒体中心（无极县广播电视台）2025年部门预算信息公开情况说明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无极县融媒体中心（无极县广播电视台）2025年部门预算信息公开情况说明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按照《中华人民共和国预算法》、《地方预决算公开操作规程》和《关于进一步推进预算公开工作的实施意见》规定，现将无极县融媒体中心（无极县广播电视台）2025年部门预算公开如下：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部门职责：</w:t>
      </w:r>
    </w:p>
    <w:p>
      <w:pPr>
        <w:pStyle w:val="18"/>
      </w:pPr>
      <w:r>
        <w:t>负责县域内各类新闻资讯的采集和编辑；</w:t>
      </w:r>
    </w:p>
    <w:p>
      <w:pPr>
        <w:pStyle w:val="18"/>
      </w:pPr>
      <w:r>
        <w:t>宣传上级党委、政府的决策部署，中心工作及重点工作，宣传本地党委和政府工作安排，传播本地政经资讯；</w:t>
      </w:r>
    </w:p>
    <w:p>
      <w:pPr>
        <w:pStyle w:val="18"/>
      </w:pPr>
      <w:r>
        <w:t>向基层干部群众提供政务服务、生活服务、社会传播、教育培训等综合服务。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无极县融媒体中心(无极县广播电视台)本级</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按照预算管理有关规定，目前部门预算的编制实行综合预算管理，即全部收入和支出都反映在预算中。无极县融媒体中心（无极县广播电视台）机关及所属事业单位的收支包含在部门预算中。</w:t>
      </w:r>
    </w:p>
    <w:p>
      <w:pPr>
        <w:pStyle w:val="19"/>
      </w:pPr>
      <w:r>
        <w:t>1、收入说明</w:t>
      </w:r>
    </w:p>
    <w:p>
      <w:pPr>
        <w:pStyle w:val="19"/>
      </w:pPr>
      <w:r>
        <w:t>反映本部门当年全部收入。2025年预算收入520.50万元，其中：一般公共预算收入506.90万元，基金预算收入0.00万元，国有资本经营预算收入0.00万元，财政专户核拨收入0.00万元，单位资金收入0.00万元，上年结转结余13.60万元。</w:t>
      </w:r>
    </w:p>
    <w:p>
      <w:pPr>
        <w:pStyle w:val="19"/>
      </w:pPr>
      <w:r>
        <w:t>2、支出说明</w:t>
      </w:r>
    </w:p>
    <w:p>
      <w:pPr>
        <w:pStyle w:val="19"/>
        <w:rPr>
          <w:rFonts w:hint="eastAsia"/>
          <w:lang w:val="en-US" w:eastAsia="zh-CN"/>
        </w:rPr>
      </w:pPr>
      <w:r>
        <w:t>收支预算总表支出栏、基本支出表、项目支出表按经济分类和支出功能分类科目编制，反映无极县融媒体中心（无极县广播电视台）年度部门预算中支出预算的总体情况。2025年支出预算520.50万元，其中基本支出483.20万元，包括人员经费444.20万元和日常公用经费39.00万元；项目支出37.30万元，主要为2024年中央补助地方公共文化服务体系建设专项资</w:t>
      </w:r>
      <w:r>
        <w:rPr>
          <w:rFonts w:hint="eastAsia"/>
          <w:lang w:val="en-US" w:eastAsia="zh-CN"/>
        </w:rPr>
        <w:t>13.6万元，</w:t>
      </w:r>
      <w:r>
        <w:t>关于提前下达2025年中央支持地方公共文化服务体系建设补助资金预算的通知</w:t>
      </w:r>
      <w:r>
        <w:rPr>
          <w:rFonts w:hint="eastAsia"/>
          <w:lang w:val="en-US" w:eastAsia="zh-CN"/>
        </w:rPr>
        <w:t>23.7万元。</w:t>
      </w:r>
    </w:p>
    <w:p>
      <w:pPr>
        <w:pStyle w:val="19"/>
      </w:pPr>
      <w:r>
        <w:t>3、比上年增减情况</w:t>
      </w:r>
    </w:p>
    <w:p>
      <w:pPr>
        <w:pStyle w:val="19"/>
      </w:pPr>
      <w:r>
        <w:t>2025年预算收支安排520.50万元，较2024年预算减少303.75万元，其中：基本支出减少317.35万元，主要为</w:t>
      </w:r>
      <w:r>
        <w:rPr>
          <w:rFonts w:hint="eastAsia"/>
          <w:lang w:val="en-US" w:eastAsia="zh-CN"/>
        </w:rPr>
        <w:t>人员经费减少。</w:t>
      </w:r>
      <w:r>
        <w:t>项目支出增加13.60万元，主要为2024年中央补助地方公共文化服务体系建设专项资</w:t>
      </w:r>
      <w:r>
        <w:rPr>
          <w:rFonts w:hint="eastAsia"/>
          <w:lang w:val="en-US" w:eastAsia="zh-CN"/>
        </w:rPr>
        <w:t>13.6万元。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2025年，我部门机关运行经费共计安排39.00万元，主要用于日常维修、办公用房水电费、办公用房取暖费、办公用房物业管理费等日常运行支出。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rPr>
          <w:rFonts w:hint="eastAsia" w:eastAsia="方正仿宋_GBK"/>
          <w:lang w:eastAsia="zh-CN"/>
        </w:rPr>
      </w:pPr>
      <w:r>
        <w:t>2025年，我部门财政拨款“三公”经费预算安排0.00万元，其中因公出国（境）费0.00万元；公务用车购置及运维费0.00万元（其中：公务用车购置费为0.00万元，公务用车运维费0.00万元)；公务接待费0.00万元。与2024年相比增加0.00万元，增减变化的主要原因是我部门未安排三公经费</w:t>
      </w:r>
      <w:r>
        <w:rPr>
          <w:rFonts w:hint="eastAsia"/>
          <w:lang w:eastAsia="zh-CN"/>
        </w:rP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2025年部门总体绩效目标</w:t>
      </w:r>
    </w:p>
    <w:p>
      <w:pPr>
        <w:pStyle w:val="22"/>
      </w:pPr>
      <w:r>
        <w:t xml:space="preserve">根据县委、县政府赋予职能及确定的无极县融媒体中心(无极县广播电视台)任务，2025年利用财政资金所达到的绩效目标： </w:t>
      </w:r>
    </w:p>
    <w:p>
      <w:pPr>
        <w:pStyle w:val="22"/>
      </w:pPr>
      <w:r>
        <w:t>集中报道全县上下高标准、高站位、大力度谋划和推动企业突破性发展、招商引资、环保治理等方面工作取得的成效，集中展示经济平稳较快增长、各项事业蓬勃发展的良好局面。重点报道各级部门转变观念，优化发展环境的重要举措，着力营造让投资者认可、让群众满意的营商环境。全程跟踪城乡环境整治、城镇建设、“双违”整治、生态环境保护、脱贫攻坚、重点工程建设进度，全面深入反映各级各部门认真贯彻落实县委县政府决策部署，齐心协力开展城乡建设热潮的先进经验、先进做法。宣传全县创新思路，创新形式，加快先进文化建设。在精办栏目上下功夫，坚持“三贴近”原则，始终把满足人民群众文化生活需要作为《无极新闻》、《14号演播室》、《无极教育》等品牌栏目建设的出发点和落脚点，积极探索，大胆改革，不断丰富栏目内容。做好经营创收工作及按照相关规定做好公益广告的播出级依照广告法经营好各类广告业务。完整传输中央、省、市、县广播电视节目及公益无线数字电视传输，保证安全播出。</w:t>
      </w:r>
    </w:p>
    <w:p>
      <w:pPr>
        <w:pStyle w:val="22"/>
      </w:pPr>
      <w:r>
        <w:t>（二）分项绩效目标</w:t>
      </w:r>
    </w:p>
    <w:p>
      <w:pPr>
        <w:pStyle w:val="22"/>
      </w:pPr>
      <w:r>
        <w:t>分项绩效目标</w:t>
      </w:r>
    </w:p>
    <w:p>
      <w:pPr>
        <w:pStyle w:val="22"/>
      </w:pPr>
      <w:r>
        <w:t>1、新闻出版广播影视事业建设更高效</w:t>
      </w:r>
    </w:p>
    <w:p>
      <w:pPr>
        <w:pStyle w:val="22"/>
      </w:pPr>
      <w:r>
        <w:t>绩效目标：集中报道全县上下高标准、高站位、大力度谋划和推动企业突破性发展、招商引资、环保治理等方面工作取得的成效，集中展示经济平稳较快增长、各项事业蓬勃发展的良好局面。重点报道各级部门转变观念，优化发展环境的重要举措，着力营造让投资者认可、让群众满意的营商环境。全程跟踪城乡环境整治、城镇建设、“双违”整治、生态环境保护、脱贫攻坚、重点工程建设进度，全面深入反映各级各部门认真贯彻落实县委县政府决策部署，齐心协力开展城乡建设热潮的先进经验、先进做法。宣传全县创新思路，创新形式，加快先进文化建设。在精办栏目上下功夫，坚持“三贴近”原则，始终把满足人民群众文化生活需要作为《无极新闻》、《14号演播室》、《无极教育》等品牌栏目建设的出发点和落脚点，积极探索，大胆改革，不断丰富栏目内容。完整安全传输中央、省、市、县广播电视节目及公益无线数字电视，安全优质播出节目。</w:t>
      </w:r>
    </w:p>
    <w:p>
      <w:pPr>
        <w:pStyle w:val="22"/>
      </w:pPr>
      <w:r>
        <w:t>绩效指标：开办新栏目、新节目数量（个）及对上报道录用率。</w:t>
      </w:r>
    </w:p>
    <w:p>
      <w:pPr>
        <w:pStyle w:val="22"/>
      </w:pPr>
      <w:r>
        <w:t>进一步完成新闻出版广播影视产业的平台建设</w:t>
      </w:r>
    </w:p>
    <w:p>
      <w:pPr>
        <w:pStyle w:val="22"/>
      </w:pPr>
      <w:r>
        <w:t>绩效目标：加快融媒体平台的建设，增加了全县人民接受信息的渠道，满足社会多元化需求。加快“无极融媒”、“魅力无极”等客户端等网络新媒体平台的建设。</w:t>
      </w:r>
    </w:p>
    <w:p>
      <w:pPr>
        <w:pStyle w:val="22"/>
      </w:pPr>
      <w:r>
        <w:t>绩效指标：新媒体融合度、新媒体设备利用率、高清数字化设备更新率。</w:t>
      </w:r>
    </w:p>
    <w:p>
      <w:pPr>
        <w:pStyle w:val="22"/>
      </w:pPr>
      <w:r>
        <w:t>节目覆盖率更加广泛、播出信号更稳定。</w:t>
      </w:r>
    </w:p>
    <w:p>
      <w:pPr>
        <w:pStyle w:val="22"/>
      </w:pPr>
      <w:r>
        <w:t>绩效目标：开始广播发射塔的建设工作，完善好各种配套基础设施的建设，提高节目覆盖面积</w:t>
      </w:r>
    </w:p>
    <w:p>
      <w:pPr>
        <w:pStyle w:val="22"/>
      </w:pPr>
    </w:p>
    <w:p>
      <w:pPr>
        <w:pStyle w:val="22"/>
      </w:pPr>
      <w:r>
        <w:t>（三）工作保障措施</w:t>
      </w:r>
    </w:p>
    <w:p>
      <w:pPr>
        <w:pStyle w:val="22"/>
      </w:pPr>
      <w:r>
        <w:t>工作保障措施</w:t>
      </w:r>
    </w:p>
    <w:p>
      <w:pPr>
        <w:pStyle w:val="22"/>
      </w:pPr>
      <w:r>
        <w:t>2025年我台将坚持以</w:t>
      </w:r>
      <w:r>
        <w:rPr>
          <w:rFonts w:hint="eastAsia"/>
          <w:lang w:eastAsia="zh-CN"/>
        </w:rPr>
        <w:t>党的十九大精神</w:t>
      </w:r>
      <w:r>
        <w:t>为指导，认真学习贯彻上级关于新闻宣传工作的一系列重要指示精神，按照县委、县政府的工作部署，稳中求进，改革创新，强化工作举措，努力完成各项工作目标任务。工作保障措施如下：</w:t>
      </w:r>
    </w:p>
    <w:p>
      <w:pPr>
        <w:pStyle w:val="22"/>
      </w:pPr>
      <w:r>
        <w:t>1、完善制度。</w:t>
      </w:r>
    </w:p>
    <w:p>
      <w:pPr>
        <w:pStyle w:val="22"/>
      </w:pPr>
      <w:r>
        <w:t>根据我县预算绩效管理的实施意见，强化绩效目标管理，汇总各业务科室制定适合我台的预算绩效管理体系及分项专项资金的绩效指标和标准体系，。完善我单位的财务管理制度，将预算绩效管理纳入我单位的财务管理制度，对于未达到预算绩效目标的不得进行资金支付。健全项目管理制度，明确保障措施、实现途径和工作程序，对项目执行各个阶段进行有效管理和目标控制，为实现项目绩效目标提供保障。</w:t>
      </w:r>
    </w:p>
    <w:p>
      <w:pPr>
        <w:pStyle w:val="22"/>
      </w:pPr>
      <w:r>
        <w:t>2、加强支出管理</w:t>
      </w:r>
    </w:p>
    <w:p>
      <w:pPr>
        <w:pStyle w:val="22"/>
      </w:pPr>
      <w:r>
        <w:t>优化支出结构、编细编实预算、加快履行政府采购手续、尽快启动项目、及时支付资金、6月底前细化代编预算、按规定及时下达资金等多种措施，确保支出进度达标。</w:t>
      </w:r>
    </w:p>
    <w:p>
      <w:pPr>
        <w:pStyle w:val="22"/>
      </w:pPr>
      <w:r>
        <w:t xml:space="preserve">3、加强绩效运行监控。  </w:t>
      </w:r>
    </w:p>
    <w:p>
      <w:pPr>
        <w:pStyle w:val="22"/>
      </w:pPr>
      <w:r>
        <w:t>对项目支出的相关内容和目标完成情况进行监控，及时纠正绩效运行偏差，促进项目绩效目标实现的管理活动。绩效支出监控工作由财务科列入年度工作计划，根据需要确定绩效支出监控目标和分解工作任务，协同项目管理部门开展相关工作。财务科根据项目动态管理信息，汇总分析和对照检查项目绩效信息，及时采取措施纠正预算执行环节中出现的问题，促进预算绩效目标实现。项目管理部门协同完善项目绩效管理机制，将预算编制、预算调整、进度管理、资金支付、政府采购、资产管理等环节的管理要求与项目绩效管理有机结合，以项目绩效管理为纽带，对资金运行的全过程实施监管。</w:t>
      </w:r>
    </w:p>
    <w:p>
      <w:pPr>
        <w:pStyle w:val="22"/>
      </w:pPr>
      <w:r>
        <w:t>4、做好绩效自评。</w:t>
      </w:r>
    </w:p>
    <w:p>
      <w:pPr>
        <w:pStyle w:val="22"/>
      </w:pPr>
      <w:r>
        <w:t>各项具体指标的牵头科室、所要注重年度发展规划目标管理工作的过程监控，要按照工作计划，时间节点安排，有计划有顺序稳步推进实施，杜绝工作突击。要建立与之相匹配的年度发展规划目标进度台账，包括纸质台账和电子台账，台账内容要丰富，形式要多样，要充分体现工作各个步骤和效果。各科室、所要实行月自查、季自评制度，形成内部监控机制，每季度末28日前将年度发展规划目标自评报告报牵头科室、所，牵头科室、所汇总后报台年度发展规划目标办。台年度发展规划目标办要加强过程管理，建立季度抽查、半年公开通报制度，以加强对年度发展规划目标责任落实的跟踪管理。</w:t>
      </w:r>
    </w:p>
    <w:p>
      <w:pPr>
        <w:pStyle w:val="22"/>
      </w:pPr>
      <w:r>
        <w:t>5、规范财务资产管理。</w:t>
      </w:r>
    </w:p>
    <w:p>
      <w:pPr>
        <w:pStyle w:val="22"/>
      </w:pPr>
      <w:r>
        <w:t>完善财务管理制度，严格审批程序，加强资金使用、完善项目管理状况，资产配置、使用</w:t>
      </w:r>
      <w:r>
        <w:rPr>
          <w:rFonts w:hint="eastAsia"/>
          <w:lang w:eastAsia="zh-CN"/>
        </w:rPr>
        <w:t>及其</w:t>
      </w:r>
      <w:r>
        <w:t>收益管理情况（包括成本控制、质量控制、合同管理情况）。加强固定资产登记、使用和报废处置管理，做到支出合理，物尽其用。</w:t>
      </w:r>
    </w:p>
    <w:p>
      <w:pPr>
        <w:pStyle w:val="22"/>
      </w:pPr>
      <w:r>
        <w:t>6、加强内部监督。</w:t>
      </w:r>
    </w:p>
    <w:p>
      <w:pPr>
        <w:pStyle w:val="22"/>
      </w:pPr>
      <w:r>
        <w:t>加强内部监督制度建设，对绩效运行情况、重大支出决策及对外投资、资产处置及其他重要经济业务事项的决策和执行进行督导，对会计资料进行内部审计，并配合做好审计、财政监督等外部监督工作，确保财政资金安全有效。加强预算绩效信息公开，以提高资金使用的透明度。</w:t>
      </w:r>
    </w:p>
    <w:p>
      <w:pPr>
        <w:pStyle w:val="22"/>
      </w:pPr>
      <w:r>
        <w:t>7、加强宣传培训调研等。</w:t>
      </w:r>
    </w:p>
    <w:p>
      <w:pPr>
        <w:pStyle w:val="22"/>
      </w:pPr>
      <w:r>
        <w:t>加强人员培训，增强预算绩效管理人员及项目管理人员的业务素质；加强调研，及时总结好的经验，提出优化财政资金配置、提高资金使用效益的意见意见；加大宣传力度，强化预算绩效管理意识，促进预算绩效管理水平进一步提升。</w:t>
      </w:r>
    </w:p>
    <w:p>
      <w:pPr>
        <w:numPr>
          <w:ilvl w:val="0"/>
          <w:numId w:val="1"/>
        </w:numPr>
        <w:spacing w:before="10" w:after="10" w:line="360" w:lineRule="auto"/>
        <w:ind w:left="700" w:leftChars="0" w:firstLine="0" w:firstLineChars="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numId w:val="0"/>
        </w:numPr>
        <w:spacing w:before="10" w:after="10" w:line="360" w:lineRule="auto"/>
        <w:jc w:val="left"/>
        <w:outlineLvl w:val="2"/>
        <w:rPr>
          <w:rFonts w:ascii="Times New Roman" w:hAnsi="Times New Roman" w:eastAsia="方正仿宋_GBK" w:cs="Times New Roman"/>
          <w:sz w:val="28"/>
          <w:szCs w:val="24"/>
          <w:lang w:val="en-US" w:eastAsia="uk-UA" w:bidi="ar-SA"/>
        </w:rPr>
      </w:pPr>
    </w:p>
    <w:p>
      <w:pPr>
        <w:numPr>
          <w:numId w:val="0"/>
        </w:numPr>
        <w:spacing w:before="10" w:after="10" w:line="360" w:lineRule="auto"/>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r>
        <w:rPr>
          <w:rFonts w:hint="eastAsia" w:eastAsia="方正仿宋_GBK" w:cs="Times New Roman"/>
          <w:sz w:val="28"/>
          <w:szCs w:val="24"/>
          <w:lang w:val="en-US" w:eastAsia="zh-CN" w:bidi="ar-SA"/>
        </w:rPr>
        <w:t>。</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hint="eastAsia" w:eastAsia="黑体"/>
          <w:color w:val="FF0000"/>
          <w:sz w:val="24"/>
          <w:lang w:val="en-US" w:eastAsia="zh-CN"/>
        </w:rPr>
        <w:t xml:space="preserve"> </w:t>
      </w:r>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hint="eastAsia" w:eastAsia="方正仿宋_GBK"/>
          <w:color w:val="FF0000"/>
          <w:sz w:val="24"/>
          <w:lang w:val="en-US" w:eastAsia="zh-CN"/>
        </w:rPr>
        <w:t xml:space="preserve"> </w:t>
      </w:r>
      <w:r>
        <w:rPr>
          <w:rFonts w:ascii="方正仿宋_GBK" w:hAnsi="方正仿宋_GBK" w:eastAsia="方正仿宋_GBK" w:cs="方正仿宋_GBK"/>
          <w:color w:val="000000"/>
          <w:sz w:val="28"/>
        </w:rPr>
        <w:t>1、2024年中央补助地方公共文化服务体系建设专项资金绩效目标表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13013024P00010410050N</w:t>
            </w:r>
          </w:p>
        </w:tc>
        <w:tc>
          <w:tcPr>
            <w:tcW w:w="2835" w:type="dxa"/>
            <w:vAlign w:val="center"/>
          </w:tcPr>
          <w:p>
            <w:pPr>
              <w:pStyle w:val="11"/>
            </w:pPr>
            <w:r>
              <w:t>项目名称</w:t>
            </w:r>
          </w:p>
        </w:tc>
        <w:tc>
          <w:tcPr>
            <w:tcW w:w="6095" w:type="dxa"/>
            <w:gridSpan w:val="3"/>
            <w:vAlign w:val="center"/>
          </w:tcPr>
          <w:p>
            <w:pPr>
              <w:pStyle w:val="13"/>
            </w:pPr>
            <w:r>
              <w:t>2024年中央补助地方公共文化服务体系建设专项资金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13.60</w:t>
            </w:r>
          </w:p>
        </w:tc>
        <w:tc>
          <w:tcPr>
            <w:tcW w:w="2835" w:type="dxa"/>
            <w:vAlign w:val="center"/>
          </w:tcPr>
          <w:p>
            <w:pPr>
              <w:pStyle w:val="11"/>
            </w:pPr>
            <w:r>
              <w:t>其中：财政    资金</w:t>
            </w:r>
          </w:p>
        </w:tc>
        <w:tc>
          <w:tcPr>
            <w:tcW w:w="2551" w:type="dxa"/>
            <w:vAlign w:val="center"/>
          </w:tcPr>
          <w:p>
            <w:pPr>
              <w:pStyle w:val="13"/>
            </w:pPr>
            <w:r>
              <w:t>13.60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完成2024年中央补助地方公共文化服务体系建设资金支付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rPr>
                <w:rFonts w:hint="eastAsia"/>
                <w:lang w:val="en-US" w:eastAsia="zh-CN"/>
              </w:rPr>
              <w:t>25</w:t>
            </w:r>
            <w:r>
              <w:t>%</w:t>
            </w:r>
          </w:p>
        </w:tc>
        <w:tc>
          <w:tcPr>
            <w:tcW w:w="2835" w:type="dxa"/>
            <w:vAlign w:val="center"/>
          </w:tcPr>
          <w:p>
            <w:pPr>
              <w:pStyle w:val="14"/>
            </w:pPr>
            <w:r>
              <w:t>50%</w:t>
            </w:r>
          </w:p>
        </w:tc>
        <w:tc>
          <w:tcPr>
            <w:tcW w:w="2551" w:type="dxa"/>
            <w:vAlign w:val="center"/>
          </w:tcPr>
          <w:p>
            <w:pPr>
              <w:pStyle w:val="14"/>
            </w:pPr>
            <w:r>
              <w:rPr>
                <w:rFonts w:hint="eastAsia"/>
                <w:lang w:val="en-US" w:eastAsia="zh-CN"/>
              </w:rPr>
              <w:t>75</w:t>
            </w:r>
            <w:r>
              <w:t>%</w:t>
            </w:r>
          </w:p>
        </w:tc>
        <w:tc>
          <w:tcPr>
            <w:tcW w:w="3544" w:type="dxa"/>
            <w:gridSpan w:val="2"/>
            <w:vAlign w:val="center"/>
          </w:tcPr>
          <w:p>
            <w:pPr>
              <w:pStyle w:val="14"/>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1.完成2024年中央补助地方公共文化服务体系建设资金支付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≤23.7万元</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服务满意度</w:t>
            </w:r>
          </w:p>
        </w:tc>
        <w:tc>
          <w:tcPr>
            <w:tcW w:w="5386" w:type="dxa"/>
            <w:vAlign w:val="center"/>
          </w:tcPr>
          <w:p>
            <w:pPr>
              <w:pStyle w:val="13"/>
            </w:pPr>
            <w:r>
              <w:t>服务满意度</w:t>
            </w:r>
          </w:p>
        </w:tc>
        <w:tc>
          <w:tcPr>
            <w:tcW w:w="2268" w:type="dxa"/>
            <w:vAlign w:val="center"/>
          </w:tcPr>
          <w:p>
            <w:pPr>
              <w:pStyle w:val="13"/>
            </w:pPr>
            <w:r>
              <w:t>≥95%</w:t>
            </w:r>
          </w:p>
        </w:tc>
        <w:tc>
          <w:tcPr>
            <w:tcW w:w="1276" w:type="dxa"/>
            <w:vAlign w:val="center"/>
          </w:tcPr>
          <w:p>
            <w:pPr>
              <w:pStyle w:val="13"/>
            </w:pPr>
            <w:r>
              <w:t>根据人员满意度</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hint="eastAsia" w:eastAsia="方正仿宋_GBK"/>
          <w:color w:val="FF0000"/>
          <w:sz w:val="24"/>
          <w:lang w:val="en-US" w:eastAsia="zh-CN"/>
        </w:rPr>
        <w:t xml:space="preserve"> </w:t>
      </w:r>
      <w:r>
        <w:rPr>
          <w:rFonts w:ascii="方正仿宋_GBK" w:hAnsi="方正仿宋_GBK" w:eastAsia="方正仿宋_GBK" w:cs="方正仿宋_GBK"/>
          <w:color w:val="000000"/>
          <w:sz w:val="28"/>
        </w:rPr>
        <w:t>2、关于提前下达2025年中央支持地方公共文化服务体系建设补助资金预算的通知绩效目标表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13013025P000176101491</w:t>
            </w:r>
          </w:p>
        </w:tc>
        <w:tc>
          <w:tcPr>
            <w:tcW w:w="2835" w:type="dxa"/>
            <w:vAlign w:val="center"/>
          </w:tcPr>
          <w:p>
            <w:pPr>
              <w:pStyle w:val="11"/>
            </w:pPr>
            <w:r>
              <w:t>项目名称</w:t>
            </w:r>
          </w:p>
        </w:tc>
        <w:tc>
          <w:tcPr>
            <w:tcW w:w="6095" w:type="dxa"/>
            <w:gridSpan w:val="3"/>
            <w:vAlign w:val="center"/>
          </w:tcPr>
          <w:p>
            <w:pPr>
              <w:pStyle w:val="13"/>
            </w:pPr>
            <w:r>
              <w:t>关于提前下达2025年中央支持地方公共文化服务体系建设补助资金预算的通知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23.70</w:t>
            </w:r>
          </w:p>
        </w:tc>
        <w:tc>
          <w:tcPr>
            <w:tcW w:w="2835" w:type="dxa"/>
            <w:vAlign w:val="center"/>
          </w:tcPr>
          <w:p>
            <w:pPr>
              <w:pStyle w:val="11"/>
            </w:pPr>
            <w:r>
              <w:t>其中：财政    资金</w:t>
            </w:r>
          </w:p>
        </w:tc>
        <w:tc>
          <w:tcPr>
            <w:tcW w:w="2551" w:type="dxa"/>
            <w:vAlign w:val="center"/>
          </w:tcPr>
          <w:p>
            <w:pPr>
              <w:pStyle w:val="13"/>
            </w:pPr>
            <w:r>
              <w:t>23.70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关于提前下达2025年中央支持地方公共文化服务体系建设补助资金预算的通知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rPr>
                <w:rFonts w:hint="eastAsia"/>
                <w:lang w:val="en-US" w:eastAsia="zh-CN"/>
              </w:rPr>
              <w:t>25</w:t>
            </w:r>
            <w:r>
              <w:t>%</w:t>
            </w:r>
          </w:p>
        </w:tc>
        <w:tc>
          <w:tcPr>
            <w:tcW w:w="2835" w:type="dxa"/>
            <w:vAlign w:val="center"/>
          </w:tcPr>
          <w:p>
            <w:pPr>
              <w:pStyle w:val="14"/>
            </w:pPr>
            <w:r>
              <w:rPr>
                <w:rFonts w:hint="eastAsia"/>
                <w:lang w:val="en-US" w:eastAsia="zh-CN"/>
              </w:rPr>
              <w:t>50</w:t>
            </w:r>
            <w:r>
              <w:t>%</w:t>
            </w:r>
          </w:p>
        </w:tc>
        <w:tc>
          <w:tcPr>
            <w:tcW w:w="2551" w:type="dxa"/>
            <w:vAlign w:val="center"/>
          </w:tcPr>
          <w:p>
            <w:pPr>
              <w:pStyle w:val="14"/>
            </w:pPr>
            <w:r>
              <w:rPr>
                <w:rFonts w:hint="eastAsia"/>
                <w:lang w:val="en-US" w:eastAsia="zh-CN"/>
              </w:rPr>
              <w:t>75</w:t>
            </w:r>
            <w:r>
              <w:t>%</w:t>
            </w:r>
          </w:p>
        </w:tc>
        <w:tc>
          <w:tcPr>
            <w:tcW w:w="3544" w:type="dxa"/>
            <w:gridSpan w:val="2"/>
            <w:vAlign w:val="center"/>
          </w:tcPr>
          <w:p>
            <w:pPr>
              <w:pStyle w:val="14"/>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1.关于提前下达2025年中央支持地方公共文化服务体系建设补助资金预算的通知</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hint="eastAsia" w:eastAsia="黑体"/>
          <w:color w:val="FF0000"/>
          <w:sz w:val="24"/>
          <w:lang w:val="en-US" w:eastAsia="zh-CN"/>
        </w:rPr>
        <w:t xml:space="preserve"> </w:t>
      </w:r>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359无极县融媒体中心（无极县广播电视台）</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无极县融媒体中心（无极县广播电视台）（含所属单位）上年末固定资产金额为2557.55万元（详见下表）。本年度拟购置固定资产总额为0.00万元，已按要求列入政府采购预算，详见政府采购预算表。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359无极县融媒体中心（无极县广播电视台）</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2557.55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ind w:firstLine="0" w:firstLineChars="0"/>
              <w:rPr>
                <w:rFonts w:ascii="方正书宋_GBK" w:hAnsi="方正书宋_GBK" w:eastAsia="方正书宋_GBK" w:cs="方正书宋_GBK"/>
                <w:sz w:val="21"/>
                <w:szCs w:val="24"/>
                <w:lang w:val="en-US" w:eastAsia="uk-UA" w:bidi="ar-SA"/>
              </w:rPr>
            </w:pPr>
            <w:r>
              <w:t>220</w:t>
            </w:r>
          </w:p>
        </w:tc>
        <w:tc>
          <w:tcPr>
            <w:tcW w:w="2835" w:type="dxa"/>
            <w:vAlign w:val="center"/>
          </w:tcPr>
          <w:p>
            <w:pPr>
              <w:pStyle w:val="12"/>
              <w:ind w:firstLine="0" w:firstLineChars="0"/>
              <w:rPr>
                <w:rFonts w:ascii="方正书宋_GBK" w:hAnsi="方正书宋_GBK" w:eastAsia="方正书宋_GBK" w:cs="方正书宋_GBK"/>
                <w:sz w:val="21"/>
                <w:szCs w:val="24"/>
                <w:lang w:val="en-US" w:eastAsia="uk-UA" w:bidi="ar-SA"/>
              </w:rPr>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220</w:t>
            </w:r>
          </w:p>
        </w:tc>
        <w:tc>
          <w:tcPr>
            <w:tcW w:w="2835" w:type="dxa"/>
            <w:vAlign w:val="center"/>
          </w:tcPr>
          <w:p>
            <w:pPr>
              <w:pStyle w:val="12"/>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7</w:t>
            </w:r>
          </w:p>
        </w:tc>
        <w:tc>
          <w:tcPr>
            <w:tcW w:w="2835" w:type="dxa"/>
            <w:vAlign w:val="center"/>
          </w:tcPr>
          <w:p>
            <w:pPr>
              <w:pStyle w:val="12"/>
            </w:pPr>
            <w:r>
              <w:t>51.90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r>
              <w:t>6</w:t>
            </w:r>
          </w:p>
        </w:tc>
        <w:tc>
          <w:tcPr>
            <w:tcW w:w="2835" w:type="dxa"/>
            <w:vAlign w:val="center"/>
          </w:tcPr>
          <w:p>
            <w:pPr>
              <w:pStyle w:val="12"/>
            </w:pPr>
            <w:r>
              <w:t>1443.49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1504</w:t>
            </w:r>
          </w:p>
        </w:tc>
        <w:tc>
          <w:tcPr>
            <w:tcW w:w="2835" w:type="dxa"/>
            <w:vAlign w:val="center"/>
          </w:tcPr>
          <w:p>
            <w:pPr>
              <w:pStyle w:val="12"/>
            </w:pPr>
            <w:r>
              <w:t>1062.16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bookmarkStart w:id="20" w:name="_GoBack"/>
      <w:bookmarkEnd w:id="20"/>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9B83446"/>
    <w:multiLevelType w:val="singleLevel"/>
    <w:tmpl w:val="D9B83446"/>
    <w:lvl w:ilvl="0" w:tentative="0">
      <w:start w:val="6"/>
      <w:numFmt w:val="chineseCounting"/>
      <w:suff w:val="nothing"/>
      <w:lvlText w:val="%1、"/>
      <w:lvlJc w:val="left"/>
      <w:pPr>
        <w:ind w:left="700" w:leftChars="0" w:firstLine="0" w:firstLineChars="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2497A0D"/>
    <w:rsid w:val="0E1B18D6"/>
    <w:rsid w:val="19B177E5"/>
    <w:rsid w:val="19C8155E"/>
    <w:rsid w:val="2B6C2A56"/>
    <w:rsid w:val="35420E00"/>
    <w:rsid w:val="4DF93B9D"/>
    <w:rsid w:val="63382DD7"/>
    <w:rsid w:val="6FA7376F"/>
    <w:rsid w:val="7DDF75D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TotalTime>0</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2025-02-06T15:05:00Z</dcterms:created>
  <dc:creator>戴尔</dc:creator>
  <cp:lastModifiedBy>lenovo</cp:lastModifiedBy>
  <dcterms:modified xsi:type="dcterms:W3CDTF">2025-09-11T06:31:28Z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6859B4CB526A43AD8B6F8DF318EA9870</vt:lpwstr>
  </property>
</Properties>
</file>