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935无极县郝庄乡人民政府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1075.70</w:t>
            </w:r>
          </w:p>
        </w:tc>
        <w:tc>
          <w:tcPr>
            <w:tcW w:w="4535" w:type="dxa"/>
            <w:vAlign w:val="center"/>
          </w:tcPr>
          <w:p>
            <w:pPr>
              <w:pStyle w:val="13"/>
            </w:pPr>
            <w:r>
              <w:t>一、一般公共服务支出</w:t>
            </w:r>
          </w:p>
        </w:tc>
        <w:tc>
          <w:tcPr>
            <w:tcW w:w="2126" w:type="dxa"/>
            <w:vAlign w:val="center"/>
          </w:tcPr>
          <w:p>
            <w:pPr>
              <w:pStyle w:val="12"/>
            </w:pPr>
            <w:r>
              <w:t>893.90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1075.70</w:t>
            </w:r>
          </w:p>
        </w:tc>
        <w:tc>
          <w:tcPr>
            <w:tcW w:w="4535" w:type="dxa"/>
            <w:vAlign w:val="center"/>
          </w:tcPr>
          <w:p>
            <w:pPr>
              <w:pStyle w:val="15"/>
            </w:pPr>
            <w:r>
              <w:t>本年支出合计</w:t>
            </w:r>
          </w:p>
        </w:tc>
        <w:tc>
          <w:tcPr>
            <w:tcW w:w="2126" w:type="dxa"/>
            <w:vAlign w:val="center"/>
          </w:tcPr>
          <w:p>
            <w:pPr>
              <w:pStyle w:val="16"/>
            </w:pPr>
            <w:r>
              <w:t>1075.70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1075.70</w:t>
            </w:r>
          </w:p>
        </w:tc>
        <w:tc>
          <w:tcPr>
            <w:tcW w:w="4535" w:type="dxa"/>
            <w:vAlign w:val="center"/>
          </w:tcPr>
          <w:p>
            <w:pPr>
              <w:pStyle w:val="15"/>
            </w:pPr>
            <w:r>
              <w:t>支出总计</w:t>
            </w:r>
          </w:p>
        </w:tc>
        <w:tc>
          <w:tcPr>
            <w:tcW w:w="2126" w:type="dxa"/>
            <w:vAlign w:val="center"/>
          </w:tcPr>
          <w:p>
            <w:pPr>
              <w:pStyle w:val="16"/>
            </w:pPr>
            <w:r>
              <w:t>1075.70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935无极县郝庄乡人民政府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1075.70</w:t>
            </w:r>
          </w:p>
        </w:tc>
        <w:tc>
          <w:tcPr>
            <w:tcW w:w="1134" w:type="dxa"/>
            <w:vAlign w:val="center"/>
          </w:tcPr>
          <w:p>
            <w:pPr>
              <w:pStyle w:val="16"/>
            </w:pPr>
            <w:r>
              <w:t>1075.70</w:t>
            </w:r>
          </w:p>
        </w:tc>
        <w:tc>
          <w:tcPr>
            <w:tcW w:w="1134" w:type="dxa"/>
            <w:vAlign w:val="center"/>
          </w:tcPr>
          <w:p>
            <w:pPr>
              <w:pStyle w:val="16"/>
            </w:pPr>
            <w:r>
              <w:t>1075.70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893.90</w:t>
            </w:r>
          </w:p>
        </w:tc>
        <w:tc>
          <w:tcPr>
            <w:tcW w:w="1134" w:type="dxa"/>
            <w:vAlign w:val="center"/>
          </w:tcPr>
          <w:p>
            <w:pPr>
              <w:pStyle w:val="12"/>
            </w:pPr>
            <w:r>
              <w:t>893.90</w:t>
            </w:r>
          </w:p>
        </w:tc>
        <w:tc>
          <w:tcPr>
            <w:tcW w:w="1134" w:type="dxa"/>
            <w:vAlign w:val="center"/>
          </w:tcPr>
          <w:p>
            <w:pPr>
              <w:pStyle w:val="12"/>
            </w:pPr>
            <w:r>
              <w:t>893.90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893.90</w:t>
            </w:r>
          </w:p>
        </w:tc>
        <w:tc>
          <w:tcPr>
            <w:tcW w:w="1134" w:type="dxa"/>
            <w:vAlign w:val="center"/>
          </w:tcPr>
          <w:p>
            <w:pPr>
              <w:pStyle w:val="12"/>
            </w:pPr>
            <w:r>
              <w:t>893.90</w:t>
            </w:r>
          </w:p>
        </w:tc>
        <w:tc>
          <w:tcPr>
            <w:tcW w:w="1134" w:type="dxa"/>
            <w:vAlign w:val="center"/>
          </w:tcPr>
          <w:p>
            <w:pPr>
              <w:pStyle w:val="12"/>
            </w:pPr>
            <w:r>
              <w:t>893.90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893.90</w:t>
            </w:r>
          </w:p>
        </w:tc>
        <w:tc>
          <w:tcPr>
            <w:tcW w:w="1134" w:type="dxa"/>
            <w:vAlign w:val="center"/>
          </w:tcPr>
          <w:p>
            <w:pPr>
              <w:pStyle w:val="12"/>
            </w:pPr>
            <w:r>
              <w:t>893.90</w:t>
            </w:r>
          </w:p>
        </w:tc>
        <w:tc>
          <w:tcPr>
            <w:tcW w:w="1134" w:type="dxa"/>
            <w:vAlign w:val="center"/>
          </w:tcPr>
          <w:p>
            <w:pPr>
              <w:pStyle w:val="12"/>
            </w:pPr>
            <w:r>
              <w:t>893.90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138.80</w:t>
            </w:r>
          </w:p>
        </w:tc>
        <w:tc>
          <w:tcPr>
            <w:tcW w:w="1134" w:type="dxa"/>
            <w:vAlign w:val="center"/>
          </w:tcPr>
          <w:p>
            <w:pPr>
              <w:pStyle w:val="12"/>
            </w:pPr>
            <w:r>
              <w:t>138.80</w:t>
            </w:r>
          </w:p>
        </w:tc>
        <w:tc>
          <w:tcPr>
            <w:tcW w:w="1134" w:type="dxa"/>
            <w:vAlign w:val="center"/>
          </w:tcPr>
          <w:p>
            <w:pPr>
              <w:pStyle w:val="12"/>
            </w:pPr>
            <w:r>
              <w:t>138.80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136.00</w:t>
            </w:r>
          </w:p>
        </w:tc>
        <w:tc>
          <w:tcPr>
            <w:tcW w:w="1134" w:type="dxa"/>
            <w:vAlign w:val="center"/>
          </w:tcPr>
          <w:p>
            <w:pPr>
              <w:pStyle w:val="12"/>
            </w:pPr>
            <w:r>
              <w:t>136.00</w:t>
            </w:r>
          </w:p>
        </w:tc>
        <w:tc>
          <w:tcPr>
            <w:tcW w:w="1134" w:type="dxa"/>
            <w:vAlign w:val="center"/>
          </w:tcPr>
          <w:p>
            <w:pPr>
              <w:pStyle w:val="12"/>
            </w:pPr>
            <w:r>
              <w:t>136.00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r>
              <w:t>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1075.70</w:t>
            </w:r>
          </w:p>
        </w:tc>
        <w:tc>
          <w:tcPr>
            <w:tcW w:w="1361" w:type="dxa"/>
            <w:vAlign w:val="center"/>
          </w:tcPr>
          <w:p>
            <w:pPr>
              <w:pStyle w:val="16"/>
            </w:pPr>
            <w:r>
              <w:t>1075.70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893.90</w:t>
            </w:r>
          </w:p>
        </w:tc>
        <w:tc>
          <w:tcPr>
            <w:tcW w:w="1361" w:type="dxa"/>
            <w:vAlign w:val="center"/>
          </w:tcPr>
          <w:p>
            <w:pPr>
              <w:pStyle w:val="12"/>
            </w:pPr>
            <w:r>
              <w:t>893.90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893.90</w:t>
            </w:r>
          </w:p>
        </w:tc>
        <w:tc>
          <w:tcPr>
            <w:tcW w:w="1361" w:type="dxa"/>
            <w:vAlign w:val="center"/>
          </w:tcPr>
          <w:p>
            <w:pPr>
              <w:pStyle w:val="12"/>
            </w:pPr>
            <w:r>
              <w:t>893.90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893.90</w:t>
            </w:r>
          </w:p>
        </w:tc>
        <w:tc>
          <w:tcPr>
            <w:tcW w:w="1361" w:type="dxa"/>
            <w:vAlign w:val="center"/>
          </w:tcPr>
          <w:p>
            <w:pPr>
              <w:pStyle w:val="12"/>
            </w:pPr>
            <w:r>
              <w:t>893.90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138.80</w:t>
            </w:r>
          </w:p>
        </w:tc>
        <w:tc>
          <w:tcPr>
            <w:tcW w:w="1361" w:type="dxa"/>
            <w:vAlign w:val="center"/>
          </w:tcPr>
          <w:p>
            <w:pPr>
              <w:pStyle w:val="12"/>
            </w:pPr>
            <w:r>
              <w:t>138.80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136.00</w:t>
            </w:r>
          </w:p>
        </w:tc>
        <w:tc>
          <w:tcPr>
            <w:tcW w:w="1361" w:type="dxa"/>
            <w:vAlign w:val="center"/>
          </w:tcPr>
          <w:p>
            <w:pPr>
              <w:pStyle w:val="12"/>
            </w:pPr>
            <w:r>
              <w:t>136.00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115.00</w:t>
            </w:r>
          </w:p>
        </w:tc>
        <w:tc>
          <w:tcPr>
            <w:tcW w:w="1361" w:type="dxa"/>
            <w:vAlign w:val="center"/>
          </w:tcPr>
          <w:p>
            <w:pPr>
              <w:pStyle w:val="12"/>
            </w:pPr>
            <w:r>
              <w:t>115.00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21.00</w:t>
            </w:r>
          </w:p>
        </w:tc>
        <w:tc>
          <w:tcPr>
            <w:tcW w:w="1361" w:type="dxa"/>
            <w:vAlign w:val="center"/>
          </w:tcPr>
          <w:p>
            <w:pPr>
              <w:pStyle w:val="12"/>
            </w:pPr>
            <w:r>
              <w:t>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2.80</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2.80</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43.00</w:t>
            </w:r>
          </w:p>
        </w:tc>
        <w:tc>
          <w:tcPr>
            <w:tcW w:w="1361" w:type="dxa"/>
            <w:vAlign w:val="center"/>
          </w:tcPr>
          <w:p>
            <w:pPr>
              <w:pStyle w:val="12"/>
            </w:pPr>
            <w:r>
              <w:t>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43.00</w:t>
            </w:r>
          </w:p>
        </w:tc>
        <w:tc>
          <w:tcPr>
            <w:tcW w:w="1361" w:type="dxa"/>
            <w:vAlign w:val="center"/>
          </w:tcPr>
          <w:p>
            <w:pPr>
              <w:pStyle w:val="12"/>
            </w:pPr>
            <w:r>
              <w:t>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43.00</w:t>
            </w:r>
          </w:p>
        </w:tc>
        <w:tc>
          <w:tcPr>
            <w:tcW w:w="1361" w:type="dxa"/>
            <w:vAlign w:val="center"/>
          </w:tcPr>
          <w:p>
            <w:pPr>
              <w:pStyle w:val="12"/>
            </w:pPr>
            <w:r>
              <w:t>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1075.70</w:t>
            </w:r>
          </w:p>
        </w:tc>
        <w:tc>
          <w:tcPr>
            <w:tcW w:w="3402" w:type="dxa"/>
            <w:vAlign w:val="center"/>
          </w:tcPr>
          <w:p>
            <w:pPr>
              <w:pStyle w:val="13"/>
            </w:pPr>
            <w:r>
              <w:t>一、一般公共服务支出</w:t>
            </w:r>
          </w:p>
        </w:tc>
        <w:tc>
          <w:tcPr>
            <w:tcW w:w="1474" w:type="dxa"/>
            <w:vAlign w:val="center"/>
          </w:tcPr>
          <w:p>
            <w:pPr>
              <w:pStyle w:val="12"/>
            </w:pPr>
            <w:r>
              <w:t>893.90</w:t>
            </w:r>
          </w:p>
        </w:tc>
        <w:tc>
          <w:tcPr>
            <w:tcW w:w="1474" w:type="dxa"/>
            <w:vAlign w:val="center"/>
          </w:tcPr>
          <w:p>
            <w:pPr>
              <w:pStyle w:val="12"/>
            </w:pPr>
            <w:r>
              <w:t>893.90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138.80</w:t>
            </w:r>
          </w:p>
        </w:tc>
        <w:tc>
          <w:tcPr>
            <w:tcW w:w="1474" w:type="dxa"/>
            <w:vAlign w:val="center"/>
          </w:tcPr>
          <w:p>
            <w:pPr>
              <w:pStyle w:val="12"/>
            </w:pPr>
            <w:r>
              <w:t>138.80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43.00</w:t>
            </w:r>
          </w:p>
        </w:tc>
        <w:tc>
          <w:tcPr>
            <w:tcW w:w="1474" w:type="dxa"/>
            <w:vAlign w:val="center"/>
          </w:tcPr>
          <w:p>
            <w:pPr>
              <w:pStyle w:val="12"/>
            </w:pPr>
            <w:r>
              <w:t>43.00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1075.70</w:t>
            </w:r>
          </w:p>
        </w:tc>
        <w:tc>
          <w:tcPr>
            <w:tcW w:w="3402" w:type="dxa"/>
            <w:vAlign w:val="center"/>
          </w:tcPr>
          <w:p>
            <w:pPr>
              <w:pStyle w:val="15"/>
            </w:pPr>
            <w:r>
              <w:t>本年支出合计</w:t>
            </w:r>
          </w:p>
        </w:tc>
        <w:tc>
          <w:tcPr>
            <w:tcW w:w="1474" w:type="dxa"/>
            <w:vAlign w:val="center"/>
          </w:tcPr>
          <w:p>
            <w:pPr>
              <w:pStyle w:val="16"/>
            </w:pPr>
            <w:r>
              <w:t>1075.70</w:t>
            </w:r>
          </w:p>
        </w:tc>
        <w:tc>
          <w:tcPr>
            <w:tcW w:w="1474" w:type="dxa"/>
            <w:vAlign w:val="center"/>
          </w:tcPr>
          <w:p>
            <w:pPr>
              <w:pStyle w:val="16"/>
            </w:pPr>
            <w:r>
              <w:t>1075.70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1075.70</w:t>
            </w:r>
          </w:p>
        </w:tc>
        <w:tc>
          <w:tcPr>
            <w:tcW w:w="3402" w:type="dxa"/>
            <w:vAlign w:val="center"/>
          </w:tcPr>
          <w:p>
            <w:pPr>
              <w:pStyle w:val="15"/>
            </w:pPr>
            <w:r>
              <w:t>支出总计</w:t>
            </w:r>
          </w:p>
        </w:tc>
        <w:tc>
          <w:tcPr>
            <w:tcW w:w="1474" w:type="dxa"/>
            <w:vAlign w:val="center"/>
          </w:tcPr>
          <w:p>
            <w:pPr>
              <w:pStyle w:val="16"/>
            </w:pPr>
            <w:r>
              <w:t>1075.70</w:t>
            </w:r>
          </w:p>
        </w:tc>
        <w:tc>
          <w:tcPr>
            <w:tcW w:w="1474" w:type="dxa"/>
            <w:vAlign w:val="center"/>
          </w:tcPr>
          <w:p>
            <w:pPr>
              <w:pStyle w:val="16"/>
            </w:pPr>
            <w:r>
              <w:t>1075.70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1075.70</w:t>
            </w:r>
          </w:p>
        </w:tc>
        <w:tc>
          <w:tcPr>
            <w:tcW w:w="2551" w:type="dxa"/>
            <w:vAlign w:val="center"/>
          </w:tcPr>
          <w:p>
            <w:pPr>
              <w:pStyle w:val="16"/>
            </w:pPr>
            <w:r>
              <w:t>1075.70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893.90</w:t>
            </w:r>
          </w:p>
        </w:tc>
        <w:tc>
          <w:tcPr>
            <w:tcW w:w="2551" w:type="dxa"/>
            <w:vAlign w:val="center"/>
          </w:tcPr>
          <w:p>
            <w:pPr>
              <w:pStyle w:val="12"/>
            </w:pPr>
            <w:r>
              <w:t>893.90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893.90</w:t>
            </w:r>
          </w:p>
        </w:tc>
        <w:tc>
          <w:tcPr>
            <w:tcW w:w="2551" w:type="dxa"/>
            <w:vAlign w:val="center"/>
          </w:tcPr>
          <w:p>
            <w:pPr>
              <w:pStyle w:val="12"/>
            </w:pPr>
            <w:r>
              <w:t>893.90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893.90</w:t>
            </w:r>
          </w:p>
        </w:tc>
        <w:tc>
          <w:tcPr>
            <w:tcW w:w="2551" w:type="dxa"/>
            <w:vAlign w:val="center"/>
          </w:tcPr>
          <w:p>
            <w:pPr>
              <w:pStyle w:val="12"/>
            </w:pPr>
            <w:r>
              <w:t>893.90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138.80</w:t>
            </w:r>
          </w:p>
        </w:tc>
        <w:tc>
          <w:tcPr>
            <w:tcW w:w="2551" w:type="dxa"/>
            <w:vAlign w:val="center"/>
          </w:tcPr>
          <w:p>
            <w:pPr>
              <w:pStyle w:val="12"/>
            </w:pPr>
            <w:r>
              <w:t>138.80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136.00</w:t>
            </w:r>
          </w:p>
        </w:tc>
        <w:tc>
          <w:tcPr>
            <w:tcW w:w="2551" w:type="dxa"/>
            <w:vAlign w:val="center"/>
          </w:tcPr>
          <w:p>
            <w:pPr>
              <w:pStyle w:val="12"/>
            </w:pPr>
            <w:r>
              <w:t>136.00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115.00</w:t>
            </w:r>
          </w:p>
        </w:tc>
        <w:tc>
          <w:tcPr>
            <w:tcW w:w="2551" w:type="dxa"/>
            <w:vAlign w:val="center"/>
          </w:tcPr>
          <w:p>
            <w:pPr>
              <w:pStyle w:val="12"/>
            </w:pPr>
            <w:r>
              <w:t>115.00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1075.70</w:t>
            </w:r>
          </w:p>
        </w:tc>
        <w:tc>
          <w:tcPr>
            <w:tcW w:w="2551" w:type="dxa"/>
            <w:vAlign w:val="center"/>
          </w:tcPr>
          <w:p>
            <w:pPr>
              <w:pStyle w:val="16"/>
            </w:pPr>
            <w:r>
              <w:t>825.70</w:t>
            </w:r>
          </w:p>
        </w:tc>
        <w:tc>
          <w:tcPr>
            <w:tcW w:w="2551" w:type="dxa"/>
            <w:vAlign w:val="center"/>
          </w:tcPr>
          <w:p>
            <w:pPr>
              <w:pStyle w:val="16"/>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800.60</w:t>
            </w:r>
          </w:p>
        </w:tc>
        <w:tc>
          <w:tcPr>
            <w:tcW w:w="2551" w:type="dxa"/>
            <w:vAlign w:val="center"/>
          </w:tcPr>
          <w:p>
            <w:pPr>
              <w:pStyle w:val="12"/>
            </w:pPr>
            <w:r>
              <w:t>800.60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300.00</w:t>
            </w:r>
          </w:p>
        </w:tc>
        <w:tc>
          <w:tcPr>
            <w:tcW w:w="2551" w:type="dxa"/>
            <w:vAlign w:val="center"/>
          </w:tcPr>
          <w:p>
            <w:pPr>
              <w:pStyle w:val="12"/>
            </w:pPr>
            <w:r>
              <w:t>300.00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121.30</w:t>
            </w:r>
          </w:p>
        </w:tc>
        <w:tc>
          <w:tcPr>
            <w:tcW w:w="2551" w:type="dxa"/>
            <w:vAlign w:val="center"/>
          </w:tcPr>
          <w:p>
            <w:pPr>
              <w:pStyle w:val="12"/>
            </w:pPr>
            <w:r>
              <w:t>121.30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102.50</w:t>
            </w:r>
          </w:p>
        </w:tc>
        <w:tc>
          <w:tcPr>
            <w:tcW w:w="2551" w:type="dxa"/>
            <w:vAlign w:val="center"/>
          </w:tcPr>
          <w:p>
            <w:pPr>
              <w:pStyle w:val="12"/>
            </w:pPr>
            <w:r>
              <w:t>102.50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115.00</w:t>
            </w:r>
          </w:p>
        </w:tc>
        <w:tc>
          <w:tcPr>
            <w:tcW w:w="2551" w:type="dxa"/>
            <w:vAlign w:val="center"/>
          </w:tcPr>
          <w:p>
            <w:pPr>
              <w:pStyle w:val="12"/>
            </w:pPr>
            <w:r>
              <w:t>115.00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43.00</w:t>
            </w:r>
          </w:p>
        </w:tc>
        <w:tc>
          <w:tcPr>
            <w:tcW w:w="2551" w:type="dxa"/>
            <w:vAlign w:val="center"/>
          </w:tcPr>
          <w:p>
            <w:pPr>
              <w:pStyle w:val="12"/>
            </w:pPr>
            <w:r>
              <w:t>43.00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25.10</w:t>
            </w:r>
          </w:p>
        </w:tc>
        <w:tc>
          <w:tcPr>
            <w:tcW w:w="2551" w:type="dxa"/>
            <w:vAlign w:val="center"/>
          </w:tcPr>
          <w:p>
            <w:pPr>
              <w:pStyle w:val="12"/>
            </w:pPr>
            <w:r>
              <w:t>25.10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25.10</w:t>
            </w:r>
          </w:p>
        </w:tc>
        <w:tc>
          <w:tcPr>
            <w:tcW w:w="2551" w:type="dxa"/>
            <w:vAlign w:val="center"/>
          </w:tcPr>
          <w:p>
            <w:pPr>
              <w:pStyle w:val="12"/>
            </w:pPr>
            <w:r>
              <w:t>25.10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无极县郝庄乡人民政府2025年部门预算信息公开情况说明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无极县郝庄乡人民政府2025年部门预算信息公开情况说明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按照《中华人民共和国预算法》、《地方预决算公开操作规程》和《关于进一步推进预算公开工作的实施意见》规定，现将无极县郝庄乡人民政府2025年部门预算公开如下：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w:t>
      </w:r>
      <w:r>
        <w:rPr>
          <w:rFonts w:hint="eastAsia"/>
          <w:lang w:eastAsia="zh-CN"/>
        </w:rPr>
        <w:t>和谐</w:t>
      </w:r>
      <w:r>
        <w:t>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w:t>
      </w:r>
      <w:r>
        <w:rPr>
          <w:rFonts w:hint="eastAsia"/>
          <w:lang w:eastAsia="zh-CN"/>
        </w:rPr>
        <w:t>和谐</w:t>
      </w:r>
      <w:r>
        <w:t>社会的具体措施，并抓好组织实施。配合城建、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无极县郝庄乡人民政府本级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按照预算管理有关规定，目前部门预算的编制实行综合预算管理，即全部收入和支出都反映在预算中。无极县郝庄乡人民政府机关及所属事业单位的收支包含在部门预算中。</w:t>
      </w:r>
    </w:p>
    <w:p>
      <w:pPr>
        <w:pStyle w:val="19"/>
      </w:pPr>
      <w:r>
        <w:t>1、收入说明</w:t>
      </w:r>
    </w:p>
    <w:p>
      <w:pPr>
        <w:pStyle w:val="19"/>
      </w:pPr>
      <w:r>
        <w:t>反映本部门当年全部收入。2025年预算收入1075.70万元，其中：一般公共预算收入1075.70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郝庄乡人民政府年度部门预算中支出预算的总体情况。2025年支出预算1075.70万元，其中基本支出1075.70万元，包括人员经费825.70万元和日常公用经费250.00万元；项目支出0.00万元，主要为项目支出正常</w:t>
      </w:r>
    </w:p>
    <w:p>
      <w:pPr>
        <w:pStyle w:val="19"/>
      </w:pPr>
      <w:r>
        <w:t>3、比上年增减情况</w:t>
      </w:r>
    </w:p>
    <w:p>
      <w:pPr>
        <w:pStyle w:val="19"/>
      </w:pPr>
      <w:r>
        <w:t>2025年预算收支安排1075.70万元，较2024年预算减少744.99万元，其中：基本支出减少744.99万元，主要为基本支出正常项目支出增加0.00万元，主要为项目支出正常</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rPr>
      </w:pPr>
      <w:r>
        <w:rPr>
          <w:rFonts w:hint="eastAsia"/>
        </w:rPr>
        <w:t>202</w:t>
      </w:r>
      <w:r>
        <w:rPr>
          <w:rFonts w:hint="eastAsia"/>
          <w:lang w:val="en-US" w:eastAsia="zh-CN"/>
        </w:rPr>
        <w:t>5</w:t>
      </w:r>
      <w:r>
        <w:rPr>
          <w:rFonts w:hint="eastAsia"/>
        </w:rPr>
        <w:t>年，我部门机关运行经费共计安排</w:t>
      </w:r>
      <w:r>
        <w:rPr>
          <w:rFonts w:hint="eastAsia"/>
          <w:lang w:val="en-US" w:eastAsia="zh-CN"/>
        </w:rPr>
        <w:t>250</w:t>
      </w:r>
      <w:r>
        <w:rPr>
          <w:rFonts w:hint="eastAsia"/>
        </w:rPr>
        <w:t>.00万元，主要用于日常维修、办公用房水电费、办公用房取暖费、 办公用房物业管理费等日常运行支出。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5</w:t>
      </w:r>
      <w:r>
        <w:t>年，我部门财政拨款“三公”经费预算安排</w:t>
      </w:r>
      <w:r>
        <w:rPr>
          <w:rFonts w:hint="eastAsia"/>
          <w:lang w:val="en-US" w:eastAsia="zh-CN"/>
        </w:rPr>
        <w:t>6</w:t>
      </w:r>
      <w:r>
        <w:t>.00万元，其中因公出国（境）费0.00万元；公务用车购置及运维费</w:t>
      </w:r>
      <w:r>
        <w:rPr>
          <w:rFonts w:hint="eastAsia"/>
          <w:lang w:val="en-US" w:eastAsia="zh-CN"/>
        </w:rPr>
        <w:t>6</w:t>
      </w:r>
      <w:r>
        <w:t>.00万元（其中：公务用车购置费为0.00万元，公务用车运维费9.00万元)。与202</w:t>
      </w:r>
      <w:r>
        <w:rPr>
          <w:rFonts w:hint="eastAsia"/>
          <w:lang w:val="en-US" w:eastAsia="zh-CN"/>
        </w:rPr>
        <w:t>4</w:t>
      </w:r>
      <w:r>
        <w:t>年相比</w:t>
      </w:r>
      <w:r>
        <w:rPr>
          <w:rFonts w:hint="eastAsia"/>
          <w:lang w:val="en-US" w:eastAsia="zh-CN"/>
        </w:rPr>
        <w:t>减少3</w:t>
      </w:r>
      <w:r>
        <w:t>.00万元，增减变化的主要原因是</w:t>
      </w:r>
      <w:r>
        <w:rPr>
          <w:rFonts w:hint="eastAsia"/>
          <w:lang w:val="en-US" w:eastAsia="zh-CN"/>
        </w:rPr>
        <w:t>厉行节俭</w:t>
      </w:r>
      <w:r>
        <w:t>。</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乡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乡政府领导和机关工作办公环境的措施，提升服务管理水平，保障乡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组织专门委员会委员、各工作委员会及特聘专家进行对法律实施情况进行执法检查；组织乡人大及乡人大代表进行执法检查和集中视察；开展代表建议督办；组织对常委及代表培训。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t>1.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t>2.不断提高信息公开工作业务水平；协助乡领导组织会议决定事项的落实；督办重大决策落实；做好乡际间政务往来与经济交流工作，负责乡级领导公务活动的接待安排。</w:t>
      </w:r>
    </w:p>
    <w:p>
      <w:pPr>
        <w:pStyle w:val="23"/>
      </w:pPr>
      <w:r>
        <w:t>绩效目标：提升政务公开服务水平。承办大型会议，有效推动全乡经济发展，保障重大决策落实，积极贯彻工作布署，创新工作机制，提升服务水平。围绕我乡中心工作，有效促进对外经贸协作和外地高科技项目合作。</w:t>
      </w:r>
    </w:p>
    <w:p>
      <w:pPr>
        <w:pStyle w:val="23"/>
      </w:pPr>
      <w:r>
        <w:t>绩效指标：政务信息公开培训任务完成率90%以上。</w:t>
      </w:r>
    </w:p>
    <w:p>
      <w:pPr>
        <w:pStyle w:val="23"/>
      </w:pPr>
      <w:r>
        <w:t>3.政府值班工作，及时报告重要情况，传达和落实乡领导重要指示，协助乡领导完成组织处理突发事件应急处置工作。</w:t>
      </w:r>
    </w:p>
    <w:p>
      <w:pPr>
        <w:pStyle w:val="23"/>
      </w:pPr>
      <w:r>
        <w:t>绩效目标：建设运行维护平台数据，为有效保障全乡突发事件提供技术保障，确保快速、有效处置突发事件，提高事件应对实效。</w:t>
      </w:r>
    </w:p>
    <w:p>
      <w:pPr>
        <w:pStyle w:val="23"/>
      </w:pPr>
      <w:r>
        <w:t>绩效指标：应急事件处置情况及时率≥90%</w:t>
      </w:r>
    </w:p>
    <w:p>
      <w:pPr>
        <w:pStyle w:val="23"/>
      </w:pPr>
      <w:r>
        <w:t>4.会议组织管理、信息化建设与维护、财务和资产管理、标准化建设。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t>5.按照统筹城乡发展要求，组织实施农村面貌改造提升行动。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t>6.指导、协调和督导各级各部门排查、化解影响社会稳定的重大不稳定隐患、群体性事件和突发事件及影响安全的事件。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完善制度建设。制定完善了预算绩效管理制度、资金管理办法、工作保障制度等，为全年预算绩效目标的实现奠定制度基础。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加强支出管理。通过优化支出结构、编细编实预算、加快履行政府采购手续、尽快启动项目、及时支付资金、细化代编预算、按规定及时下达资金等多种措施，确保支出进度达标。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r>
        <w:rPr>
          <w:rFonts w:hint="eastAsia" w:ascii="黑体" w:hAnsi="黑体" w:eastAsia="黑体" w:cs="黑体"/>
          <w:color w:val="000000"/>
          <w:sz w:val="32"/>
          <w:lang w:val="en-US" w:eastAsia="zh-CN"/>
        </w:rPr>
        <w:t xml:space="preserve">  </w:t>
      </w:r>
    </w:p>
    <w:p>
      <w:pPr>
        <w:numPr>
          <w:numId w:val="0"/>
        </w:numPr>
        <w:spacing w:before="10" w:after="10" w:line="360" w:lineRule="auto"/>
        <w:ind w:firstLine="1280" w:firstLineChars="4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numPr>
          <w:ilvl w:val="0"/>
          <w:numId w:val="1"/>
        </w:numPr>
        <w:spacing w:before="10" w:after="10" w:line="360" w:lineRule="auto"/>
        <w:ind w:left="0" w:leftChars="0" w:firstLine="640" w:firstLineChars="0"/>
        <w:jc w:val="left"/>
        <w:outlineLvl w:val="2"/>
        <w:rPr>
          <w:rFonts w:hint="eastAsia" w:ascii="黑体" w:hAnsi="黑体" w:eastAsia="黑体" w:cs="黑体"/>
          <w:color w:val="000000"/>
          <w:sz w:val="32"/>
          <w:lang w:val="en-US" w:eastAsia="zh-CN"/>
        </w:rPr>
      </w:pPr>
      <w:bookmarkStart w:id="15" w:name="_Toc_3_3_0000000016"/>
      <w:r>
        <w:rPr>
          <w:rFonts w:ascii="黑体" w:hAnsi="黑体" w:eastAsia="黑体" w:cs="黑体"/>
          <w:color w:val="000000"/>
          <w:sz w:val="32"/>
        </w:rPr>
        <w:t>部门项目预算安排情况及绩效目标</w:t>
      </w:r>
      <w:bookmarkEnd w:id="15"/>
      <w:r>
        <w:rPr>
          <w:rFonts w:hint="eastAsia" w:ascii="黑体" w:hAnsi="黑体" w:eastAsia="黑体" w:cs="黑体"/>
          <w:color w:val="000000"/>
          <w:sz w:val="32"/>
          <w:lang w:val="en-US" w:eastAsia="zh-CN"/>
        </w:rPr>
        <w:t xml:space="preserve"> </w:t>
      </w:r>
    </w:p>
    <w:p>
      <w:pPr>
        <w:numPr>
          <w:numId w:val="0"/>
        </w:numPr>
        <w:spacing w:before="10" w:after="10" w:line="360" w:lineRule="auto"/>
        <w:ind w:left="640" w:leftChars="0" w:firstLine="640" w:firstLineChars="2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935无极县郝庄乡人民政府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无极县郝庄乡人民政府（含所属单位）上年末固定资产金额为269.72万元（详见下表）。本年度拟购置固定资产总额为0.00万元。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935无极县郝庄乡人民政府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10003</w:t>
            </w:r>
            <w:bookmarkStart w:id="20" w:name="_GoBack"/>
            <w:bookmarkEnd w:id="20"/>
          </w:p>
        </w:tc>
        <w:tc>
          <w:tcPr>
            <w:tcW w:w="2835" w:type="dxa"/>
            <w:vAlign w:val="center"/>
          </w:tcPr>
          <w:p>
            <w:pPr>
              <w:pStyle w:val="12"/>
            </w:pPr>
            <w:r>
              <w:t>269.72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10000</w:t>
            </w:r>
          </w:p>
        </w:tc>
        <w:tc>
          <w:tcPr>
            <w:tcW w:w="2835" w:type="dxa"/>
            <w:vAlign w:val="center"/>
          </w:tcPr>
          <w:p>
            <w:pPr>
              <w:pStyle w:val="12"/>
            </w:pPr>
            <w:r>
              <w:t>240.83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8500</w:t>
            </w:r>
          </w:p>
        </w:tc>
        <w:tc>
          <w:tcPr>
            <w:tcW w:w="2835" w:type="dxa"/>
            <w:vAlign w:val="center"/>
          </w:tcPr>
          <w:p>
            <w:pPr>
              <w:pStyle w:val="12"/>
            </w:pPr>
            <w:r>
              <w:t>222.23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28.89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936E42"/>
    <w:multiLevelType w:val="singleLevel"/>
    <w:tmpl w:val="C5936E4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5D6B58"/>
    <w:rsid w:val="50EA500B"/>
    <w:rsid w:val="55B46ED1"/>
    <w:rsid w:val="6998774E"/>
    <w:rsid w:val="79A148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3</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2025-02-11T15:15:00Z</dcterms:created>
  <dc:creator>lenovo</dc:creator>
  <cp:lastModifiedBy>浮生</cp:lastModifiedBy>
  <dcterms:modified xsi:type="dcterms:W3CDTF">2025-10-31T07:30:35Z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16510944028C45C0855A90E364BE184A</vt:lpwstr>
  </property>
</Properties>
</file>