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一、无极县郭庄镇人民政府本级收支预算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一、无极县郭庄镇人民政府本级收支预算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1224.90</w:t>
            </w:r>
          </w:p>
        </w:tc>
        <w:tc>
          <w:tcPr>
            <w:tcW w:w="4535" w:type="dxa"/>
            <w:vAlign w:val="center"/>
          </w:tcPr>
          <w:p>
            <w:pPr>
              <w:pStyle w:val="12"/>
            </w:pPr>
            <w:r>
              <w:t>一、一般公共服务支出</w:t>
            </w:r>
          </w:p>
        </w:tc>
        <w:tc>
          <w:tcPr>
            <w:tcW w:w="2126" w:type="dxa"/>
            <w:vAlign w:val="center"/>
          </w:tcPr>
          <w:p>
            <w:pPr>
              <w:pStyle w:val="11"/>
            </w:pPr>
            <w:r>
              <w:t>915.10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1224.90</w:t>
            </w:r>
          </w:p>
        </w:tc>
        <w:tc>
          <w:tcPr>
            <w:tcW w:w="4535" w:type="dxa"/>
            <w:vAlign w:val="center"/>
          </w:tcPr>
          <w:p>
            <w:pPr>
              <w:pStyle w:val="14"/>
            </w:pPr>
            <w:r>
              <w:t>本年支出合计</w:t>
            </w:r>
          </w:p>
        </w:tc>
        <w:tc>
          <w:tcPr>
            <w:tcW w:w="2126" w:type="dxa"/>
            <w:vAlign w:val="center"/>
          </w:tcPr>
          <w:p>
            <w:pPr>
              <w:pStyle w:val="15"/>
            </w:pPr>
            <w:r>
              <w:t>1224.90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1224.90</w:t>
            </w:r>
          </w:p>
        </w:tc>
        <w:tc>
          <w:tcPr>
            <w:tcW w:w="4535" w:type="dxa"/>
            <w:vAlign w:val="center"/>
          </w:tcPr>
          <w:p>
            <w:pPr>
              <w:pStyle w:val="14"/>
            </w:pPr>
            <w:r>
              <w:t>支出总计</w:t>
            </w:r>
          </w:p>
        </w:tc>
        <w:tc>
          <w:tcPr>
            <w:tcW w:w="2126" w:type="dxa"/>
            <w:vAlign w:val="center"/>
          </w:tcPr>
          <w:p>
            <w:pPr>
              <w:pStyle w:val="15"/>
            </w:pPr>
            <w:r>
              <w:t>1224.90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1224.90</w:t>
            </w:r>
          </w:p>
        </w:tc>
        <w:tc>
          <w:tcPr>
            <w:tcW w:w="1134" w:type="dxa"/>
            <w:vAlign w:val="center"/>
          </w:tcPr>
          <w:p>
            <w:pPr>
              <w:pStyle w:val="15"/>
            </w:pPr>
            <w:r>
              <w:t>1224.90</w:t>
            </w:r>
          </w:p>
        </w:tc>
        <w:tc>
          <w:tcPr>
            <w:tcW w:w="1134" w:type="dxa"/>
            <w:vAlign w:val="center"/>
          </w:tcPr>
          <w:p>
            <w:pPr>
              <w:pStyle w:val="15"/>
            </w:pPr>
            <w:r>
              <w:t>1224.90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r>
              <w:t>915.10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144.80</w:t>
            </w:r>
          </w:p>
        </w:tc>
        <w:tc>
          <w:tcPr>
            <w:tcW w:w="1134" w:type="dxa"/>
            <w:vAlign w:val="center"/>
          </w:tcPr>
          <w:p>
            <w:pPr>
              <w:pStyle w:val="11"/>
            </w:pPr>
            <w:r>
              <w:t>144.80</w:t>
            </w:r>
          </w:p>
        </w:tc>
        <w:tc>
          <w:tcPr>
            <w:tcW w:w="1134" w:type="dxa"/>
            <w:vAlign w:val="center"/>
          </w:tcPr>
          <w:p>
            <w:pPr>
              <w:pStyle w:val="11"/>
            </w:pPr>
            <w:r>
              <w:t>144.80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1224.90</w:t>
            </w:r>
          </w:p>
        </w:tc>
        <w:tc>
          <w:tcPr>
            <w:tcW w:w="1361" w:type="dxa"/>
            <w:vAlign w:val="center"/>
          </w:tcPr>
          <w:p>
            <w:pPr>
              <w:pStyle w:val="15"/>
            </w:pPr>
            <w:r>
              <w:t>1109.90</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915.10</w:t>
            </w:r>
          </w:p>
        </w:tc>
        <w:tc>
          <w:tcPr>
            <w:tcW w:w="1361" w:type="dxa"/>
            <w:vAlign w:val="center"/>
          </w:tcPr>
          <w:p>
            <w:pPr>
              <w:pStyle w:val="11"/>
            </w:pPr>
            <w:r>
              <w:t>915.10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915.10</w:t>
            </w:r>
          </w:p>
        </w:tc>
        <w:tc>
          <w:tcPr>
            <w:tcW w:w="1361" w:type="dxa"/>
            <w:vAlign w:val="center"/>
          </w:tcPr>
          <w:p>
            <w:pPr>
              <w:pStyle w:val="11"/>
            </w:pPr>
            <w:r>
              <w:t>915.10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915.10</w:t>
            </w:r>
          </w:p>
        </w:tc>
        <w:tc>
          <w:tcPr>
            <w:tcW w:w="1361" w:type="dxa"/>
            <w:vAlign w:val="center"/>
          </w:tcPr>
          <w:p>
            <w:pPr>
              <w:pStyle w:val="11"/>
            </w:pPr>
            <w:r>
              <w:t>915.10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144.80</w:t>
            </w:r>
          </w:p>
        </w:tc>
        <w:tc>
          <w:tcPr>
            <w:tcW w:w="1361" w:type="dxa"/>
            <w:vAlign w:val="center"/>
          </w:tcPr>
          <w:p>
            <w:pPr>
              <w:pStyle w:val="11"/>
            </w:pPr>
            <w:r>
              <w:t>144.80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1224.90</w:t>
            </w:r>
          </w:p>
        </w:tc>
        <w:tc>
          <w:tcPr>
            <w:tcW w:w="3402" w:type="dxa"/>
            <w:vAlign w:val="center"/>
          </w:tcPr>
          <w:p>
            <w:pPr>
              <w:pStyle w:val="12"/>
            </w:pPr>
            <w:r>
              <w:t>一、一般公共服务支出</w:t>
            </w:r>
          </w:p>
        </w:tc>
        <w:tc>
          <w:tcPr>
            <w:tcW w:w="1474" w:type="dxa"/>
            <w:vAlign w:val="center"/>
          </w:tcPr>
          <w:p>
            <w:pPr>
              <w:pStyle w:val="11"/>
            </w:pPr>
            <w:r>
              <w:t>915.10</w:t>
            </w:r>
          </w:p>
        </w:tc>
        <w:tc>
          <w:tcPr>
            <w:tcW w:w="1474" w:type="dxa"/>
            <w:vAlign w:val="center"/>
          </w:tcPr>
          <w:p>
            <w:pPr>
              <w:pStyle w:val="11"/>
            </w:pPr>
            <w:r>
              <w:t>915.10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144.80</w:t>
            </w:r>
          </w:p>
        </w:tc>
        <w:tc>
          <w:tcPr>
            <w:tcW w:w="1474" w:type="dxa"/>
            <w:vAlign w:val="center"/>
          </w:tcPr>
          <w:p>
            <w:pPr>
              <w:pStyle w:val="11"/>
            </w:pPr>
            <w:r>
              <w:t>144.80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115.00</w:t>
            </w:r>
          </w:p>
        </w:tc>
        <w:tc>
          <w:tcPr>
            <w:tcW w:w="1474" w:type="dxa"/>
            <w:vAlign w:val="center"/>
          </w:tcPr>
          <w:p>
            <w:pPr>
              <w:pStyle w:val="11"/>
            </w:pPr>
            <w:r>
              <w:t>115.00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1224.90</w:t>
            </w:r>
          </w:p>
        </w:tc>
        <w:tc>
          <w:tcPr>
            <w:tcW w:w="3402" w:type="dxa"/>
            <w:vAlign w:val="center"/>
          </w:tcPr>
          <w:p>
            <w:pPr>
              <w:pStyle w:val="14"/>
            </w:pPr>
            <w:r>
              <w:t>本年支出合计</w:t>
            </w:r>
          </w:p>
        </w:tc>
        <w:tc>
          <w:tcPr>
            <w:tcW w:w="1474" w:type="dxa"/>
            <w:vAlign w:val="center"/>
          </w:tcPr>
          <w:p>
            <w:pPr>
              <w:pStyle w:val="15"/>
            </w:pPr>
            <w:r>
              <w:t>1224.90</w:t>
            </w:r>
          </w:p>
        </w:tc>
        <w:tc>
          <w:tcPr>
            <w:tcW w:w="1474" w:type="dxa"/>
            <w:vAlign w:val="center"/>
          </w:tcPr>
          <w:p>
            <w:pPr>
              <w:pStyle w:val="15"/>
            </w:pPr>
            <w:r>
              <w:t>1224.90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1224.90</w:t>
            </w:r>
          </w:p>
        </w:tc>
        <w:tc>
          <w:tcPr>
            <w:tcW w:w="3402" w:type="dxa"/>
            <w:vAlign w:val="center"/>
          </w:tcPr>
          <w:p>
            <w:pPr>
              <w:pStyle w:val="14"/>
            </w:pPr>
            <w:r>
              <w:t>支出总计</w:t>
            </w:r>
          </w:p>
        </w:tc>
        <w:tc>
          <w:tcPr>
            <w:tcW w:w="1474" w:type="dxa"/>
            <w:vAlign w:val="center"/>
          </w:tcPr>
          <w:p>
            <w:pPr>
              <w:pStyle w:val="15"/>
            </w:pPr>
            <w:r>
              <w:t>1224.90</w:t>
            </w:r>
          </w:p>
        </w:tc>
        <w:tc>
          <w:tcPr>
            <w:tcW w:w="1474" w:type="dxa"/>
            <w:vAlign w:val="center"/>
          </w:tcPr>
          <w:p>
            <w:pPr>
              <w:pStyle w:val="15"/>
            </w:pPr>
            <w:r>
              <w:t>1224.90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1224.90</w:t>
            </w:r>
          </w:p>
        </w:tc>
        <w:tc>
          <w:tcPr>
            <w:tcW w:w="2551" w:type="dxa"/>
            <w:vAlign w:val="center"/>
          </w:tcPr>
          <w:p>
            <w:pPr>
              <w:pStyle w:val="15"/>
            </w:pPr>
            <w:r>
              <w:t>1109.90</w:t>
            </w:r>
          </w:p>
        </w:tc>
        <w:tc>
          <w:tcPr>
            <w:tcW w:w="2551" w:type="dxa"/>
            <w:vAlign w:val="center"/>
          </w:tcPr>
          <w:p>
            <w:pPr>
              <w:pStyle w:val="15"/>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915.10</w:t>
            </w:r>
          </w:p>
        </w:tc>
        <w:tc>
          <w:tcPr>
            <w:tcW w:w="2551" w:type="dxa"/>
            <w:vAlign w:val="center"/>
          </w:tcPr>
          <w:p>
            <w:pPr>
              <w:pStyle w:val="11"/>
            </w:pPr>
            <w:r>
              <w:t>915.10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915.10</w:t>
            </w:r>
          </w:p>
        </w:tc>
        <w:tc>
          <w:tcPr>
            <w:tcW w:w="2551" w:type="dxa"/>
            <w:vAlign w:val="center"/>
          </w:tcPr>
          <w:p>
            <w:pPr>
              <w:pStyle w:val="11"/>
            </w:pPr>
            <w:r>
              <w:t>915.10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915.10</w:t>
            </w:r>
          </w:p>
        </w:tc>
        <w:tc>
          <w:tcPr>
            <w:tcW w:w="2551" w:type="dxa"/>
            <w:vAlign w:val="center"/>
          </w:tcPr>
          <w:p>
            <w:pPr>
              <w:pStyle w:val="11"/>
            </w:pPr>
            <w:r>
              <w:t>915.10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144.80</w:t>
            </w:r>
          </w:p>
        </w:tc>
        <w:tc>
          <w:tcPr>
            <w:tcW w:w="2551" w:type="dxa"/>
            <w:vAlign w:val="center"/>
          </w:tcPr>
          <w:p>
            <w:pPr>
              <w:pStyle w:val="11"/>
            </w:pPr>
            <w:r>
              <w:t>144.80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115.00</w:t>
            </w:r>
          </w:p>
        </w:tc>
        <w:tc>
          <w:tcPr>
            <w:tcW w:w="2551" w:type="dxa"/>
            <w:vAlign w:val="center"/>
          </w:tcPr>
          <w:p>
            <w:pPr>
              <w:pStyle w:val="11"/>
            </w:pPr>
          </w:p>
        </w:tc>
        <w:tc>
          <w:tcPr>
            <w:tcW w:w="2551"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115.00</w:t>
            </w:r>
          </w:p>
        </w:tc>
        <w:tc>
          <w:tcPr>
            <w:tcW w:w="2551" w:type="dxa"/>
            <w:vAlign w:val="center"/>
          </w:tcPr>
          <w:p>
            <w:pPr>
              <w:pStyle w:val="11"/>
            </w:pPr>
          </w:p>
        </w:tc>
        <w:tc>
          <w:tcPr>
            <w:tcW w:w="2551"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115.00</w:t>
            </w:r>
          </w:p>
        </w:tc>
        <w:tc>
          <w:tcPr>
            <w:tcW w:w="2551" w:type="dxa"/>
            <w:vAlign w:val="center"/>
          </w:tcPr>
          <w:p>
            <w:pPr>
              <w:pStyle w:val="11"/>
            </w:pPr>
          </w:p>
        </w:tc>
        <w:tc>
          <w:tcPr>
            <w:tcW w:w="2551" w:type="dxa"/>
            <w:vAlign w:val="center"/>
          </w:tcPr>
          <w:p>
            <w:pPr>
              <w:pStyle w:val="11"/>
            </w:pPr>
            <w:r>
              <w:t>115.00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1109.90</w:t>
            </w:r>
          </w:p>
        </w:tc>
        <w:tc>
          <w:tcPr>
            <w:tcW w:w="2551" w:type="dxa"/>
            <w:vAlign w:val="center"/>
          </w:tcPr>
          <w:p>
            <w:pPr>
              <w:pStyle w:val="15"/>
            </w:pPr>
            <w:r>
              <w:t>858.70</w:t>
            </w:r>
          </w:p>
        </w:tc>
        <w:tc>
          <w:tcPr>
            <w:tcW w:w="2551" w:type="dxa"/>
            <w:vAlign w:val="center"/>
          </w:tcPr>
          <w:p>
            <w:pPr>
              <w:pStyle w:val="15"/>
            </w:pPr>
            <w:r>
              <w:t>251.20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823.90</w:t>
            </w:r>
          </w:p>
        </w:tc>
        <w:tc>
          <w:tcPr>
            <w:tcW w:w="2551" w:type="dxa"/>
            <w:vAlign w:val="center"/>
          </w:tcPr>
          <w:p>
            <w:pPr>
              <w:pStyle w:val="11"/>
            </w:pPr>
            <w:r>
              <w:t>823.90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305.00</w:t>
            </w:r>
          </w:p>
        </w:tc>
        <w:tc>
          <w:tcPr>
            <w:tcW w:w="2551" w:type="dxa"/>
            <w:vAlign w:val="center"/>
          </w:tcPr>
          <w:p>
            <w:pPr>
              <w:pStyle w:val="11"/>
            </w:pPr>
            <w:r>
              <w:t>305.00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131.60</w:t>
            </w:r>
          </w:p>
        </w:tc>
        <w:tc>
          <w:tcPr>
            <w:tcW w:w="2551" w:type="dxa"/>
            <w:vAlign w:val="center"/>
          </w:tcPr>
          <w:p>
            <w:pPr>
              <w:pStyle w:val="11"/>
            </w:pPr>
            <w:r>
              <w:t>131.60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65.20</w:t>
            </w:r>
          </w:p>
        </w:tc>
        <w:tc>
          <w:tcPr>
            <w:tcW w:w="2551" w:type="dxa"/>
            <w:vAlign w:val="center"/>
          </w:tcPr>
          <w:p>
            <w:pPr>
              <w:pStyle w:val="11"/>
            </w:pPr>
            <w:r>
              <w:t>65.20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117.50</w:t>
            </w:r>
          </w:p>
        </w:tc>
        <w:tc>
          <w:tcPr>
            <w:tcW w:w="2551" w:type="dxa"/>
            <w:vAlign w:val="center"/>
          </w:tcPr>
          <w:p>
            <w:pPr>
              <w:pStyle w:val="11"/>
            </w:pPr>
            <w:r>
              <w:t>117.50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251.20</w:t>
            </w:r>
          </w:p>
        </w:tc>
        <w:tc>
          <w:tcPr>
            <w:tcW w:w="2551" w:type="dxa"/>
            <w:vAlign w:val="center"/>
          </w:tcPr>
          <w:p>
            <w:pPr>
              <w:pStyle w:val="11"/>
            </w:pPr>
          </w:p>
        </w:tc>
        <w:tc>
          <w:tcPr>
            <w:tcW w:w="2551" w:type="dxa"/>
            <w:vAlign w:val="center"/>
          </w:tcPr>
          <w:p>
            <w:pPr>
              <w:pStyle w:val="11"/>
            </w:pPr>
            <w:r>
              <w:t>251.20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34.20</w:t>
            </w:r>
          </w:p>
        </w:tc>
        <w:tc>
          <w:tcPr>
            <w:tcW w:w="2551" w:type="dxa"/>
            <w:vAlign w:val="center"/>
          </w:tcPr>
          <w:p>
            <w:pPr>
              <w:pStyle w:val="11"/>
            </w:pPr>
          </w:p>
        </w:tc>
        <w:tc>
          <w:tcPr>
            <w:tcW w:w="2551" w:type="dxa"/>
            <w:vAlign w:val="center"/>
          </w:tcPr>
          <w:p>
            <w:pPr>
              <w:pStyle w:val="11"/>
            </w:pPr>
            <w:r>
              <w:t>34.20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34.80</w:t>
            </w:r>
          </w:p>
        </w:tc>
        <w:tc>
          <w:tcPr>
            <w:tcW w:w="2551" w:type="dxa"/>
            <w:vAlign w:val="center"/>
          </w:tcPr>
          <w:p>
            <w:pPr>
              <w:pStyle w:val="11"/>
            </w:pPr>
            <w:r>
              <w:t>34.80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34.80</w:t>
            </w:r>
          </w:p>
        </w:tc>
        <w:tc>
          <w:tcPr>
            <w:tcW w:w="2551" w:type="dxa"/>
            <w:vAlign w:val="center"/>
          </w:tcPr>
          <w:p>
            <w:pPr>
              <w:pStyle w:val="11"/>
            </w:pPr>
            <w:r>
              <w:t>34.80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按照《中华人民共和国预算法》、《地方预决算公开操作规程》和《关于进一步推进预算公开工作的实施意见》规定，现将无极县郭庄镇人民政府本级2025年单位预算公开如下：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宣传、贯彻、执行党的路线方针政策和国家的法律、法规,执行本级人民代表大会的决议和上级国家行政机关的决定和命令,其主要职能为:</w:t>
      </w:r>
    </w:p>
    <w:p>
      <w:pPr>
        <w:pStyle w:val="17"/>
      </w:pPr>
      <w:r>
        <w:t>促进经济发展</w:t>
      </w:r>
    </w:p>
    <w:p>
      <w:pPr>
        <w:pStyle w:val="17"/>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7"/>
      </w:pPr>
      <w:r>
        <w:t>加强社会管理</w:t>
      </w:r>
    </w:p>
    <w:p>
      <w:pPr>
        <w:pStyle w:val="17"/>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7"/>
      </w:pPr>
      <w:r>
        <w:t>3.提供公共服务</w:t>
      </w:r>
    </w:p>
    <w:p>
      <w:pPr>
        <w:pStyle w:val="17"/>
      </w:pPr>
      <w:r>
        <w:t>主要包括:（1）组织乡村公共基础设施建设。（2）配合教育、科技、文体、卫健等部门搞好九年义务教育,普及推广科学技术,丰富农村文化生活,开展全民健身运动,推行  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17"/>
      </w:pPr>
      <w:r>
        <w:t>4.维护农村稳定</w:t>
      </w:r>
    </w:p>
    <w:p>
      <w:pPr>
        <w:pStyle w:val="17"/>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无极县郭庄镇人民政府本级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1224.90万元，其中：一般公共预算收入1224.90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郭庄镇人民政府本级年度单位预算中支出预算的总体情况。2025年支出预算1224.90万元，其中基本支出1109.90万元，包括人员经费858.70万元和日常公用经费251.20万元；项目支出115.00万元，主要为项目支出均符合要求</w:t>
      </w:r>
    </w:p>
    <w:p>
      <w:pPr>
        <w:pStyle w:val="18"/>
      </w:pPr>
      <w:r>
        <w:t>3、比上年增减情况</w:t>
      </w:r>
    </w:p>
    <w:p>
      <w:pPr>
        <w:pStyle w:val="18"/>
      </w:pPr>
      <w:r>
        <w:t>2025年预算收支安排1224.90万元，较2024年预算增加37.09万元，其中：基本支出减少77.91万元，主要为基本支出均符合要求项目支出增加115.00万元，主要为项目支出均符合要求</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2025年，我单位机关运行经费共计安排251.20万元，主要用于日常维修、办公用房水电费、办公用房取暖费、办公用房物业管理费等日常运行支出。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其他增加项目</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1、北汪村道路硬化工程绩效目标表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13013025P00006210007B</w:t>
            </w:r>
          </w:p>
        </w:tc>
        <w:tc>
          <w:tcPr>
            <w:tcW w:w="2835" w:type="dxa"/>
            <w:vAlign w:val="center"/>
          </w:tcPr>
          <w:p>
            <w:pPr>
              <w:pStyle w:val="10"/>
            </w:pPr>
            <w:r>
              <w:t>项目名称</w:t>
            </w:r>
          </w:p>
        </w:tc>
        <w:tc>
          <w:tcPr>
            <w:tcW w:w="6095" w:type="dxa"/>
            <w:gridSpan w:val="3"/>
            <w:vAlign w:val="center"/>
          </w:tcPr>
          <w:p>
            <w:pPr>
              <w:pStyle w:val="12"/>
            </w:pPr>
            <w:r>
              <w:t>北汪村道路硬化工程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用于北汪村道路硬化工程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ascii="方正书宋_GBK" w:hAnsi="方正书宋_GBK" w:eastAsia="方正书宋_GBK" w:cs="方正书宋_GBK"/>
                <w:sz w:val="21"/>
              </w:rPr>
            </w:pPr>
            <w:r>
              <w:t xml:space="preserve"> </w:t>
            </w:r>
            <w:r>
              <w:rPr>
                <w:rFonts w:hint="eastAsia"/>
                <w:lang w:val="en-US" w:eastAsia="zh-CN"/>
              </w:rPr>
              <w:t>50%</w:t>
            </w:r>
          </w:p>
        </w:tc>
        <w:tc>
          <w:tcPr>
            <w:tcW w:w="2551" w:type="dxa"/>
            <w:vAlign w:val="center"/>
          </w:tcPr>
          <w:p>
            <w:pPr>
              <w:pStyle w:val="13"/>
              <w:ind w:firstLine="0" w:firstLineChars="0"/>
              <w:rPr>
                <w:rFonts w:ascii="方正书宋_GBK" w:hAnsi="方正书宋_GBK" w:eastAsia="方正书宋_GBK" w:cs="方正书宋_GBK"/>
                <w:sz w:val="21"/>
              </w:rPr>
            </w:pPr>
            <w:r>
              <w:t xml:space="preserve">  </w:t>
            </w:r>
            <w:r>
              <w:rPr>
                <w:rFonts w:hint="eastAsia"/>
                <w:lang w:val="en-US" w:eastAsia="zh-CN"/>
              </w:rPr>
              <w:t>75%</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1.2025年北汪村道路硬化工程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年度信息系统数量</w:t>
            </w:r>
          </w:p>
        </w:tc>
        <w:tc>
          <w:tcPr>
            <w:tcW w:w="5386" w:type="dxa"/>
            <w:vAlign w:val="center"/>
          </w:tcPr>
          <w:p>
            <w:pPr>
              <w:pStyle w:val="12"/>
            </w:pPr>
            <w:r>
              <w:t>年度信息系统数量</w:t>
            </w:r>
          </w:p>
        </w:tc>
        <w:tc>
          <w:tcPr>
            <w:tcW w:w="2268" w:type="dxa"/>
            <w:vAlign w:val="center"/>
          </w:tcPr>
          <w:p>
            <w:pPr>
              <w:pStyle w:val="12"/>
            </w:pPr>
            <w:r>
              <w:t>规划数</w:t>
            </w:r>
          </w:p>
        </w:tc>
        <w:tc>
          <w:tcPr>
            <w:tcW w:w="1276" w:type="dxa"/>
            <w:vAlign w:val="center"/>
          </w:tcPr>
          <w:p>
            <w:pPr>
              <w:pStyle w:val="12"/>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工作完成情况</w:t>
            </w:r>
          </w:p>
        </w:tc>
        <w:tc>
          <w:tcPr>
            <w:tcW w:w="2268" w:type="dxa"/>
            <w:vAlign w:val="center"/>
          </w:tcPr>
          <w:p>
            <w:pPr>
              <w:pStyle w:val="12"/>
            </w:pPr>
            <w:r>
              <w:t>建设进度</w:t>
            </w:r>
          </w:p>
        </w:tc>
        <w:tc>
          <w:tcPr>
            <w:tcW w:w="1276" w:type="dxa"/>
            <w:vAlign w:val="center"/>
          </w:tcPr>
          <w:p>
            <w:pPr>
              <w:pStyle w:val="12"/>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100</w:t>
            </w:r>
          </w:p>
        </w:tc>
        <w:tc>
          <w:tcPr>
            <w:tcW w:w="1276" w:type="dxa"/>
            <w:vAlign w:val="center"/>
          </w:tcPr>
          <w:p>
            <w:pPr>
              <w:pStyle w:val="12"/>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完成进度</w:t>
            </w:r>
          </w:p>
        </w:tc>
        <w:tc>
          <w:tcPr>
            <w:tcW w:w="1276" w:type="dxa"/>
            <w:vAlign w:val="center"/>
          </w:tcPr>
          <w:p>
            <w:pPr>
              <w:pStyle w:val="12"/>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经济程度</w:t>
            </w:r>
          </w:p>
        </w:tc>
        <w:tc>
          <w:tcPr>
            <w:tcW w:w="1276" w:type="dxa"/>
            <w:vAlign w:val="center"/>
          </w:tcPr>
          <w:p>
            <w:pPr>
              <w:pStyle w:val="12"/>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社会效益</w:t>
            </w:r>
          </w:p>
        </w:tc>
        <w:tc>
          <w:tcPr>
            <w:tcW w:w="1276" w:type="dxa"/>
            <w:vAlign w:val="center"/>
          </w:tcPr>
          <w:p>
            <w:pPr>
              <w:pStyle w:val="12"/>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生态环境</w:t>
            </w:r>
          </w:p>
        </w:tc>
        <w:tc>
          <w:tcPr>
            <w:tcW w:w="1276" w:type="dxa"/>
            <w:vAlign w:val="center"/>
          </w:tcPr>
          <w:p>
            <w:pPr>
              <w:pStyle w:val="12"/>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持续程度</w:t>
            </w:r>
          </w:p>
        </w:tc>
        <w:tc>
          <w:tcPr>
            <w:tcW w:w="1276" w:type="dxa"/>
            <w:vAlign w:val="center"/>
          </w:tcPr>
          <w:p>
            <w:pPr>
              <w:pStyle w:val="12"/>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无极县郭庄镇人民政府本级小计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北汪村道路硬化工程</w:t>
            </w:r>
          </w:p>
        </w:tc>
        <w:tc>
          <w:tcPr>
            <w:tcW w:w="964" w:type="dxa"/>
            <w:vAlign w:val="center"/>
          </w:tcPr>
          <w:p>
            <w:pPr>
              <w:pStyle w:val="11"/>
            </w:pPr>
            <w:r>
              <w:t>115.00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115.00</w:t>
            </w:r>
          </w:p>
        </w:tc>
        <w:tc>
          <w:tcPr>
            <w:tcW w:w="964" w:type="dxa"/>
            <w:vAlign w:val="center"/>
          </w:tcPr>
          <w:p>
            <w:pPr>
              <w:pStyle w:val="11"/>
            </w:pPr>
            <w:r>
              <w:t>115.00</w:t>
            </w: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无极县郭庄镇人民政府本级上年末固定资产金额为374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20162</w:t>
            </w:r>
          </w:p>
        </w:tc>
        <w:tc>
          <w:tcPr>
            <w:tcW w:w="2835" w:type="dxa"/>
            <w:vAlign w:val="center"/>
          </w:tcPr>
          <w:p>
            <w:pPr>
              <w:pStyle w:val="11"/>
              <w:ind w:firstLine="0" w:firstLineChars="0"/>
              <w:rPr>
                <w:rFonts w:hint="eastAsia" w:ascii="方正书宋_GBK" w:hAnsi="方正书宋_GBK" w:eastAsia="方正书宋_GBK" w:cs="方正书宋_GBK"/>
                <w:sz w:val="21"/>
                <w:lang w:val="en-US" w:eastAsia="zh-CN"/>
              </w:rPr>
            </w:pPr>
            <w:r>
              <w:t>374</w:t>
            </w:r>
            <w:r>
              <w:rPr>
                <w:rFonts w:hint="eastAsia"/>
                <w:lang w:val="en-US" w:eastAsia="zh-CN"/>
              </w:rPr>
              <w:t>.</w:t>
            </w:r>
            <w:r>
              <w:t>9</w:t>
            </w:r>
            <w:r>
              <w:rPr>
                <w:rFonts w:hint="eastAsia"/>
                <w:lang w:val="en-US" w:eastAsia="zh-CN"/>
              </w:rPr>
              <w:t>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ind w:firstLine="0" w:firstLineChars="0"/>
              <w:rPr>
                <w:rFonts w:ascii="方正书宋_GBK" w:hAnsi="方正书宋_GBK" w:eastAsia="方正书宋_GBK" w:cs="方正书宋_GBK"/>
                <w:sz w:val="21"/>
              </w:rPr>
            </w:pPr>
            <w:r>
              <w:t>20160</w:t>
            </w:r>
          </w:p>
        </w:tc>
        <w:tc>
          <w:tcPr>
            <w:tcW w:w="2835" w:type="dxa"/>
            <w:vAlign w:val="center"/>
          </w:tcPr>
          <w:p>
            <w:pPr>
              <w:pStyle w:val="11"/>
              <w:ind w:firstLine="0" w:firstLineChars="0"/>
              <w:rPr>
                <w:rFonts w:ascii="方正书宋_GBK" w:hAnsi="方正书宋_GBK" w:eastAsia="方正书宋_GBK" w:cs="方正书宋_GBK"/>
                <w:sz w:val="21"/>
              </w:rPr>
            </w:pPr>
            <w:r>
              <w:t>313</w:t>
            </w:r>
            <w:r>
              <w:rPr>
                <w:rFonts w:hint="eastAsia"/>
                <w:lang w:val="en-US" w:eastAsia="zh-CN"/>
              </w:rPr>
              <w:t>.</w:t>
            </w:r>
            <w:r>
              <w:t>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61</w:t>
            </w:r>
            <w:r>
              <w:rPr>
                <w:rFonts w:hint="eastAsia"/>
                <w:lang w:val="en-US" w:eastAsia="zh-CN"/>
              </w:rPr>
              <w:t>.</w:t>
            </w:r>
            <w:r>
              <w:t>5</w:t>
            </w:r>
            <w:r>
              <w:rPr>
                <w:rFonts w:hint="eastAsia"/>
                <w:lang w:val="en-US" w:eastAsia="zh-CN"/>
              </w:rPr>
              <w:t>1</w:t>
            </w:r>
            <w:bookmarkStart w:id="1" w:name="_GoBack"/>
            <w:bookmarkEnd w:id="1"/>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FE12FA"/>
    <w:rsid w:val="288B017A"/>
    <w:rsid w:val="6DE35F5D"/>
    <w:rsid w:val="7C5F4C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2025-02-20T09:52:00Z</dcterms:created>
  <dc:creator>lenovo</dc:creator>
  <cp:lastModifiedBy>浮生</cp:lastModifiedBy>
  <dcterms:modified xsi:type="dcterms:W3CDTF">2025-10-31T08:06:29Z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1B5A90988F0F4BCF899F389E75C67E21</vt:lpwstr>
  </property>
</Properties>
</file>