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一、中国共产党无极县委员会信访局收支预算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一、中国共产党无极县委员会信访局收支预算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293.00</w:t>
            </w:r>
          </w:p>
        </w:tc>
        <w:tc>
          <w:tcPr>
            <w:tcW w:w="4535" w:type="dxa"/>
            <w:vAlign w:val="center"/>
          </w:tcPr>
          <w:p>
            <w:pPr>
              <w:pStyle w:val="12"/>
            </w:pPr>
            <w:r>
              <w:t>一、一般公共服务支出</w:t>
            </w:r>
          </w:p>
        </w:tc>
        <w:tc>
          <w:tcPr>
            <w:tcW w:w="2126" w:type="dxa"/>
            <w:vAlign w:val="center"/>
          </w:tcPr>
          <w:p>
            <w:pPr>
              <w:pStyle w:val="11"/>
            </w:pPr>
            <w:r>
              <w:t>257.20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293.00</w:t>
            </w:r>
          </w:p>
        </w:tc>
        <w:tc>
          <w:tcPr>
            <w:tcW w:w="4535" w:type="dxa"/>
            <w:vAlign w:val="center"/>
          </w:tcPr>
          <w:p>
            <w:pPr>
              <w:pStyle w:val="14"/>
            </w:pPr>
            <w:r>
              <w:t>本年支出合计</w:t>
            </w:r>
          </w:p>
        </w:tc>
        <w:tc>
          <w:tcPr>
            <w:tcW w:w="2126" w:type="dxa"/>
            <w:vAlign w:val="center"/>
          </w:tcPr>
          <w:p>
            <w:pPr>
              <w:pStyle w:val="15"/>
            </w:pPr>
            <w:r>
              <w:t>318.20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25.20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318.20</w:t>
            </w:r>
          </w:p>
        </w:tc>
        <w:tc>
          <w:tcPr>
            <w:tcW w:w="4535" w:type="dxa"/>
            <w:vAlign w:val="center"/>
          </w:tcPr>
          <w:p>
            <w:pPr>
              <w:pStyle w:val="14"/>
            </w:pPr>
            <w:r>
              <w:t>支出总计</w:t>
            </w:r>
          </w:p>
        </w:tc>
        <w:tc>
          <w:tcPr>
            <w:tcW w:w="2126" w:type="dxa"/>
            <w:vAlign w:val="center"/>
          </w:tcPr>
          <w:p>
            <w:pPr>
              <w:pStyle w:val="15"/>
            </w:pPr>
            <w:r>
              <w:t>318.20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318.20</w:t>
            </w:r>
          </w:p>
        </w:tc>
        <w:tc>
          <w:tcPr>
            <w:tcW w:w="1134" w:type="dxa"/>
            <w:vAlign w:val="center"/>
          </w:tcPr>
          <w:p>
            <w:pPr>
              <w:pStyle w:val="15"/>
            </w:pPr>
            <w:r>
              <w:t>293.00</w:t>
            </w:r>
          </w:p>
        </w:tc>
        <w:tc>
          <w:tcPr>
            <w:tcW w:w="1134" w:type="dxa"/>
            <w:vAlign w:val="center"/>
          </w:tcPr>
          <w:p>
            <w:pPr>
              <w:pStyle w:val="15"/>
            </w:pPr>
            <w:r>
              <w:t>293.00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257.20</w:t>
            </w:r>
          </w:p>
        </w:tc>
        <w:tc>
          <w:tcPr>
            <w:tcW w:w="1134" w:type="dxa"/>
            <w:vAlign w:val="center"/>
          </w:tcPr>
          <w:p>
            <w:pPr>
              <w:pStyle w:val="11"/>
            </w:pPr>
            <w:r>
              <w:t>232.00</w:t>
            </w:r>
          </w:p>
        </w:tc>
        <w:tc>
          <w:tcPr>
            <w:tcW w:w="1134" w:type="dxa"/>
            <w:vAlign w:val="center"/>
          </w:tcPr>
          <w:p>
            <w:pPr>
              <w:pStyle w:val="11"/>
            </w:pPr>
            <w:r>
              <w:t>232.00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20140</w:t>
            </w:r>
          </w:p>
        </w:tc>
        <w:tc>
          <w:tcPr>
            <w:tcW w:w="1559" w:type="dxa"/>
            <w:vAlign w:val="center"/>
          </w:tcPr>
          <w:p>
            <w:pPr>
              <w:pStyle w:val="12"/>
            </w:pPr>
            <w:r>
              <w:t>信访事务</w:t>
            </w:r>
          </w:p>
        </w:tc>
        <w:tc>
          <w:tcPr>
            <w:tcW w:w="1134" w:type="dxa"/>
            <w:vAlign w:val="center"/>
          </w:tcPr>
          <w:p>
            <w:pPr>
              <w:pStyle w:val="11"/>
            </w:pPr>
            <w:r>
              <w:t>257.20</w:t>
            </w:r>
          </w:p>
        </w:tc>
        <w:tc>
          <w:tcPr>
            <w:tcW w:w="1134" w:type="dxa"/>
            <w:vAlign w:val="center"/>
          </w:tcPr>
          <w:p>
            <w:pPr>
              <w:pStyle w:val="11"/>
            </w:pPr>
            <w:r>
              <w:t>232.00</w:t>
            </w:r>
          </w:p>
        </w:tc>
        <w:tc>
          <w:tcPr>
            <w:tcW w:w="1134" w:type="dxa"/>
            <w:vAlign w:val="center"/>
          </w:tcPr>
          <w:p>
            <w:pPr>
              <w:pStyle w:val="11"/>
            </w:pPr>
            <w:r>
              <w:t>232.00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2014001</w:t>
            </w:r>
          </w:p>
        </w:tc>
        <w:tc>
          <w:tcPr>
            <w:tcW w:w="1559" w:type="dxa"/>
            <w:vAlign w:val="center"/>
          </w:tcPr>
          <w:p>
            <w:pPr>
              <w:pStyle w:val="12"/>
            </w:pPr>
            <w:r>
              <w:t>行政运行</w:t>
            </w:r>
          </w:p>
        </w:tc>
        <w:tc>
          <w:tcPr>
            <w:tcW w:w="1134" w:type="dxa"/>
            <w:vAlign w:val="center"/>
          </w:tcPr>
          <w:p>
            <w:pPr>
              <w:pStyle w:val="11"/>
            </w:pPr>
            <w:r>
              <w:t>232.00</w:t>
            </w:r>
          </w:p>
        </w:tc>
        <w:tc>
          <w:tcPr>
            <w:tcW w:w="1134" w:type="dxa"/>
            <w:vAlign w:val="center"/>
          </w:tcPr>
          <w:p>
            <w:pPr>
              <w:pStyle w:val="11"/>
            </w:pPr>
            <w:r>
              <w:t>232.00</w:t>
            </w:r>
          </w:p>
        </w:tc>
        <w:tc>
          <w:tcPr>
            <w:tcW w:w="1134" w:type="dxa"/>
            <w:vAlign w:val="center"/>
          </w:tcPr>
          <w:p>
            <w:pPr>
              <w:pStyle w:val="11"/>
            </w:pPr>
            <w:r>
              <w:t>232.00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2014004</w:t>
            </w:r>
          </w:p>
        </w:tc>
        <w:tc>
          <w:tcPr>
            <w:tcW w:w="1559" w:type="dxa"/>
            <w:vAlign w:val="center"/>
          </w:tcPr>
          <w:p>
            <w:pPr>
              <w:pStyle w:val="12"/>
            </w:pPr>
            <w:r>
              <w:t>信访业务</w:t>
            </w:r>
          </w:p>
        </w:tc>
        <w:tc>
          <w:tcPr>
            <w:tcW w:w="1134" w:type="dxa"/>
            <w:vAlign w:val="center"/>
          </w:tcPr>
          <w:p>
            <w:pPr>
              <w:pStyle w:val="11"/>
            </w:pPr>
            <w:r>
              <w:t>25.20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44.00</w:t>
            </w:r>
          </w:p>
        </w:tc>
        <w:tc>
          <w:tcPr>
            <w:tcW w:w="1134" w:type="dxa"/>
            <w:vAlign w:val="center"/>
          </w:tcPr>
          <w:p>
            <w:pPr>
              <w:pStyle w:val="11"/>
            </w:pPr>
            <w:r>
              <w:t>44.00</w:t>
            </w:r>
          </w:p>
        </w:tc>
        <w:tc>
          <w:tcPr>
            <w:tcW w:w="1134" w:type="dxa"/>
            <w:vAlign w:val="center"/>
          </w:tcPr>
          <w:p>
            <w:pPr>
              <w:pStyle w:val="11"/>
            </w:pPr>
            <w:r>
              <w:t>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318.20</w:t>
            </w:r>
          </w:p>
        </w:tc>
        <w:tc>
          <w:tcPr>
            <w:tcW w:w="1361" w:type="dxa"/>
            <w:vAlign w:val="center"/>
          </w:tcPr>
          <w:p>
            <w:pPr>
              <w:pStyle w:val="15"/>
            </w:pPr>
            <w:r>
              <w:t>293.00</w:t>
            </w:r>
          </w:p>
        </w:tc>
        <w:tc>
          <w:tcPr>
            <w:tcW w:w="1361" w:type="dxa"/>
            <w:vAlign w:val="center"/>
          </w:tcPr>
          <w:p>
            <w:pPr>
              <w:pStyle w:val="15"/>
            </w:pPr>
            <w:r>
              <w:t>25.20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257.20</w:t>
            </w:r>
          </w:p>
        </w:tc>
        <w:tc>
          <w:tcPr>
            <w:tcW w:w="1361" w:type="dxa"/>
            <w:vAlign w:val="center"/>
          </w:tcPr>
          <w:p>
            <w:pPr>
              <w:pStyle w:val="11"/>
            </w:pPr>
            <w:r>
              <w:t>232.00</w:t>
            </w:r>
          </w:p>
        </w:tc>
        <w:tc>
          <w:tcPr>
            <w:tcW w:w="1361" w:type="dxa"/>
            <w:vAlign w:val="center"/>
          </w:tcPr>
          <w:p>
            <w:pPr>
              <w:pStyle w:val="11"/>
            </w:pPr>
            <w:r>
              <w:t>25.20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20140</w:t>
            </w:r>
          </w:p>
        </w:tc>
        <w:tc>
          <w:tcPr>
            <w:tcW w:w="4535" w:type="dxa"/>
            <w:vAlign w:val="center"/>
          </w:tcPr>
          <w:p>
            <w:pPr>
              <w:pStyle w:val="12"/>
            </w:pPr>
            <w:r>
              <w:t>信访事务</w:t>
            </w:r>
          </w:p>
        </w:tc>
        <w:tc>
          <w:tcPr>
            <w:tcW w:w="1361" w:type="dxa"/>
            <w:vAlign w:val="center"/>
          </w:tcPr>
          <w:p>
            <w:pPr>
              <w:pStyle w:val="11"/>
            </w:pPr>
            <w:r>
              <w:t>257.20</w:t>
            </w:r>
          </w:p>
        </w:tc>
        <w:tc>
          <w:tcPr>
            <w:tcW w:w="1361" w:type="dxa"/>
            <w:vAlign w:val="center"/>
          </w:tcPr>
          <w:p>
            <w:pPr>
              <w:pStyle w:val="11"/>
            </w:pPr>
            <w:r>
              <w:t>232.00</w:t>
            </w:r>
          </w:p>
        </w:tc>
        <w:tc>
          <w:tcPr>
            <w:tcW w:w="1361" w:type="dxa"/>
            <w:vAlign w:val="center"/>
          </w:tcPr>
          <w:p>
            <w:pPr>
              <w:pStyle w:val="11"/>
            </w:pPr>
            <w:r>
              <w:t>25.20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2014001</w:t>
            </w:r>
          </w:p>
        </w:tc>
        <w:tc>
          <w:tcPr>
            <w:tcW w:w="4535" w:type="dxa"/>
            <w:vAlign w:val="center"/>
          </w:tcPr>
          <w:p>
            <w:pPr>
              <w:pStyle w:val="12"/>
            </w:pPr>
            <w:r>
              <w:t>行政运行</w:t>
            </w:r>
          </w:p>
        </w:tc>
        <w:tc>
          <w:tcPr>
            <w:tcW w:w="1361" w:type="dxa"/>
            <w:vAlign w:val="center"/>
          </w:tcPr>
          <w:p>
            <w:pPr>
              <w:pStyle w:val="11"/>
            </w:pPr>
            <w:r>
              <w:t>232.00</w:t>
            </w:r>
          </w:p>
        </w:tc>
        <w:tc>
          <w:tcPr>
            <w:tcW w:w="1361" w:type="dxa"/>
            <w:vAlign w:val="center"/>
          </w:tcPr>
          <w:p>
            <w:pPr>
              <w:pStyle w:val="11"/>
            </w:pPr>
            <w:r>
              <w:t>232.00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2014004</w:t>
            </w:r>
          </w:p>
        </w:tc>
        <w:tc>
          <w:tcPr>
            <w:tcW w:w="4535" w:type="dxa"/>
            <w:vAlign w:val="center"/>
          </w:tcPr>
          <w:p>
            <w:pPr>
              <w:pStyle w:val="12"/>
            </w:pPr>
            <w:r>
              <w:t>信访业务</w:t>
            </w:r>
          </w:p>
        </w:tc>
        <w:tc>
          <w:tcPr>
            <w:tcW w:w="1361" w:type="dxa"/>
            <w:vAlign w:val="center"/>
          </w:tcPr>
          <w:p>
            <w:pPr>
              <w:pStyle w:val="11"/>
            </w:pPr>
            <w:r>
              <w:t>25.20</w:t>
            </w:r>
          </w:p>
        </w:tc>
        <w:tc>
          <w:tcPr>
            <w:tcW w:w="1361" w:type="dxa"/>
            <w:vAlign w:val="center"/>
          </w:tcPr>
          <w:p>
            <w:pPr>
              <w:pStyle w:val="11"/>
            </w:pPr>
          </w:p>
        </w:tc>
        <w:tc>
          <w:tcPr>
            <w:tcW w:w="1361" w:type="dxa"/>
            <w:vAlign w:val="center"/>
          </w:tcPr>
          <w:p>
            <w:pPr>
              <w:pStyle w:val="11"/>
            </w:pPr>
            <w:r>
              <w:t>25.20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46.00</w:t>
            </w:r>
          </w:p>
        </w:tc>
        <w:tc>
          <w:tcPr>
            <w:tcW w:w="1361" w:type="dxa"/>
            <w:vAlign w:val="center"/>
          </w:tcPr>
          <w:p>
            <w:pPr>
              <w:pStyle w:val="11"/>
            </w:pPr>
            <w:r>
              <w:t>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44.00</w:t>
            </w:r>
          </w:p>
        </w:tc>
        <w:tc>
          <w:tcPr>
            <w:tcW w:w="1361" w:type="dxa"/>
            <w:vAlign w:val="center"/>
          </w:tcPr>
          <w:p>
            <w:pPr>
              <w:pStyle w:val="11"/>
            </w:pPr>
            <w:r>
              <w:t>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36.00</w:t>
            </w:r>
          </w:p>
        </w:tc>
        <w:tc>
          <w:tcPr>
            <w:tcW w:w="1361" w:type="dxa"/>
            <w:vAlign w:val="center"/>
          </w:tcPr>
          <w:p>
            <w:pPr>
              <w:pStyle w:val="11"/>
            </w:pPr>
            <w:r>
              <w:t>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293.00</w:t>
            </w:r>
          </w:p>
        </w:tc>
        <w:tc>
          <w:tcPr>
            <w:tcW w:w="3402" w:type="dxa"/>
            <w:vAlign w:val="center"/>
          </w:tcPr>
          <w:p>
            <w:pPr>
              <w:pStyle w:val="12"/>
            </w:pPr>
            <w:r>
              <w:t>一、一般公共服务支出</w:t>
            </w:r>
          </w:p>
        </w:tc>
        <w:tc>
          <w:tcPr>
            <w:tcW w:w="1474" w:type="dxa"/>
            <w:vAlign w:val="center"/>
          </w:tcPr>
          <w:p>
            <w:pPr>
              <w:pStyle w:val="11"/>
            </w:pPr>
            <w:r>
              <w:t>257.20</w:t>
            </w:r>
          </w:p>
        </w:tc>
        <w:tc>
          <w:tcPr>
            <w:tcW w:w="1474" w:type="dxa"/>
            <w:vAlign w:val="center"/>
          </w:tcPr>
          <w:p>
            <w:pPr>
              <w:pStyle w:val="11"/>
            </w:pPr>
            <w:r>
              <w:t>257.20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46.00</w:t>
            </w:r>
          </w:p>
        </w:tc>
        <w:tc>
          <w:tcPr>
            <w:tcW w:w="1474" w:type="dxa"/>
            <w:vAlign w:val="center"/>
          </w:tcPr>
          <w:p>
            <w:pPr>
              <w:pStyle w:val="11"/>
            </w:pPr>
            <w:r>
              <w:t>46.00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15.00</w:t>
            </w:r>
          </w:p>
        </w:tc>
        <w:tc>
          <w:tcPr>
            <w:tcW w:w="1474" w:type="dxa"/>
            <w:vAlign w:val="center"/>
          </w:tcPr>
          <w:p>
            <w:pPr>
              <w:pStyle w:val="11"/>
            </w:pPr>
            <w:r>
              <w:t>15.00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293.00</w:t>
            </w:r>
          </w:p>
        </w:tc>
        <w:tc>
          <w:tcPr>
            <w:tcW w:w="3402" w:type="dxa"/>
            <w:vAlign w:val="center"/>
          </w:tcPr>
          <w:p>
            <w:pPr>
              <w:pStyle w:val="14"/>
            </w:pPr>
            <w:r>
              <w:t>本年支出合计</w:t>
            </w:r>
          </w:p>
        </w:tc>
        <w:tc>
          <w:tcPr>
            <w:tcW w:w="1474" w:type="dxa"/>
            <w:vAlign w:val="center"/>
          </w:tcPr>
          <w:p>
            <w:pPr>
              <w:pStyle w:val="15"/>
            </w:pPr>
            <w:r>
              <w:t>318.20</w:t>
            </w:r>
          </w:p>
        </w:tc>
        <w:tc>
          <w:tcPr>
            <w:tcW w:w="1474" w:type="dxa"/>
            <w:vAlign w:val="center"/>
          </w:tcPr>
          <w:p>
            <w:pPr>
              <w:pStyle w:val="15"/>
            </w:pPr>
            <w:r>
              <w:t>318.20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25.20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25.20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318.20</w:t>
            </w:r>
          </w:p>
        </w:tc>
        <w:tc>
          <w:tcPr>
            <w:tcW w:w="3402" w:type="dxa"/>
            <w:vAlign w:val="center"/>
          </w:tcPr>
          <w:p>
            <w:pPr>
              <w:pStyle w:val="14"/>
            </w:pPr>
            <w:r>
              <w:t>支出总计</w:t>
            </w:r>
          </w:p>
        </w:tc>
        <w:tc>
          <w:tcPr>
            <w:tcW w:w="1474" w:type="dxa"/>
            <w:vAlign w:val="center"/>
          </w:tcPr>
          <w:p>
            <w:pPr>
              <w:pStyle w:val="15"/>
            </w:pPr>
            <w:r>
              <w:t>318.20</w:t>
            </w:r>
          </w:p>
        </w:tc>
        <w:tc>
          <w:tcPr>
            <w:tcW w:w="1474" w:type="dxa"/>
            <w:vAlign w:val="center"/>
          </w:tcPr>
          <w:p>
            <w:pPr>
              <w:pStyle w:val="15"/>
            </w:pPr>
            <w:r>
              <w:t>318.20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318.20</w:t>
            </w:r>
          </w:p>
        </w:tc>
        <w:tc>
          <w:tcPr>
            <w:tcW w:w="2551" w:type="dxa"/>
            <w:vAlign w:val="center"/>
          </w:tcPr>
          <w:p>
            <w:pPr>
              <w:pStyle w:val="15"/>
            </w:pPr>
            <w:r>
              <w:t>293.00</w:t>
            </w:r>
          </w:p>
        </w:tc>
        <w:tc>
          <w:tcPr>
            <w:tcW w:w="2551" w:type="dxa"/>
            <w:vAlign w:val="center"/>
          </w:tcPr>
          <w:p>
            <w:pPr>
              <w:pStyle w:val="15"/>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257.20</w:t>
            </w:r>
          </w:p>
        </w:tc>
        <w:tc>
          <w:tcPr>
            <w:tcW w:w="2551" w:type="dxa"/>
            <w:vAlign w:val="center"/>
          </w:tcPr>
          <w:p>
            <w:pPr>
              <w:pStyle w:val="11"/>
            </w:pPr>
            <w:r>
              <w:t>232.00</w:t>
            </w:r>
          </w:p>
        </w:tc>
        <w:tc>
          <w:tcPr>
            <w:tcW w:w="2551" w:type="dxa"/>
            <w:vAlign w:val="center"/>
          </w:tcPr>
          <w:p>
            <w:pPr>
              <w:pStyle w:val="11"/>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20140</w:t>
            </w:r>
          </w:p>
        </w:tc>
        <w:tc>
          <w:tcPr>
            <w:tcW w:w="4535" w:type="dxa"/>
            <w:vAlign w:val="center"/>
          </w:tcPr>
          <w:p>
            <w:pPr>
              <w:pStyle w:val="12"/>
            </w:pPr>
            <w:r>
              <w:t>信访事务</w:t>
            </w:r>
          </w:p>
        </w:tc>
        <w:tc>
          <w:tcPr>
            <w:tcW w:w="2551" w:type="dxa"/>
            <w:vAlign w:val="center"/>
          </w:tcPr>
          <w:p>
            <w:pPr>
              <w:pStyle w:val="11"/>
            </w:pPr>
            <w:r>
              <w:t>257.20</w:t>
            </w:r>
          </w:p>
        </w:tc>
        <w:tc>
          <w:tcPr>
            <w:tcW w:w="2551" w:type="dxa"/>
            <w:vAlign w:val="center"/>
          </w:tcPr>
          <w:p>
            <w:pPr>
              <w:pStyle w:val="11"/>
            </w:pPr>
            <w:r>
              <w:t>232.00</w:t>
            </w:r>
          </w:p>
        </w:tc>
        <w:tc>
          <w:tcPr>
            <w:tcW w:w="2551" w:type="dxa"/>
            <w:vAlign w:val="center"/>
          </w:tcPr>
          <w:p>
            <w:pPr>
              <w:pStyle w:val="11"/>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2014001</w:t>
            </w:r>
          </w:p>
        </w:tc>
        <w:tc>
          <w:tcPr>
            <w:tcW w:w="4535" w:type="dxa"/>
            <w:vAlign w:val="center"/>
          </w:tcPr>
          <w:p>
            <w:pPr>
              <w:pStyle w:val="12"/>
            </w:pPr>
            <w:r>
              <w:t>行政运行</w:t>
            </w:r>
          </w:p>
        </w:tc>
        <w:tc>
          <w:tcPr>
            <w:tcW w:w="2551" w:type="dxa"/>
            <w:vAlign w:val="center"/>
          </w:tcPr>
          <w:p>
            <w:pPr>
              <w:pStyle w:val="11"/>
            </w:pPr>
            <w:r>
              <w:t>232.00</w:t>
            </w:r>
          </w:p>
        </w:tc>
        <w:tc>
          <w:tcPr>
            <w:tcW w:w="2551" w:type="dxa"/>
            <w:vAlign w:val="center"/>
          </w:tcPr>
          <w:p>
            <w:pPr>
              <w:pStyle w:val="11"/>
            </w:pPr>
            <w:r>
              <w:t>232.00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2014004</w:t>
            </w:r>
          </w:p>
        </w:tc>
        <w:tc>
          <w:tcPr>
            <w:tcW w:w="4535" w:type="dxa"/>
            <w:vAlign w:val="center"/>
          </w:tcPr>
          <w:p>
            <w:pPr>
              <w:pStyle w:val="12"/>
            </w:pPr>
            <w:r>
              <w:t>信访业务</w:t>
            </w:r>
          </w:p>
        </w:tc>
        <w:tc>
          <w:tcPr>
            <w:tcW w:w="2551" w:type="dxa"/>
            <w:vAlign w:val="center"/>
          </w:tcPr>
          <w:p>
            <w:pPr>
              <w:pStyle w:val="11"/>
            </w:pPr>
            <w:r>
              <w:t>25.20</w:t>
            </w:r>
          </w:p>
        </w:tc>
        <w:tc>
          <w:tcPr>
            <w:tcW w:w="2551" w:type="dxa"/>
            <w:vAlign w:val="center"/>
          </w:tcPr>
          <w:p>
            <w:pPr>
              <w:pStyle w:val="11"/>
            </w:pPr>
          </w:p>
        </w:tc>
        <w:tc>
          <w:tcPr>
            <w:tcW w:w="2551" w:type="dxa"/>
            <w:vAlign w:val="center"/>
          </w:tcPr>
          <w:p>
            <w:pPr>
              <w:pStyle w:val="11"/>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46.00</w:t>
            </w:r>
          </w:p>
        </w:tc>
        <w:tc>
          <w:tcPr>
            <w:tcW w:w="2551" w:type="dxa"/>
            <w:vAlign w:val="center"/>
          </w:tcPr>
          <w:p>
            <w:pPr>
              <w:pStyle w:val="11"/>
            </w:pPr>
            <w:r>
              <w:t>46.00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44.00</w:t>
            </w:r>
          </w:p>
        </w:tc>
        <w:tc>
          <w:tcPr>
            <w:tcW w:w="2551" w:type="dxa"/>
            <w:vAlign w:val="center"/>
          </w:tcPr>
          <w:p>
            <w:pPr>
              <w:pStyle w:val="11"/>
            </w:pPr>
            <w:r>
              <w:t>44.00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293.00</w:t>
            </w:r>
          </w:p>
        </w:tc>
        <w:tc>
          <w:tcPr>
            <w:tcW w:w="2551" w:type="dxa"/>
            <w:vAlign w:val="center"/>
          </w:tcPr>
          <w:p>
            <w:pPr>
              <w:pStyle w:val="15"/>
            </w:pPr>
            <w:r>
              <w:t>254.00</w:t>
            </w:r>
          </w:p>
        </w:tc>
        <w:tc>
          <w:tcPr>
            <w:tcW w:w="2551" w:type="dxa"/>
            <w:vAlign w:val="center"/>
          </w:tcPr>
          <w:p>
            <w:pPr>
              <w:pStyle w:val="15"/>
            </w:pPr>
            <w:r>
              <w:t>39.00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240.00</w:t>
            </w:r>
          </w:p>
        </w:tc>
        <w:tc>
          <w:tcPr>
            <w:tcW w:w="2551" w:type="dxa"/>
            <w:vAlign w:val="center"/>
          </w:tcPr>
          <w:p>
            <w:pPr>
              <w:pStyle w:val="11"/>
            </w:pPr>
            <w:r>
              <w:t>240.00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83.00</w:t>
            </w:r>
          </w:p>
        </w:tc>
        <w:tc>
          <w:tcPr>
            <w:tcW w:w="2551" w:type="dxa"/>
            <w:vAlign w:val="center"/>
          </w:tcPr>
          <w:p>
            <w:pPr>
              <w:pStyle w:val="11"/>
            </w:pPr>
            <w:r>
              <w:t>83.00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39.00</w:t>
            </w:r>
          </w:p>
        </w:tc>
        <w:tc>
          <w:tcPr>
            <w:tcW w:w="2551" w:type="dxa"/>
            <w:vAlign w:val="center"/>
          </w:tcPr>
          <w:p>
            <w:pPr>
              <w:pStyle w:val="11"/>
            </w:pPr>
          </w:p>
        </w:tc>
        <w:tc>
          <w:tcPr>
            <w:tcW w:w="2551" w:type="dxa"/>
            <w:vAlign w:val="center"/>
          </w:tcPr>
          <w:p>
            <w:pPr>
              <w:pStyle w:val="11"/>
            </w:pPr>
            <w:r>
              <w:t>39.00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中国共产党无极县委员会信访局2025年单位预算信息公开情况说明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按照《中华人民共和国预算法》、《地方预决算公开操作规程》和《关于进一步推进预算公开工作的实施意见》规定，现将中国共产党无极县委员会信访局2025年单位预算公开如下：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1、负责各部门来信来访接待工作。</w:t>
      </w:r>
    </w:p>
    <w:p>
      <w:pPr>
        <w:pStyle w:val="17"/>
      </w:pPr>
      <w:r>
        <w:t>２、承办上级党政机关和领导同志批转、交办的来信来访事项，对案件进行归口分流。</w:t>
      </w:r>
    </w:p>
    <w:p>
      <w:pPr>
        <w:pStyle w:val="17"/>
      </w:pPr>
      <w:r>
        <w:t>３、负责向县委、县政府和上级主管部门及本局领导报送重要信访动态和信访信息。</w:t>
      </w:r>
    </w:p>
    <w:p>
      <w:pPr>
        <w:pStyle w:val="17"/>
      </w:pPr>
      <w:r>
        <w:t>4、负责落实重点人员“五包一”责任制逐人确定包案领导、责任人。</w:t>
      </w:r>
    </w:p>
    <w:p>
      <w:pPr>
        <w:pStyle w:val="17"/>
      </w:pPr>
      <w:r>
        <w:t>5、加大领导干部接约访力度。落实领导干部接访约访下访制度。</w:t>
      </w:r>
    </w:p>
    <w:p>
      <w:pPr>
        <w:pStyle w:val="17"/>
      </w:pPr>
      <w:r>
        <w:t>6、负责开展信访积案化解工作。对所有积案，逐案制定化解方案，明确办结时限。</w:t>
      </w:r>
    </w:p>
    <w:p>
      <w:pPr>
        <w:pStyle w:val="17"/>
      </w:pPr>
      <w:r>
        <w:t>7、加强驻京值班，加大依法打击和接劝返处置力度。</w:t>
      </w:r>
    </w:p>
    <w:p>
      <w:pPr>
        <w:pStyle w:val="17"/>
      </w:pPr>
      <w:r>
        <w:t>8、加强网上信访办理力度，注重提高“三率”工作。</w:t>
      </w:r>
    </w:p>
    <w:p>
      <w:pPr>
        <w:pStyle w:val="17"/>
      </w:pPr>
      <w:r>
        <w:t>9、责向分管乡镇和县直部门交办信访案件，并督办、催办和对结果报告的审查、上报工作。</w:t>
      </w:r>
    </w:p>
    <w:p>
      <w:pPr>
        <w:pStyle w:val="17"/>
      </w:pPr>
      <w:r>
        <w:t>10、负责综合分析全县信访形势和信访工作状况。</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中国共产党无极县委员会信访局</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318.20万元，其中：一般公共预算收入293.00万元，基金预算收入0.00万元，国有资本经营预算收入0.00万元，财政专户核拨收入0.00万元，单位资金收入0.00万元，上年结转结余25.20万元。</w:t>
      </w:r>
    </w:p>
    <w:p>
      <w:pPr>
        <w:pStyle w:val="18"/>
      </w:pPr>
      <w:r>
        <w:t>2、支出说明</w:t>
      </w:r>
    </w:p>
    <w:p>
      <w:pPr>
        <w:pStyle w:val="18"/>
      </w:pPr>
      <w:r>
        <w:t>收支预算总表支出栏、基本支出表、项目支出表按经济分类和支出功能分类科目编制，反映中国共产党无极县委员会信访局年度单位预算中支出预算的总体情况。2025年支出预算318.20万元，其中基本支出293.00万元，包括人员经费254.00万元和日常公用经费39.00万元；项目支出25.20万元，主要为本年度项目为市级解决特殊疑难专项资金的结转</w:t>
      </w:r>
    </w:p>
    <w:p>
      <w:pPr>
        <w:pStyle w:val="18"/>
      </w:pPr>
      <w:r>
        <w:t>3、比上年增减情况</w:t>
      </w:r>
    </w:p>
    <w:p>
      <w:pPr>
        <w:pStyle w:val="18"/>
      </w:pPr>
      <w:r>
        <w:t>2025年预算收支安排318.20万元，较2024年预算减少131.80万元，其中：基本支出减少27.00万元，主要为本年度人员减少项目支出减少104.80万元，主要为因为本年度项目减少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2025年，我单位机关运行经费共计安排39.00万元，主要用于日常维修、办公用房水电费、办公用房取暖费、办公用房物业管理费等日常运行支出。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本年度与去年持平，未增减</w:t>
      </w:r>
      <w:r>
        <w:rPr>
          <w:rFonts w:hint="eastAsia"/>
          <w:lang w:eastAsia="zh-CN"/>
        </w:rP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keepNext w:val="0"/>
        <w:keepLines w:val="0"/>
        <w:pageBreakBefore w:val="0"/>
        <w:widowControl/>
        <w:numPr>
          <w:numId w:val="0"/>
        </w:numPr>
        <w:kinsoku/>
        <w:wordWrap/>
        <w:overflowPunct/>
        <w:topLinePunct w:val="0"/>
        <w:autoSpaceDE/>
        <w:autoSpaceDN/>
        <w:bidi w:val="0"/>
        <w:adjustRightInd/>
        <w:snapToGrid/>
        <w:spacing w:before="10" w:after="10" w:line="240" w:lineRule="auto"/>
        <w:ind w:firstLine="560" w:firstLineChars="200"/>
        <w:jc w:val="left"/>
        <w:textAlignment w:val="auto"/>
        <w:outlineLvl w:val="5"/>
        <w:rPr>
          <w:rFonts w:hint="eastAsia" w:ascii="Times New Roman" w:hAnsi="Times New Roman" w:eastAsia="方正仿宋_GBK" w:cs="Times New Roman"/>
          <w:sz w:val="28"/>
          <w:szCs w:val="20"/>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rPr>
        <w:t>无</w:t>
      </w:r>
      <w:r>
        <w:rPr>
          <w:rFonts w:hint="eastAsia" w:eastAsia="方正仿宋_GBK" w:cs="Times New Roman"/>
          <w:sz w:val="28"/>
          <w:szCs w:val="20"/>
          <w:lang w:val="en-US" w:eastAsia="zh-CN"/>
        </w:rPr>
        <w:t>。</w:t>
      </w:r>
    </w:p>
    <w:p>
      <w:pPr>
        <w:spacing w:before="0" w:after="0"/>
        <w:ind w:firstLine="560"/>
        <w:jc w:val="left"/>
        <w:outlineLvl w:val="9"/>
      </w:pPr>
      <w:r>
        <w:rPr>
          <w:rFonts w:ascii="方正仿宋_GBK" w:hAnsi="方正仿宋_GBK" w:eastAsia="方正仿宋_GBK" w:cs="方正仿宋_GBK"/>
          <w:b/>
          <w:color w:val="000000"/>
          <w:sz w:val="28"/>
        </w:rPr>
        <w:t>1、关于2024年解决特殊疑难信访问题市级补助资金绩效目标表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13013024P000036102593</w:t>
            </w:r>
          </w:p>
        </w:tc>
        <w:tc>
          <w:tcPr>
            <w:tcW w:w="2835" w:type="dxa"/>
            <w:vAlign w:val="center"/>
          </w:tcPr>
          <w:p>
            <w:pPr>
              <w:pStyle w:val="10"/>
            </w:pPr>
            <w:r>
              <w:t>项目名称</w:t>
            </w:r>
          </w:p>
        </w:tc>
        <w:tc>
          <w:tcPr>
            <w:tcW w:w="6095" w:type="dxa"/>
            <w:gridSpan w:val="3"/>
            <w:vAlign w:val="center"/>
          </w:tcPr>
          <w:p>
            <w:pPr>
              <w:pStyle w:val="12"/>
            </w:pPr>
            <w:r>
              <w:t>关于2024年解决特殊疑难信访问题市级补助资金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25.20</w:t>
            </w:r>
          </w:p>
        </w:tc>
        <w:tc>
          <w:tcPr>
            <w:tcW w:w="2835" w:type="dxa"/>
            <w:vAlign w:val="center"/>
          </w:tcPr>
          <w:p>
            <w:pPr>
              <w:pStyle w:val="10"/>
            </w:pPr>
            <w:r>
              <w:t>其中：财政    资金</w:t>
            </w:r>
          </w:p>
        </w:tc>
        <w:tc>
          <w:tcPr>
            <w:tcW w:w="2551" w:type="dxa"/>
            <w:vAlign w:val="center"/>
          </w:tcPr>
          <w:p>
            <w:pPr>
              <w:pStyle w:val="12"/>
            </w:pPr>
            <w:r>
              <w:t>25.20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解决特殊疑难信访问题，确保社会大局稳定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1.解决特殊疑难信访问题，确保社会大局稳定</w:t>
            </w:r>
          </w:p>
          <w:p>
            <w:pPr>
              <w:pStyle w:val="12"/>
            </w:pPr>
            <w:r>
              <w:t>2.解决特殊疑难信访问题，确保社会大局稳定</w:t>
            </w:r>
          </w:p>
          <w:p>
            <w:pPr>
              <w:pStyle w:val="12"/>
            </w:pPr>
            <w:r>
              <w:t>3.解决特殊疑难信访问题，确保社会大局稳定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使用资金化解信访积案化解率</w:t>
            </w:r>
          </w:p>
        </w:tc>
        <w:tc>
          <w:tcPr>
            <w:tcW w:w="5386" w:type="dxa"/>
            <w:vAlign w:val="center"/>
          </w:tcPr>
          <w:p>
            <w:pPr>
              <w:pStyle w:val="12"/>
            </w:pPr>
            <w:r>
              <w:t>使用资金化解信访积案化解率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反映使用补助资金救助信访群众</w:t>
            </w:r>
          </w:p>
        </w:tc>
        <w:tc>
          <w:tcPr>
            <w:tcW w:w="5386" w:type="dxa"/>
            <w:vAlign w:val="center"/>
          </w:tcPr>
          <w:p>
            <w:pPr>
              <w:pStyle w:val="12"/>
            </w:pPr>
            <w:r>
              <w:t>信访群众领取信访资金后不再同一问题信访</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信访积案化解及时率</w:t>
            </w:r>
          </w:p>
        </w:tc>
        <w:tc>
          <w:tcPr>
            <w:tcW w:w="5386" w:type="dxa"/>
            <w:vAlign w:val="center"/>
          </w:tcPr>
          <w:p>
            <w:pPr>
              <w:pStyle w:val="12"/>
            </w:pPr>
            <w:r>
              <w:t>信访积案化解及时率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对信访群众合理诉求实施帮扶救助，有效维护社会大局稳定</w:t>
            </w:r>
          </w:p>
        </w:tc>
        <w:tc>
          <w:tcPr>
            <w:tcW w:w="5386" w:type="dxa"/>
            <w:vAlign w:val="center"/>
          </w:tcPr>
          <w:p>
            <w:pPr>
              <w:pStyle w:val="12"/>
            </w:pPr>
            <w:r>
              <w:t>对信访群众合理诉求实施帮扶救助，有效维护社会大局稳定</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信访投诉办结率</w:t>
            </w:r>
          </w:p>
        </w:tc>
        <w:tc>
          <w:tcPr>
            <w:tcW w:w="5386" w:type="dxa"/>
            <w:vAlign w:val="center"/>
          </w:tcPr>
          <w:p>
            <w:pPr>
              <w:pStyle w:val="12"/>
            </w:pPr>
            <w:r>
              <w:t>信访投诉办结率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信访人员满意度</w:t>
            </w:r>
          </w:p>
        </w:tc>
        <w:tc>
          <w:tcPr>
            <w:tcW w:w="5386" w:type="dxa"/>
            <w:vAlign w:val="center"/>
          </w:tcPr>
          <w:p>
            <w:pPr>
              <w:pStyle w:val="12"/>
            </w:pPr>
            <w:r>
              <w:t>信访人员满意度</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社会人员满意度</w:t>
            </w:r>
          </w:p>
        </w:tc>
        <w:tc>
          <w:tcPr>
            <w:tcW w:w="5386" w:type="dxa"/>
            <w:vAlign w:val="center"/>
          </w:tcPr>
          <w:p>
            <w:pPr>
              <w:pStyle w:val="12"/>
            </w:pPr>
            <w:r>
              <w:t>社会人员满意度</w:t>
            </w:r>
          </w:p>
        </w:tc>
        <w:tc>
          <w:tcPr>
            <w:tcW w:w="2268" w:type="dxa"/>
            <w:vAlign w:val="center"/>
          </w:tcPr>
          <w:p>
            <w:pPr>
              <w:pStyle w:val="12"/>
            </w:pPr>
            <w:r>
              <w:t>≥90%</w:t>
            </w:r>
          </w:p>
        </w:tc>
        <w:tc>
          <w:tcPr>
            <w:tcW w:w="1276" w:type="dxa"/>
            <w:vAlign w:val="center"/>
          </w:tcPr>
          <w:p>
            <w:pPr>
              <w:pStyle w:val="12"/>
            </w:pPr>
            <w:r>
              <w:t>工作计划</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bookmarkStart w:id="1" w:name="_GoBack"/>
      <w:bookmarkEnd w:id="1"/>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中国共产党无极县委员会信访局上年末固定资产金额为64</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22万元（详见下表）。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455001中国共产党无极县委员会信访局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64</w:t>
            </w:r>
            <w:r>
              <w:rPr>
                <w:rFonts w:hint="eastAsia"/>
                <w:lang w:val="en-US" w:eastAsia="zh-CN"/>
              </w:rPr>
              <w:t>.</w:t>
            </w:r>
            <w:r>
              <w:t>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11</w:t>
            </w:r>
            <w:r>
              <w:rPr>
                <w:rFonts w:hint="eastAsia"/>
                <w:lang w:val="en-US" w:eastAsia="zh-CN"/>
              </w:rPr>
              <w:t>.</w:t>
            </w:r>
            <w:r>
              <w:t>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105</w:t>
            </w:r>
          </w:p>
        </w:tc>
        <w:tc>
          <w:tcPr>
            <w:tcW w:w="2835" w:type="dxa"/>
            <w:vAlign w:val="center"/>
          </w:tcPr>
          <w:p>
            <w:pPr>
              <w:pStyle w:val="11"/>
            </w:pPr>
            <w:r>
              <w:t>52</w:t>
            </w:r>
            <w:r>
              <w:rPr>
                <w:rFonts w:hint="eastAsia"/>
                <w:lang w:val="en-US" w:eastAsia="zh-CN"/>
              </w:rPr>
              <w:t>.</w:t>
            </w:r>
            <w:r>
              <w:t>83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8B93626"/>
    <w:multiLevelType w:val="singleLevel"/>
    <w:tmpl w:val="C8B9362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3C87E60"/>
    <w:rsid w:val="77221A24"/>
    <w:rsid w:val="77C5770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20</Pages>
  <TotalTime>1</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2025-02-06T11:22:00Z</dcterms:created>
  <dc:creator>Administrator</dc:creator>
  <cp:lastModifiedBy>李润泽</cp:lastModifiedBy>
  <dcterms:modified xsi:type="dcterms:W3CDTF">2025-02-20T09:07:08Z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3824D05D319746919AC4068D7A5D4E9B</vt:lpwstr>
  </property>
</Properties>
</file>