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一、无极县公安交通警察大队本级收支预算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一、无极县公安交通警察大队本级收支预算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691.00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691.00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691.00</w:t>
            </w:r>
          </w:p>
        </w:tc>
        <w:tc>
          <w:tcPr>
            <w:tcW w:w="4535" w:type="dxa"/>
            <w:vAlign w:val="center"/>
          </w:tcPr>
          <w:p>
            <w:pPr>
              <w:pStyle w:val="14"/>
            </w:pPr>
            <w:r>
              <w:t>本年支出合计</w:t>
            </w:r>
          </w:p>
        </w:tc>
        <w:tc>
          <w:tcPr>
            <w:tcW w:w="2126" w:type="dxa"/>
            <w:vAlign w:val="center"/>
          </w:tcPr>
          <w:p>
            <w:pPr>
              <w:pStyle w:val="15"/>
            </w:pPr>
            <w:r>
              <w:t>691.00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691.00</w:t>
            </w:r>
          </w:p>
        </w:tc>
        <w:tc>
          <w:tcPr>
            <w:tcW w:w="4535" w:type="dxa"/>
            <w:vAlign w:val="center"/>
          </w:tcPr>
          <w:p>
            <w:pPr>
              <w:pStyle w:val="14"/>
            </w:pPr>
            <w:r>
              <w:t>支出总计</w:t>
            </w:r>
          </w:p>
        </w:tc>
        <w:tc>
          <w:tcPr>
            <w:tcW w:w="2126" w:type="dxa"/>
            <w:vAlign w:val="center"/>
          </w:tcPr>
          <w:p>
            <w:pPr>
              <w:pStyle w:val="15"/>
            </w:pPr>
            <w:r>
              <w:t>691.00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691.00</w:t>
            </w:r>
          </w:p>
        </w:tc>
        <w:tc>
          <w:tcPr>
            <w:tcW w:w="1134" w:type="dxa"/>
            <w:vAlign w:val="center"/>
          </w:tcPr>
          <w:p>
            <w:pPr>
              <w:pStyle w:val="15"/>
            </w:pPr>
            <w:r>
              <w:t>691.00</w:t>
            </w:r>
          </w:p>
        </w:tc>
        <w:tc>
          <w:tcPr>
            <w:tcW w:w="1134" w:type="dxa"/>
            <w:vAlign w:val="center"/>
          </w:tcPr>
          <w:p>
            <w:pPr>
              <w:pStyle w:val="15"/>
            </w:pPr>
            <w:r>
              <w:t>691.00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691.00</w:t>
            </w:r>
          </w:p>
        </w:tc>
        <w:tc>
          <w:tcPr>
            <w:tcW w:w="1134" w:type="dxa"/>
            <w:vAlign w:val="center"/>
          </w:tcPr>
          <w:p>
            <w:pPr>
              <w:pStyle w:val="11"/>
            </w:pPr>
            <w:r>
              <w:t>691.00</w:t>
            </w:r>
          </w:p>
        </w:tc>
        <w:tc>
          <w:tcPr>
            <w:tcW w:w="1134" w:type="dxa"/>
            <w:vAlign w:val="center"/>
          </w:tcPr>
          <w:p>
            <w:pPr>
              <w:pStyle w:val="11"/>
            </w:pPr>
            <w:r>
              <w:t>691.00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691.00</w:t>
            </w:r>
          </w:p>
        </w:tc>
        <w:tc>
          <w:tcPr>
            <w:tcW w:w="1134" w:type="dxa"/>
            <w:vAlign w:val="center"/>
          </w:tcPr>
          <w:p>
            <w:pPr>
              <w:pStyle w:val="11"/>
            </w:pPr>
            <w:r>
              <w:t>691.00</w:t>
            </w:r>
          </w:p>
        </w:tc>
        <w:tc>
          <w:tcPr>
            <w:tcW w:w="1134" w:type="dxa"/>
            <w:vAlign w:val="center"/>
          </w:tcPr>
          <w:p>
            <w:pPr>
              <w:pStyle w:val="11"/>
            </w:pPr>
            <w:r>
              <w:t>691.00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691.00</w:t>
            </w:r>
          </w:p>
        </w:tc>
        <w:tc>
          <w:tcPr>
            <w:tcW w:w="1134" w:type="dxa"/>
            <w:vAlign w:val="center"/>
          </w:tcPr>
          <w:p>
            <w:pPr>
              <w:pStyle w:val="11"/>
            </w:pPr>
            <w:r>
              <w:t>691.00</w:t>
            </w:r>
          </w:p>
        </w:tc>
        <w:tc>
          <w:tcPr>
            <w:tcW w:w="1134" w:type="dxa"/>
            <w:vAlign w:val="center"/>
          </w:tcPr>
          <w:p>
            <w:pPr>
              <w:pStyle w:val="11"/>
            </w:pPr>
            <w:r>
              <w:t>691.00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691.00</w:t>
            </w:r>
          </w:p>
        </w:tc>
        <w:tc>
          <w:tcPr>
            <w:tcW w:w="1361" w:type="dxa"/>
            <w:vAlign w:val="center"/>
          </w:tcPr>
          <w:p>
            <w:pPr>
              <w:pStyle w:val="15"/>
            </w:pPr>
            <w:r>
              <w:t>630.00</w:t>
            </w:r>
          </w:p>
        </w:tc>
        <w:tc>
          <w:tcPr>
            <w:tcW w:w="1361" w:type="dxa"/>
            <w:vAlign w:val="center"/>
          </w:tcPr>
          <w:p>
            <w:pPr>
              <w:pStyle w:val="15"/>
            </w:pPr>
            <w:r>
              <w:t>61.00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691.00</w:t>
            </w:r>
          </w:p>
        </w:tc>
        <w:tc>
          <w:tcPr>
            <w:tcW w:w="1361" w:type="dxa"/>
            <w:vAlign w:val="center"/>
          </w:tcPr>
          <w:p>
            <w:pPr>
              <w:pStyle w:val="11"/>
            </w:pPr>
            <w:r>
              <w:t>630.00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691.00</w:t>
            </w:r>
          </w:p>
        </w:tc>
        <w:tc>
          <w:tcPr>
            <w:tcW w:w="1361" w:type="dxa"/>
            <w:vAlign w:val="center"/>
          </w:tcPr>
          <w:p>
            <w:pPr>
              <w:pStyle w:val="11"/>
            </w:pPr>
            <w:r>
              <w:t>630.00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pPr>
            <w:r>
              <w:t>691.00</w:t>
            </w:r>
          </w:p>
        </w:tc>
        <w:tc>
          <w:tcPr>
            <w:tcW w:w="1361" w:type="dxa"/>
            <w:vAlign w:val="center"/>
          </w:tcPr>
          <w:p>
            <w:pPr>
              <w:pStyle w:val="11"/>
            </w:pPr>
            <w:r>
              <w:t>630.00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691.00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691.00</w:t>
            </w:r>
          </w:p>
        </w:tc>
        <w:tc>
          <w:tcPr>
            <w:tcW w:w="1474" w:type="dxa"/>
            <w:vAlign w:val="center"/>
          </w:tcPr>
          <w:p>
            <w:pPr>
              <w:pStyle w:val="11"/>
            </w:pPr>
            <w:r>
              <w:t>691.00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691.00</w:t>
            </w:r>
          </w:p>
        </w:tc>
        <w:tc>
          <w:tcPr>
            <w:tcW w:w="3402" w:type="dxa"/>
            <w:vAlign w:val="center"/>
          </w:tcPr>
          <w:p>
            <w:pPr>
              <w:pStyle w:val="14"/>
            </w:pPr>
            <w:r>
              <w:t>本年支出合计</w:t>
            </w:r>
          </w:p>
        </w:tc>
        <w:tc>
          <w:tcPr>
            <w:tcW w:w="1474" w:type="dxa"/>
            <w:vAlign w:val="center"/>
          </w:tcPr>
          <w:p>
            <w:pPr>
              <w:pStyle w:val="15"/>
            </w:pPr>
            <w:r>
              <w:t>691.00</w:t>
            </w:r>
          </w:p>
        </w:tc>
        <w:tc>
          <w:tcPr>
            <w:tcW w:w="1474" w:type="dxa"/>
            <w:vAlign w:val="center"/>
          </w:tcPr>
          <w:p>
            <w:pPr>
              <w:pStyle w:val="15"/>
            </w:pPr>
            <w:r>
              <w:t>691.00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691.00</w:t>
            </w:r>
          </w:p>
        </w:tc>
        <w:tc>
          <w:tcPr>
            <w:tcW w:w="3402" w:type="dxa"/>
            <w:vAlign w:val="center"/>
          </w:tcPr>
          <w:p>
            <w:pPr>
              <w:pStyle w:val="14"/>
            </w:pPr>
            <w:r>
              <w:t>支出总计</w:t>
            </w:r>
          </w:p>
        </w:tc>
        <w:tc>
          <w:tcPr>
            <w:tcW w:w="1474" w:type="dxa"/>
            <w:vAlign w:val="center"/>
          </w:tcPr>
          <w:p>
            <w:pPr>
              <w:pStyle w:val="15"/>
            </w:pPr>
            <w:r>
              <w:t>691.00</w:t>
            </w:r>
          </w:p>
        </w:tc>
        <w:tc>
          <w:tcPr>
            <w:tcW w:w="1474" w:type="dxa"/>
            <w:vAlign w:val="center"/>
          </w:tcPr>
          <w:p>
            <w:pPr>
              <w:pStyle w:val="15"/>
            </w:pPr>
            <w:r>
              <w:t>691.00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691.00</w:t>
            </w:r>
          </w:p>
        </w:tc>
        <w:tc>
          <w:tcPr>
            <w:tcW w:w="2551" w:type="dxa"/>
            <w:vAlign w:val="center"/>
          </w:tcPr>
          <w:p>
            <w:pPr>
              <w:pStyle w:val="15"/>
            </w:pPr>
            <w:r>
              <w:t>630.00</w:t>
            </w:r>
          </w:p>
        </w:tc>
        <w:tc>
          <w:tcPr>
            <w:tcW w:w="2551" w:type="dxa"/>
            <w:vAlign w:val="center"/>
          </w:tcPr>
          <w:p>
            <w:pPr>
              <w:pStyle w:val="15"/>
            </w:pPr>
            <w:r>
              <w:t>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691.00</w:t>
            </w:r>
          </w:p>
        </w:tc>
        <w:tc>
          <w:tcPr>
            <w:tcW w:w="2551" w:type="dxa"/>
            <w:vAlign w:val="center"/>
          </w:tcPr>
          <w:p>
            <w:pPr>
              <w:pStyle w:val="11"/>
            </w:pPr>
            <w:r>
              <w:t>630.00</w:t>
            </w:r>
          </w:p>
        </w:tc>
        <w:tc>
          <w:tcPr>
            <w:tcW w:w="2551" w:type="dxa"/>
            <w:vAlign w:val="center"/>
          </w:tcPr>
          <w:p>
            <w:pPr>
              <w:pStyle w:val="11"/>
            </w:pPr>
            <w:r>
              <w:t>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691.00</w:t>
            </w:r>
          </w:p>
        </w:tc>
        <w:tc>
          <w:tcPr>
            <w:tcW w:w="2551" w:type="dxa"/>
            <w:vAlign w:val="center"/>
          </w:tcPr>
          <w:p>
            <w:pPr>
              <w:pStyle w:val="11"/>
            </w:pPr>
            <w:r>
              <w:t>630.00</w:t>
            </w:r>
          </w:p>
        </w:tc>
        <w:tc>
          <w:tcPr>
            <w:tcW w:w="2551" w:type="dxa"/>
            <w:vAlign w:val="center"/>
          </w:tcPr>
          <w:p>
            <w:pPr>
              <w:pStyle w:val="11"/>
            </w:pPr>
            <w:r>
              <w:t>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691.00</w:t>
            </w:r>
          </w:p>
        </w:tc>
        <w:tc>
          <w:tcPr>
            <w:tcW w:w="2551" w:type="dxa"/>
            <w:vAlign w:val="center"/>
          </w:tcPr>
          <w:p>
            <w:pPr>
              <w:pStyle w:val="11"/>
            </w:pPr>
            <w:r>
              <w:t>630.00</w:t>
            </w:r>
          </w:p>
        </w:tc>
        <w:tc>
          <w:tcPr>
            <w:tcW w:w="2551" w:type="dxa"/>
            <w:vAlign w:val="center"/>
          </w:tcPr>
          <w:p>
            <w:pPr>
              <w:pStyle w:val="11"/>
            </w:pPr>
            <w:r>
              <w:t>61.00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630.00</w:t>
            </w:r>
          </w:p>
        </w:tc>
        <w:tc>
          <w:tcPr>
            <w:tcW w:w="2551" w:type="dxa"/>
            <w:vAlign w:val="center"/>
          </w:tcPr>
          <w:p>
            <w:pPr>
              <w:pStyle w:val="15"/>
            </w:pPr>
            <w:r>
              <w:t>70.00</w:t>
            </w:r>
          </w:p>
        </w:tc>
        <w:tc>
          <w:tcPr>
            <w:tcW w:w="2551" w:type="dxa"/>
            <w:vAlign w:val="center"/>
          </w:tcPr>
          <w:p>
            <w:pPr>
              <w:pStyle w:val="15"/>
            </w:pPr>
            <w:r>
              <w:t>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560.00</w:t>
            </w:r>
          </w:p>
        </w:tc>
        <w:tc>
          <w:tcPr>
            <w:tcW w:w="2551" w:type="dxa"/>
            <w:vAlign w:val="center"/>
          </w:tcPr>
          <w:p>
            <w:pPr>
              <w:pStyle w:val="11"/>
            </w:pPr>
          </w:p>
        </w:tc>
        <w:tc>
          <w:tcPr>
            <w:tcW w:w="2551" w:type="dxa"/>
            <w:vAlign w:val="center"/>
          </w:tcPr>
          <w:p>
            <w:pPr>
              <w:pStyle w:val="11"/>
            </w:pPr>
            <w:r>
              <w:t>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560.00</w:t>
            </w:r>
          </w:p>
        </w:tc>
        <w:tc>
          <w:tcPr>
            <w:tcW w:w="2551" w:type="dxa"/>
            <w:vAlign w:val="center"/>
          </w:tcPr>
          <w:p>
            <w:pPr>
              <w:pStyle w:val="11"/>
            </w:pPr>
          </w:p>
        </w:tc>
        <w:tc>
          <w:tcPr>
            <w:tcW w:w="2551" w:type="dxa"/>
            <w:vAlign w:val="center"/>
          </w:tcPr>
          <w:p>
            <w:pPr>
              <w:pStyle w:val="11"/>
            </w:pPr>
            <w:r>
              <w:t>560.00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无极县公安交通警察大队本级2025年单位预算信息公开情况说明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按照《中华人民共和国预算法》、《地方预决算公开操作规程》和《关于进一步推进预算公开工作的实施意见》规定，现将无极县公安交通警察大队本级2025年单位预算公开如下：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交警大队是主管全县道路交通安全和交通秩序以及机动车、驾驶人管理工作的职能部门。是负责本地区道路交通的组织、指挥、控制，运用现代管理科学，增强道路交通协调与控制能力。</w:t>
      </w:r>
    </w:p>
    <w:p>
      <w:pPr>
        <w:pStyle w:val="17"/>
      </w:pPr>
      <w:r>
        <w:t>维护全县的道路交通秩序，保障道路交通安全畅通。预防和处理交通事故，制止妨碍道路交通安全的行为。预防和打击公路上发生的违法犯罪活动，查缉逃犯及其他犯罪嫌疑人。</w:t>
      </w:r>
    </w:p>
    <w:p>
      <w:pPr>
        <w:pStyle w:val="17"/>
      </w:pPr>
      <w:r>
        <w:t>巡逻道路：先期处置道路治安、刑事案件和突发性、群体性事件。</w:t>
      </w:r>
    </w:p>
    <w:p>
      <w:pPr>
        <w:pStyle w:val="17"/>
      </w:pPr>
      <w: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pStyle w:val="17"/>
      </w:pPr>
      <w:r>
        <w:t>根据</w:t>
      </w:r>
      <w:r>
        <w:rPr>
          <w:rFonts w:hint="eastAsia"/>
          <w:lang w:eastAsia="zh-CN"/>
        </w:rPr>
        <w:t>中华人民共和国道路交通安全法</w:t>
      </w:r>
      <w:r>
        <w:t>，对违反交通安全法律、法规、规章的驾驶员和车辆进行纠正。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无极县公安交通警察大队本级</w:t>
            </w:r>
          </w:p>
        </w:tc>
        <w:tc>
          <w:tcPr>
            <w:tcW w:w="1843" w:type="dxa"/>
            <w:vAlign w:val="center"/>
          </w:tcPr>
          <w:p>
            <w:pPr>
              <w:pStyle w:val="13"/>
            </w:pPr>
            <w:r>
              <w:t>行政</w:t>
            </w:r>
          </w:p>
        </w:tc>
        <w:tc>
          <w:tcPr>
            <w:tcW w:w="2126" w:type="dxa"/>
            <w:vAlign w:val="center"/>
          </w:tcPr>
          <w:p>
            <w:pPr>
              <w:pStyle w:val="13"/>
            </w:pPr>
            <w:r>
              <w:rPr>
                <w:rFonts w:hint="eastAsia"/>
                <w:lang w:val="en-US" w:eastAsia="zh-CN"/>
              </w:rPr>
              <w:t>副</w:t>
            </w:r>
            <w:r>
              <w:t>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691.00万元，其中：一般公共预算收入691.00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公安交通警察大队本级年度单位预算中支出预算的总体情况。2025年支出预算691.00万元，其中基本支出630.00万元，包括人员经费70.00万元和日常公用经费560.00万元；项目支出61.00万元，主要为提前下达2025年中央政法纪检监察转移支付资金冀财政法【2024】50号42.00万元，提前下达2025年省级纪检监察转移支付资金冀财政法【2024】52号19.00万元。</w:t>
      </w:r>
    </w:p>
    <w:p>
      <w:pPr>
        <w:pStyle w:val="18"/>
      </w:pPr>
      <w:r>
        <w:t>3、比上年增减情况</w:t>
      </w:r>
    </w:p>
    <w:p>
      <w:pPr>
        <w:pStyle w:val="18"/>
      </w:pPr>
      <w:r>
        <w:t>2025年预算收支安排691.00万元，较2024年预算增加640.00万元，其中：基本支出增加630.00万元，主要为2024年预算支出通过公安局统一支出。项目支出增加10.00万元，主要为转移支付资金较2024年增加10.00万元。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2025年，我单位机关运行经费共计安排560.00万元，主要用于日常维修、办公用房水电费、办公用房取暖费、办公用房物业管理费等日常运行支出。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严格控制三公经费支出。</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1、提前下达2025年省级基层公检法司转移支付资金（冀财政法【2024】52号绩效目标表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13013025P00017610031Y</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提前下达2025年省级基层公检法司转移支付资金（冀财政法【2024】52号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主要用于信号灯及抓拍设备安装，缓解交通阻塞，降低道路违法。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t>2</w:t>
            </w:r>
            <w:r>
              <w:rPr>
                <w:rFonts w:hint="eastAsia"/>
                <w:lang w:val="en-US" w:eastAsia="zh-CN"/>
              </w:rPr>
              <w:t>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80</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1.保障正常的交通秩序，缓解交通阻塞，降低道路违法。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19"/>
        <w:gridCol w:w="2546"/>
        <w:gridCol w:w="266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19" w:type="dxa"/>
            <w:vAlign w:val="center"/>
          </w:tcPr>
          <w:p>
            <w:pPr>
              <w:pStyle w:val="10"/>
            </w:pPr>
            <w:r>
              <w:t>绩效指标描述</w:t>
            </w:r>
          </w:p>
        </w:tc>
        <w:tc>
          <w:tcPr>
            <w:tcW w:w="2546" w:type="dxa"/>
            <w:vAlign w:val="center"/>
          </w:tcPr>
          <w:p>
            <w:pPr>
              <w:pStyle w:val="10"/>
            </w:pPr>
            <w:r>
              <w:t>指标值</w:t>
            </w:r>
          </w:p>
        </w:tc>
        <w:tc>
          <w:tcPr>
            <w:tcW w:w="2665"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信号灯及抓拍设备数量</w:t>
            </w:r>
          </w:p>
        </w:tc>
        <w:tc>
          <w:tcPr>
            <w:tcW w:w="3719" w:type="dxa"/>
            <w:vAlign w:val="center"/>
          </w:tcPr>
          <w:p>
            <w:pPr>
              <w:pStyle w:val="12"/>
            </w:pPr>
            <w:r>
              <w:t>信号灯及抓拍设备数量</w:t>
            </w:r>
          </w:p>
        </w:tc>
        <w:tc>
          <w:tcPr>
            <w:tcW w:w="2546" w:type="dxa"/>
            <w:vAlign w:val="center"/>
          </w:tcPr>
          <w:p>
            <w:pPr>
              <w:pStyle w:val="12"/>
            </w:pPr>
            <w:r>
              <w:t>及时完成工作</w:t>
            </w:r>
          </w:p>
        </w:tc>
        <w:tc>
          <w:tcPr>
            <w:tcW w:w="2665" w:type="dxa"/>
            <w:vAlign w:val="center"/>
          </w:tcPr>
          <w:p>
            <w:pPr>
              <w:pStyle w:val="12"/>
            </w:pPr>
            <w:r>
              <w:t>项目实际数量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3719" w:type="dxa"/>
            <w:vAlign w:val="center"/>
          </w:tcPr>
          <w:p>
            <w:pPr>
              <w:pStyle w:val="12"/>
            </w:pPr>
            <w:r>
              <w:t>运行质量</w:t>
            </w:r>
          </w:p>
        </w:tc>
        <w:tc>
          <w:tcPr>
            <w:tcW w:w="2546" w:type="dxa"/>
            <w:vAlign w:val="center"/>
          </w:tcPr>
          <w:p>
            <w:pPr>
              <w:pStyle w:val="12"/>
            </w:pPr>
            <w:r>
              <w:t>保障道路畅通</w:t>
            </w:r>
          </w:p>
        </w:tc>
        <w:tc>
          <w:tcPr>
            <w:tcW w:w="2665"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w:t>
            </w:r>
          </w:p>
        </w:tc>
        <w:tc>
          <w:tcPr>
            <w:tcW w:w="3719" w:type="dxa"/>
            <w:vAlign w:val="center"/>
          </w:tcPr>
          <w:p>
            <w:pPr>
              <w:pStyle w:val="12"/>
            </w:pPr>
            <w:r>
              <w:t>交通事故处置及时性</w:t>
            </w:r>
          </w:p>
        </w:tc>
        <w:tc>
          <w:tcPr>
            <w:tcW w:w="2546" w:type="dxa"/>
            <w:vAlign w:val="center"/>
          </w:tcPr>
          <w:p>
            <w:pPr>
              <w:pStyle w:val="12"/>
            </w:pPr>
            <w:r>
              <w:t>及时完成工作</w:t>
            </w:r>
          </w:p>
        </w:tc>
        <w:tc>
          <w:tcPr>
            <w:tcW w:w="2665"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信号灯及抓拍设备成本</w:t>
            </w:r>
          </w:p>
        </w:tc>
        <w:tc>
          <w:tcPr>
            <w:tcW w:w="3719" w:type="dxa"/>
            <w:vAlign w:val="center"/>
          </w:tcPr>
          <w:p>
            <w:pPr>
              <w:pStyle w:val="12"/>
            </w:pPr>
            <w:r>
              <w:t>信号灯及抓拍设备成本</w:t>
            </w:r>
          </w:p>
        </w:tc>
        <w:tc>
          <w:tcPr>
            <w:tcW w:w="2546" w:type="dxa"/>
            <w:vAlign w:val="center"/>
          </w:tcPr>
          <w:p>
            <w:pPr>
              <w:pStyle w:val="12"/>
            </w:pPr>
            <w:r>
              <w:t>19万元</w:t>
            </w:r>
          </w:p>
        </w:tc>
        <w:tc>
          <w:tcPr>
            <w:tcW w:w="2665"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保障交通秩序正常</w:t>
            </w:r>
          </w:p>
        </w:tc>
        <w:tc>
          <w:tcPr>
            <w:tcW w:w="3719" w:type="dxa"/>
            <w:vAlign w:val="center"/>
          </w:tcPr>
          <w:p>
            <w:pPr>
              <w:pStyle w:val="12"/>
            </w:pPr>
            <w:r>
              <w:t>保障交通秩序正常</w:t>
            </w:r>
          </w:p>
        </w:tc>
        <w:tc>
          <w:tcPr>
            <w:tcW w:w="2546" w:type="dxa"/>
            <w:vAlign w:val="center"/>
          </w:tcPr>
          <w:p>
            <w:pPr>
              <w:pStyle w:val="12"/>
            </w:pPr>
            <w:r>
              <w:t>保障正常交通秩序</w:t>
            </w:r>
          </w:p>
        </w:tc>
        <w:tc>
          <w:tcPr>
            <w:tcW w:w="2665" w:type="dxa"/>
            <w:vAlign w:val="center"/>
          </w:tcPr>
          <w:p>
            <w:pPr>
              <w:pStyle w:val="12"/>
            </w:pPr>
            <w:r>
              <w:t>根据工作开展情况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群众对交管的服务满意度</w:t>
            </w:r>
          </w:p>
        </w:tc>
        <w:tc>
          <w:tcPr>
            <w:tcW w:w="3719" w:type="dxa"/>
            <w:vAlign w:val="center"/>
          </w:tcPr>
          <w:p>
            <w:pPr>
              <w:pStyle w:val="12"/>
            </w:pPr>
            <w:r>
              <w:t>群众对交管的服务满意度</w:t>
            </w:r>
          </w:p>
        </w:tc>
        <w:tc>
          <w:tcPr>
            <w:tcW w:w="2546" w:type="dxa"/>
            <w:vAlign w:val="center"/>
          </w:tcPr>
          <w:p>
            <w:pPr>
              <w:pStyle w:val="12"/>
            </w:pPr>
            <w:r>
              <w:t>≥95%</w:t>
            </w:r>
          </w:p>
        </w:tc>
        <w:tc>
          <w:tcPr>
            <w:tcW w:w="2665" w:type="dxa"/>
            <w:vAlign w:val="center"/>
          </w:tcPr>
          <w:p>
            <w:pPr>
              <w:pStyle w:val="12"/>
            </w:pPr>
            <w:r>
              <w:t>群众调查问卷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2、提前下达2025年中央政法纪检监察转移支付资金（冀财政法【2024】50号绩效目标表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13013025P000002100097</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提前下达2025年中央政法纪检监察转移支付资金（冀财政法【2024】50号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42.00</w:t>
            </w:r>
          </w:p>
        </w:tc>
        <w:tc>
          <w:tcPr>
            <w:tcW w:w="2835" w:type="dxa"/>
            <w:vAlign w:val="center"/>
          </w:tcPr>
          <w:p>
            <w:pPr>
              <w:pStyle w:val="10"/>
            </w:pPr>
            <w:r>
              <w:t>其中：财政    资金</w:t>
            </w:r>
          </w:p>
        </w:tc>
        <w:tc>
          <w:tcPr>
            <w:tcW w:w="2551" w:type="dxa"/>
            <w:vAlign w:val="center"/>
          </w:tcPr>
          <w:p>
            <w:pPr>
              <w:pStyle w:val="12"/>
            </w:pPr>
            <w:r>
              <w:t>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主要用于委托业务费、信号灯及抓拍设备安装，保障交管业务正常运转，缓解交通阻塞，降低道路违法。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t>2</w:t>
            </w:r>
            <w:r>
              <w:rPr>
                <w:rFonts w:hint="eastAsia"/>
                <w:lang w:val="en-US" w:eastAsia="zh-CN"/>
              </w:rPr>
              <w:t>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80</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1.保障交管业务正常运转及正常的交通秩序。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99"/>
        <w:gridCol w:w="2504"/>
        <w:gridCol w:w="29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499" w:type="dxa"/>
            <w:vAlign w:val="center"/>
          </w:tcPr>
          <w:p>
            <w:pPr>
              <w:pStyle w:val="10"/>
            </w:pPr>
            <w:r>
              <w:t>绩效指标描述</w:t>
            </w:r>
          </w:p>
        </w:tc>
        <w:tc>
          <w:tcPr>
            <w:tcW w:w="2504" w:type="dxa"/>
            <w:vAlign w:val="center"/>
          </w:tcPr>
          <w:p>
            <w:pPr>
              <w:pStyle w:val="10"/>
            </w:pPr>
            <w:r>
              <w:t>指标值</w:t>
            </w:r>
          </w:p>
        </w:tc>
        <w:tc>
          <w:tcPr>
            <w:tcW w:w="2927"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信号灯及抓拍设备数量</w:t>
            </w:r>
          </w:p>
        </w:tc>
        <w:tc>
          <w:tcPr>
            <w:tcW w:w="3499" w:type="dxa"/>
            <w:vAlign w:val="center"/>
          </w:tcPr>
          <w:p>
            <w:pPr>
              <w:pStyle w:val="12"/>
            </w:pPr>
            <w:r>
              <w:t>信号灯及抓拍设备数量</w:t>
            </w:r>
          </w:p>
        </w:tc>
        <w:tc>
          <w:tcPr>
            <w:tcW w:w="2504" w:type="dxa"/>
            <w:vAlign w:val="center"/>
          </w:tcPr>
          <w:p>
            <w:pPr>
              <w:pStyle w:val="12"/>
            </w:pPr>
            <w:r>
              <w:t>及时完成工作</w:t>
            </w:r>
          </w:p>
        </w:tc>
        <w:tc>
          <w:tcPr>
            <w:tcW w:w="2927" w:type="dxa"/>
            <w:vAlign w:val="center"/>
          </w:tcPr>
          <w:p>
            <w:pPr>
              <w:pStyle w:val="12"/>
            </w:pPr>
            <w:r>
              <w:t>项目实际数量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事故鉴定、酒精检测任务完成数量</w:t>
            </w:r>
          </w:p>
        </w:tc>
        <w:tc>
          <w:tcPr>
            <w:tcW w:w="3499" w:type="dxa"/>
            <w:vAlign w:val="center"/>
          </w:tcPr>
          <w:p>
            <w:pPr>
              <w:pStyle w:val="12"/>
            </w:pPr>
            <w:r>
              <w:t>事故鉴定、酒精检测任务完成数量</w:t>
            </w:r>
          </w:p>
        </w:tc>
        <w:tc>
          <w:tcPr>
            <w:tcW w:w="2504" w:type="dxa"/>
            <w:vAlign w:val="center"/>
          </w:tcPr>
          <w:p>
            <w:pPr>
              <w:pStyle w:val="12"/>
            </w:pPr>
            <w:r>
              <w:t>≥40项</w:t>
            </w:r>
          </w:p>
        </w:tc>
        <w:tc>
          <w:tcPr>
            <w:tcW w:w="2927" w:type="dxa"/>
            <w:vAlign w:val="center"/>
          </w:tcPr>
          <w:p>
            <w:pPr>
              <w:pStyle w:val="12"/>
            </w:pPr>
            <w:r>
              <w:t>实际完成数量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3499" w:type="dxa"/>
            <w:vAlign w:val="center"/>
          </w:tcPr>
          <w:p>
            <w:pPr>
              <w:pStyle w:val="12"/>
            </w:pPr>
            <w:r>
              <w:t>运行质量</w:t>
            </w:r>
          </w:p>
        </w:tc>
        <w:tc>
          <w:tcPr>
            <w:tcW w:w="2504" w:type="dxa"/>
            <w:vAlign w:val="center"/>
          </w:tcPr>
          <w:p>
            <w:pPr>
              <w:pStyle w:val="12"/>
            </w:pPr>
            <w:r>
              <w:t>保障道路畅通</w:t>
            </w:r>
          </w:p>
        </w:tc>
        <w:tc>
          <w:tcPr>
            <w:tcW w:w="2927"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w:t>
            </w:r>
          </w:p>
        </w:tc>
        <w:tc>
          <w:tcPr>
            <w:tcW w:w="3499" w:type="dxa"/>
            <w:vAlign w:val="center"/>
          </w:tcPr>
          <w:p>
            <w:pPr>
              <w:pStyle w:val="12"/>
            </w:pPr>
            <w:r>
              <w:t>交通事故处置及时性</w:t>
            </w:r>
          </w:p>
        </w:tc>
        <w:tc>
          <w:tcPr>
            <w:tcW w:w="2504" w:type="dxa"/>
            <w:vAlign w:val="center"/>
          </w:tcPr>
          <w:p>
            <w:pPr>
              <w:pStyle w:val="12"/>
            </w:pPr>
            <w:r>
              <w:t>及时完成工作</w:t>
            </w:r>
          </w:p>
        </w:tc>
        <w:tc>
          <w:tcPr>
            <w:tcW w:w="2927"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信号灯及抓拍设备成本</w:t>
            </w:r>
          </w:p>
        </w:tc>
        <w:tc>
          <w:tcPr>
            <w:tcW w:w="3499" w:type="dxa"/>
            <w:vAlign w:val="center"/>
          </w:tcPr>
          <w:p>
            <w:pPr>
              <w:pStyle w:val="12"/>
            </w:pPr>
            <w:r>
              <w:t>信号灯及抓拍设备成本</w:t>
            </w:r>
          </w:p>
        </w:tc>
        <w:tc>
          <w:tcPr>
            <w:tcW w:w="2504" w:type="dxa"/>
            <w:vAlign w:val="center"/>
          </w:tcPr>
          <w:p>
            <w:pPr>
              <w:pStyle w:val="12"/>
            </w:pPr>
            <w:r>
              <w:t>22万元</w:t>
            </w:r>
          </w:p>
        </w:tc>
        <w:tc>
          <w:tcPr>
            <w:tcW w:w="2927"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委托业务成本</w:t>
            </w:r>
          </w:p>
        </w:tc>
        <w:tc>
          <w:tcPr>
            <w:tcW w:w="3499" w:type="dxa"/>
            <w:vAlign w:val="center"/>
          </w:tcPr>
          <w:p>
            <w:pPr>
              <w:pStyle w:val="12"/>
            </w:pPr>
            <w:r>
              <w:t>委托业务成本</w:t>
            </w:r>
          </w:p>
        </w:tc>
        <w:tc>
          <w:tcPr>
            <w:tcW w:w="2504" w:type="dxa"/>
            <w:vAlign w:val="center"/>
          </w:tcPr>
          <w:p>
            <w:pPr>
              <w:pStyle w:val="12"/>
            </w:pPr>
            <w:r>
              <w:t>20万元</w:t>
            </w:r>
          </w:p>
        </w:tc>
        <w:tc>
          <w:tcPr>
            <w:tcW w:w="2927" w:type="dxa"/>
            <w:vAlign w:val="center"/>
          </w:tcPr>
          <w:p>
            <w:pPr>
              <w:pStyle w:val="12"/>
            </w:pPr>
            <w:r>
              <w:t>参照2024年工作情况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保障交通秩序正常</w:t>
            </w:r>
          </w:p>
        </w:tc>
        <w:tc>
          <w:tcPr>
            <w:tcW w:w="3499" w:type="dxa"/>
            <w:vAlign w:val="center"/>
          </w:tcPr>
          <w:p>
            <w:pPr>
              <w:pStyle w:val="12"/>
            </w:pPr>
            <w:r>
              <w:t>保障交通秩序正常</w:t>
            </w:r>
          </w:p>
        </w:tc>
        <w:tc>
          <w:tcPr>
            <w:tcW w:w="2504" w:type="dxa"/>
            <w:vAlign w:val="center"/>
          </w:tcPr>
          <w:p>
            <w:pPr>
              <w:pStyle w:val="12"/>
            </w:pPr>
            <w:r>
              <w:t>保障正常交通秩序</w:t>
            </w:r>
          </w:p>
        </w:tc>
        <w:tc>
          <w:tcPr>
            <w:tcW w:w="2927" w:type="dxa"/>
            <w:vAlign w:val="center"/>
          </w:tcPr>
          <w:p>
            <w:pPr>
              <w:pStyle w:val="12"/>
            </w:pPr>
            <w:r>
              <w:t>根据工作开展情况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群众对交管的服务满意度</w:t>
            </w:r>
          </w:p>
        </w:tc>
        <w:tc>
          <w:tcPr>
            <w:tcW w:w="3499" w:type="dxa"/>
            <w:vAlign w:val="center"/>
          </w:tcPr>
          <w:p>
            <w:pPr>
              <w:pStyle w:val="12"/>
            </w:pPr>
            <w:r>
              <w:t>群众对交管的服务满意度</w:t>
            </w:r>
          </w:p>
        </w:tc>
        <w:tc>
          <w:tcPr>
            <w:tcW w:w="2504" w:type="dxa"/>
            <w:vAlign w:val="center"/>
          </w:tcPr>
          <w:p>
            <w:pPr>
              <w:pStyle w:val="12"/>
            </w:pPr>
            <w:r>
              <w:t>≥95%</w:t>
            </w:r>
          </w:p>
        </w:tc>
        <w:tc>
          <w:tcPr>
            <w:tcW w:w="2927"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无极县公安交通警察大队本级上年末固定资产金额为3138.56万元（详见下表）。本年度拟购置固定资产总额为0.00万元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3138.56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3688</w:t>
            </w:r>
          </w:p>
        </w:tc>
        <w:tc>
          <w:tcPr>
            <w:tcW w:w="2835" w:type="dxa"/>
            <w:vAlign w:val="center"/>
          </w:tcPr>
          <w:p>
            <w:pPr>
              <w:pStyle w:val="11"/>
            </w:pPr>
            <w:r>
              <w:t>157.88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130</w:t>
            </w:r>
          </w:p>
        </w:tc>
        <w:tc>
          <w:tcPr>
            <w:tcW w:w="2835"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22</w:t>
            </w:r>
          </w:p>
        </w:tc>
        <w:tc>
          <w:tcPr>
            <w:tcW w:w="2835" w:type="dxa"/>
            <w:vAlign w:val="center"/>
          </w:tcPr>
          <w:p>
            <w:pPr>
              <w:pStyle w:val="11"/>
            </w:pPr>
            <w:r>
              <w:t>379.23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3812</w:t>
            </w:r>
          </w:p>
        </w:tc>
        <w:tc>
          <w:tcPr>
            <w:tcW w:w="2835" w:type="dxa"/>
            <w:vAlign w:val="center"/>
          </w:tcPr>
          <w:p>
            <w:pPr>
              <w:pStyle w:val="11"/>
            </w:pPr>
            <w:r>
              <w:t>2601.45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4326F8"/>
    <w:multiLevelType w:val="singleLevel"/>
    <w:tmpl w:val="D34326F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4A50BE"/>
    <w:rsid w:val="1AE55CD1"/>
    <w:rsid w:val="2B0E027A"/>
    <w:rsid w:val="4DE61AC8"/>
    <w:rsid w:val="6F6146B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4254</Words>
  <Characters>5055</Characters>
  <TotalTime>1</TotalTime>
  <ScaleCrop>false</ScaleCrop>
  <LinksUpToDate>false</LinksUpToDate>
  <CharactersWithSpaces>5163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2025-02-08T11:05:00Z</dcterms:created>
  <dc:creator>Administrator</dc:creator>
  <cp:lastModifiedBy>浮生</cp:lastModifiedBy>
  <dcterms:modified xsi:type="dcterms:W3CDTF">2025-10-31T03:18:17Z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eyJoZGlkIjoiZDcwMzAxNjUxNzZmNTFiYjY2MzU5YmIxZjM4ZjY2ODEiLCJ1c2VySWQiOiIyNzQxMDkwNTEifQ==</vt:lpwstr>
  </property>
  <property fmtid="{D5CDD505-2E9C-101B-9397-08002B2CF9AE}" pid="3" name="KSOProductBuildVer">
    <vt:lpwstr>2052-11.8.2.11813</vt:lpwstr>
  </property>
  <property fmtid="{D5CDD505-2E9C-101B-9397-08002B2CF9AE}" pid="4" name="ICV">
    <vt:lpwstr>EAB7BEF671184212950A860A35A2334E</vt:lpwstr>
  </property>
</Properties>
</file>