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一、中国共产主义青年团无极县委员会本级收支预算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一、中国共产主义青年团无极县委员会本级收支预算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53.90</w:t>
            </w:r>
          </w:p>
        </w:tc>
        <w:tc>
          <w:tcPr>
            <w:tcW w:w="4535" w:type="dxa"/>
            <w:vAlign w:val="center"/>
          </w:tcPr>
          <w:p>
            <w:pPr>
              <w:pStyle w:val="12"/>
            </w:pPr>
            <w:r>
              <w:t>一、一般公共服务支出</w:t>
            </w:r>
          </w:p>
        </w:tc>
        <w:tc>
          <w:tcPr>
            <w:tcW w:w="2126" w:type="dxa"/>
            <w:vAlign w:val="center"/>
          </w:tcPr>
          <w:p>
            <w:pPr>
              <w:pStyle w:val="11"/>
            </w:pPr>
            <w:r>
              <w:t>42.90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53.90</w:t>
            </w:r>
          </w:p>
        </w:tc>
        <w:tc>
          <w:tcPr>
            <w:tcW w:w="4535" w:type="dxa"/>
            <w:vAlign w:val="center"/>
          </w:tcPr>
          <w:p>
            <w:pPr>
              <w:pStyle w:val="14"/>
            </w:pPr>
            <w:r>
              <w:t>本年支出合计</w:t>
            </w:r>
          </w:p>
        </w:tc>
        <w:tc>
          <w:tcPr>
            <w:tcW w:w="2126" w:type="dxa"/>
            <w:vAlign w:val="center"/>
          </w:tcPr>
          <w:p>
            <w:pPr>
              <w:pStyle w:val="15"/>
            </w:pPr>
            <w:r>
              <w:t>53.90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53.90</w:t>
            </w:r>
          </w:p>
        </w:tc>
        <w:tc>
          <w:tcPr>
            <w:tcW w:w="4535" w:type="dxa"/>
            <w:vAlign w:val="center"/>
          </w:tcPr>
          <w:p>
            <w:pPr>
              <w:pStyle w:val="14"/>
            </w:pPr>
            <w:r>
              <w:t>支出总计</w:t>
            </w:r>
          </w:p>
        </w:tc>
        <w:tc>
          <w:tcPr>
            <w:tcW w:w="2126" w:type="dxa"/>
            <w:vAlign w:val="center"/>
          </w:tcPr>
          <w:p>
            <w:pPr>
              <w:pStyle w:val="15"/>
            </w:pPr>
            <w:r>
              <w:t>53.90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53.90</w:t>
            </w:r>
          </w:p>
        </w:tc>
        <w:tc>
          <w:tcPr>
            <w:tcW w:w="1134" w:type="dxa"/>
            <w:vAlign w:val="center"/>
          </w:tcPr>
          <w:p>
            <w:pPr>
              <w:pStyle w:val="15"/>
            </w:pPr>
            <w:r>
              <w:t>53.90</w:t>
            </w:r>
          </w:p>
        </w:tc>
        <w:tc>
          <w:tcPr>
            <w:tcW w:w="1134" w:type="dxa"/>
            <w:vAlign w:val="center"/>
          </w:tcPr>
          <w:p>
            <w:pPr>
              <w:pStyle w:val="15"/>
            </w:pPr>
            <w:r>
              <w:t>53.90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42.90</w:t>
            </w:r>
          </w:p>
        </w:tc>
        <w:tc>
          <w:tcPr>
            <w:tcW w:w="1134" w:type="dxa"/>
            <w:vAlign w:val="center"/>
          </w:tcPr>
          <w:p>
            <w:pPr>
              <w:pStyle w:val="11"/>
            </w:pPr>
            <w:r>
              <w:t>42.90</w:t>
            </w:r>
          </w:p>
        </w:tc>
        <w:tc>
          <w:tcPr>
            <w:tcW w:w="1134" w:type="dxa"/>
            <w:vAlign w:val="center"/>
          </w:tcPr>
          <w:p>
            <w:pPr>
              <w:pStyle w:val="11"/>
            </w:pPr>
            <w:r>
              <w:t>42.90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42.90</w:t>
            </w:r>
          </w:p>
        </w:tc>
        <w:tc>
          <w:tcPr>
            <w:tcW w:w="1134" w:type="dxa"/>
            <w:vAlign w:val="center"/>
          </w:tcPr>
          <w:p>
            <w:pPr>
              <w:pStyle w:val="11"/>
            </w:pPr>
            <w:r>
              <w:t>42.90</w:t>
            </w:r>
          </w:p>
        </w:tc>
        <w:tc>
          <w:tcPr>
            <w:tcW w:w="1134" w:type="dxa"/>
            <w:vAlign w:val="center"/>
          </w:tcPr>
          <w:p>
            <w:pPr>
              <w:pStyle w:val="11"/>
            </w:pPr>
            <w:r>
              <w:t>42.90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42.90</w:t>
            </w:r>
          </w:p>
        </w:tc>
        <w:tc>
          <w:tcPr>
            <w:tcW w:w="1134" w:type="dxa"/>
            <w:vAlign w:val="center"/>
          </w:tcPr>
          <w:p>
            <w:pPr>
              <w:pStyle w:val="11"/>
            </w:pPr>
            <w:r>
              <w:t>42.90</w:t>
            </w:r>
          </w:p>
        </w:tc>
        <w:tc>
          <w:tcPr>
            <w:tcW w:w="1134" w:type="dxa"/>
            <w:vAlign w:val="center"/>
          </w:tcPr>
          <w:p>
            <w:pPr>
              <w:pStyle w:val="11"/>
            </w:pPr>
            <w:r>
              <w:t>42.90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53.90</w:t>
            </w:r>
          </w:p>
        </w:tc>
        <w:tc>
          <w:tcPr>
            <w:tcW w:w="1361" w:type="dxa"/>
            <w:vAlign w:val="center"/>
          </w:tcPr>
          <w:p>
            <w:pPr>
              <w:pStyle w:val="15"/>
            </w:pPr>
            <w:r>
              <w:t>53.90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42.90</w:t>
            </w:r>
          </w:p>
        </w:tc>
        <w:tc>
          <w:tcPr>
            <w:tcW w:w="1361" w:type="dxa"/>
            <w:vAlign w:val="center"/>
          </w:tcPr>
          <w:p>
            <w:pPr>
              <w:pStyle w:val="11"/>
            </w:pPr>
            <w:r>
              <w:t>42.90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42.90</w:t>
            </w:r>
          </w:p>
        </w:tc>
        <w:tc>
          <w:tcPr>
            <w:tcW w:w="1361" w:type="dxa"/>
            <w:vAlign w:val="center"/>
          </w:tcPr>
          <w:p>
            <w:pPr>
              <w:pStyle w:val="11"/>
            </w:pPr>
            <w:r>
              <w:t>42.90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42.90</w:t>
            </w:r>
          </w:p>
        </w:tc>
        <w:tc>
          <w:tcPr>
            <w:tcW w:w="1361" w:type="dxa"/>
            <w:vAlign w:val="center"/>
          </w:tcPr>
          <w:p>
            <w:pPr>
              <w:pStyle w:val="11"/>
            </w:pPr>
            <w:r>
              <w:t>42.90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8.40</w:t>
            </w:r>
          </w:p>
        </w:tc>
        <w:tc>
          <w:tcPr>
            <w:tcW w:w="1361" w:type="dxa"/>
            <w:vAlign w:val="center"/>
          </w:tcPr>
          <w:p>
            <w:pPr>
              <w:pStyle w:val="11"/>
            </w:pPr>
            <w:r>
              <w:t>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53.90</w:t>
            </w:r>
          </w:p>
        </w:tc>
        <w:tc>
          <w:tcPr>
            <w:tcW w:w="3402" w:type="dxa"/>
            <w:vAlign w:val="center"/>
          </w:tcPr>
          <w:p>
            <w:pPr>
              <w:pStyle w:val="12"/>
            </w:pPr>
            <w:r>
              <w:t>一、一般公共服务支出</w:t>
            </w:r>
          </w:p>
        </w:tc>
        <w:tc>
          <w:tcPr>
            <w:tcW w:w="1474" w:type="dxa"/>
            <w:vAlign w:val="center"/>
          </w:tcPr>
          <w:p>
            <w:pPr>
              <w:pStyle w:val="11"/>
            </w:pPr>
            <w:r>
              <w:t>42.90</w:t>
            </w:r>
          </w:p>
        </w:tc>
        <w:tc>
          <w:tcPr>
            <w:tcW w:w="1474" w:type="dxa"/>
            <w:vAlign w:val="center"/>
          </w:tcPr>
          <w:p>
            <w:pPr>
              <w:pStyle w:val="11"/>
            </w:pPr>
            <w:r>
              <w:t>42.90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8.40</w:t>
            </w:r>
          </w:p>
        </w:tc>
        <w:tc>
          <w:tcPr>
            <w:tcW w:w="1474" w:type="dxa"/>
            <w:vAlign w:val="center"/>
          </w:tcPr>
          <w:p>
            <w:pPr>
              <w:pStyle w:val="11"/>
            </w:pPr>
            <w:r>
              <w:t>8.40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2.60</w:t>
            </w:r>
          </w:p>
        </w:tc>
        <w:tc>
          <w:tcPr>
            <w:tcW w:w="1474" w:type="dxa"/>
            <w:vAlign w:val="center"/>
          </w:tcPr>
          <w:p>
            <w:pPr>
              <w:pStyle w:val="11"/>
            </w:pPr>
            <w:r>
              <w:t>2.60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53.90</w:t>
            </w:r>
          </w:p>
        </w:tc>
        <w:tc>
          <w:tcPr>
            <w:tcW w:w="3402" w:type="dxa"/>
            <w:vAlign w:val="center"/>
          </w:tcPr>
          <w:p>
            <w:pPr>
              <w:pStyle w:val="14"/>
            </w:pPr>
            <w:r>
              <w:t>本年支出合计</w:t>
            </w:r>
          </w:p>
        </w:tc>
        <w:tc>
          <w:tcPr>
            <w:tcW w:w="1474" w:type="dxa"/>
            <w:vAlign w:val="center"/>
          </w:tcPr>
          <w:p>
            <w:pPr>
              <w:pStyle w:val="15"/>
            </w:pPr>
            <w:r>
              <w:t>53.90</w:t>
            </w:r>
          </w:p>
        </w:tc>
        <w:tc>
          <w:tcPr>
            <w:tcW w:w="1474" w:type="dxa"/>
            <w:vAlign w:val="center"/>
          </w:tcPr>
          <w:p>
            <w:pPr>
              <w:pStyle w:val="15"/>
            </w:pPr>
            <w:r>
              <w:t>53.90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53.90</w:t>
            </w:r>
          </w:p>
        </w:tc>
        <w:tc>
          <w:tcPr>
            <w:tcW w:w="3402" w:type="dxa"/>
            <w:vAlign w:val="center"/>
          </w:tcPr>
          <w:p>
            <w:pPr>
              <w:pStyle w:val="14"/>
            </w:pPr>
            <w:r>
              <w:t>支出总计</w:t>
            </w:r>
          </w:p>
        </w:tc>
        <w:tc>
          <w:tcPr>
            <w:tcW w:w="1474" w:type="dxa"/>
            <w:vAlign w:val="center"/>
          </w:tcPr>
          <w:p>
            <w:pPr>
              <w:pStyle w:val="15"/>
            </w:pPr>
            <w:r>
              <w:t>53.90</w:t>
            </w:r>
          </w:p>
        </w:tc>
        <w:tc>
          <w:tcPr>
            <w:tcW w:w="1474" w:type="dxa"/>
            <w:vAlign w:val="center"/>
          </w:tcPr>
          <w:p>
            <w:pPr>
              <w:pStyle w:val="15"/>
            </w:pPr>
            <w:r>
              <w:t>53.90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53.90</w:t>
            </w:r>
          </w:p>
        </w:tc>
        <w:tc>
          <w:tcPr>
            <w:tcW w:w="2551" w:type="dxa"/>
            <w:vAlign w:val="center"/>
          </w:tcPr>
          <w:p>
            <w:pPr>
              <w:pStyle w:val="15"/>
            </w:pPr>
            <w:r>
              <w:t>53.90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42.90</w:t>
            </w:r>
          </w:p>
        </w:tc>
        <w:tc>
          <w:tcPr>
            <w:tcW w:w="2551" w:type="dxa"/>
            <w:vAlign w:val="center"/>
          </w:tcPr>
          <w:p>
            <w:pPr>
              <w:pStyle w:val="11"/>
            </w:pPr>
            <w:r>
              <w:t>42.90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42.90</w:t>
            </w:r>
          </w:p>
        </w:tc>
        <w:tc>
          <w:tcPr>
            <w:tcW w:w="2551" w:type="dxa"/>
            <w:vAlign w:val="center"/>
          </w:tcPr>
          <w:p>
            <w:pPr>
              <w:pStyle w:val="11"/>
            </w:pPr>
            <w:r>
              <w:t>42.90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42.90</w:t>
            </w:r>
          </w:p>
        </w:tc>
        <w:tc>
          <w:tcPr>
            <w:tcW w:w="2551" w:type="dxa"/>
            <w:vAlign w:val="center"/>
          </w:tcPr>
          <w:p>
            <w:pPr>
              <w:pStyle w:val="11"/>
            </w:pPr>
            <w:r>
              <w:t>42.90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53.90</w:t>
            </w:r>
          </w:p>
        </w:tc>
        <w:tc>
          <w:tcPr>
            <w:tcW w:w="2551" w:type="dxa"/>
            <w:vAlign w:val="center"/>
          </w:tcPr>
          <w:p>
            <w:pPr>
              <w:pStyle w:val="15"/>
            </w:pPr>
            <w:r>
              <w:t>44.90</w:t>
            </w:r>
          </w:p>
        </w:tc>
        <w:tc>
          <w:tcPr>
            <w:tcW w:w="2551" w:type="dxa"/>
            <w:vAlign w:val="center"/>
          </w:tcPr>
          <w:p>
            <w:pPr>
              <w:pStyle w:val="15"/>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44.90</w:t>
            </w:r>
          </w:p>
        </w:tc>
        <w:tc>
          <w:tcPr>
            <w:tcW w:w="2551" w:type="dxa"/>
            <w:vAlign w:val="center"/>
          </w:tcPr>
          <w:p>
            <w:pPr>
              <w:pStyle w:val="11"/>
            </w:pPr>
            <w:r>
              <w:t>44.90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8.90</w:t>
            </w:r>
          </w:p>
        </w:tc>
        <w:tc>
          <w:tcPr>
            <w:tcW w:w="2551" w:type="dxa"/>
            <w:vAlign w:val="center"/>
          </w:tcPr>
          <w:p>
            <w:pPr>
              <w:pStyle w:val="11"/>
            </w:pPr>
            <w:r>
              <w:t>8.90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中国共产主义青年团无极县委员会本级2025年单位预算信息公开情况说明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按照《中华人民共和国预算法》、《地方预决算公开操作规程》和《关于进一步推进预算公开工作的实施意见》规定，现将中国共产主义青年团无极县委员会本级2025年单位预算公开如下：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1、行使共青团无极县委赋予的领导无极县共青团工作，指导全县少先队工作的职权。</w:t>
      </w:r>
    </w:p>
    <w:p>
      <w:pPr>
        <w:pStyle w:val="17"/>
      </w:pPr>
      <w:r>
        <w:t>2、参与制定全县的青少年事业发展规划和青少年工作方针、政策。对青少年活动阵地和青少年服务机构的建设等事务进行规划和管理。</w:t>
      </w:r>
    </w:p>
    <w:p>
      <w:pPr>
        <w:pStyle w:val="17"/>
      </w:pPr>
      <w:r>
        <w:t>3、参与全县有关青少年事务的法律、地方性法规的制定和实施，协助县委和县政府处理、协调与青少年利益相关的事务。</w:t>
      </w:r>
    </w:p>
    <w:p>
      <w:pPr>
        <w:pStyle w:val="17"/>
      </w:pPr>
      <w:r>
        <w:t>4、调查青少年思想动态和青少年工作状况，研究青少年工作理论和思想教育问题，提出相应对策，开展各种活动。</w:t>
      </w:r>
    </w:p>
    <w:p>
      <w:pPr>
        <w:pStyle w:val="17"/>
      </w:pPr>
      <w:r>
        <w:t>5、协助县政府教育部门做好中，小学学生的教育管理工作，维护学校稳定和社会安定团结。</w:t>
      </w:r>
    </w:p>
    <w:p>
      <w:pPr>
        <w:pStyle w:val="17"/>
      </w:pPr>
      <w:r>
        <w:t>6、在国家建设中，组织和带领青年发挥生力军和突击队作用。</w:t>
      </w:r>
    </w:p>
    <w:p>
      <w:pPr>
        <w:pStyle w:val="17"/>
      </w:pPr>
      <w:r>
        <w:t>7、参与制定有关全县的青年统战工作的政策，做好青年统战对象的团结教育工作，维护和促进祖国统一和民族团结。</w:t>
      </w:r>
    </w:p>
    <w:p>
      <w:pPr>
        <w:pStyle w:val="17"/>
      </w:pPr>
      <w:r>
        <w:t>8、承担县委、县政府和团市委交办的有关事项。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中国共产主义青年团无极县委员会本级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53.90万元，其中：一般公共预算收入53.90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主义青年团无极县委员会本级年度单位预算中支出预算的总体情况。2025年支出预算53.90万元，其中基本支出53.90万元，包括人员经费44.90万元和日常公用经费9.00万元；项目支出0.00万元，主要为无</w:t>
      </w:r>
    </w:p>
    <w:p>
      <w:pPr>
        <w:pStyle w:val="18"/>
      </w:pPr>
      <w:r>
        <w:t>3、比上年增减情况</w:t>
      </w:r>
    </w:p>
    <w:p>
      <w:pPr>
        <w:pStyle w:val="18"/>
      </w:pPr>
      <w:r>
        <w:t>2025年预算收支安排53.90万元，较2024年预算增加1.33万元，其中：基本支出增加4.33万元，主要为保险基数调整项目支出减少3.00万元，主要为无项目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rPr>
          <w:rFonts w:hint="eastAsia" w:ascii="Times New Roman" w:hAnsi="Times New Roman" w:eastAsia="方正仿宋_GBK" w:cs="Times New Roman"/>
          <w:sz w:val="28"/>
          <w:szCs w:val="24"/>
          <w:lang w:val="en-US" w:eastAsia="zh-CN" w:bidi="ar-SA"/>
        </w:rPr>
        <w:t>2025</w:t>
      </w:r>
      <w:r>
        <w:rPr>
          <w:rFonts w:hint="eastAsia"/>
          <w:lang w:val="en-US" w:eastAsia="zh-CN"/>
        </w:rPr>
        <w:t>年</w:t>
      </w:r>
      <w:r>
        <w:rPr>
          <w:rFonts w:hint="eastAsia" w:ascii="Times New Roman" w:hAnsi="Times New Roman" w:eastAsia="方正仿宋_GBK" w:cs="Times New Roman"/>
          <w:sz w:val="28"/>
          <w:szCs w:val="24"/>
          <w:lang w:val="en-US" w:eastAsia="zh-CN" w:bidi="ar-SA"/>
        </w:rPr>
        <w:t>我</w:t>
      </w:r>
      <w:r>
        <w:t>单位</w:t>
      </w:r>
      <w:r>
        <w:rPr>
          <w:rFonts w:hint="eastAsia"/>
          <w:lang w:val="en-US" w:eastAsia="zh-CN"/>
        </w:rPr>
        <w:t>机关运行经费共计安排</w:t>
      </w:r>
      <w:r>
        <w:t>9.00</w:t>
      </w:r>
      <w:r>
        <w:rPr>
          <w:rFonts w:hint="eastAsia"/>
          <w:lang w:val="en-US" w:eastAsia="zh-CN"/>
        </w:rPr>
        <w:t>万元，主要用于日常维修、办公用房水电费、办公用房取暖。办公用房物业管理费等日常运行支出。</w:t>
      </w:r>
    </w:p>
    <w:p>
      <w:pPr>
        <w:pStyle w:val="19"/>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keepNext w:val="0"/>
        <w:keepLines w:val="0"/>
        <w:pageBreakBefore w:val="0"/>
        <w:widowControl/>
        <w:kinsoku/>
        <w:wordWrap/>
        <w:overflowPunct/>
        <w:topLinePunct w:val="0"/>
        <w:autoSpaceDE/>
        <w:autoSpaceDN/>
        <w:bidi w:val="0"/>
        <w:adjustRightInd/>
        <w:snapToGrid/>
        <w:spacing w:line="500" w:lineRule="exact"/>
        <w:ind w:firstLine="561"/>
        <w:jc w:val="left"/>
        <w:textAlignment w:val="auto"/>
        <w:outlineLvl w:val="2"/>
      </w:pPr>
      <w:r>
        <w:rPr>
          <w:rFonts w:hint="eastAsia" w:ascii="Times New Roman" w:hAnsi="Times New Roman" w:eastAsia="方正仿宋_GBK" w:cs="Times New Roman"/>
          <w:sz w:val="28"/>
          <w:szCs w:val="24"/>
          <w:lang w:val="en-US" w:eastAsia="zh-CN" w:bidi="ar-SA"/>
        </w:rPr>
        <w:t>2025年，我</w:t>
      </w:r>
      <w:r>
        <w:t>单位</w:t>
      </w:r>
      <w:r>
        <w:rPr>
          <w:rFonts w:hint="eastAsia" w:ascii="Times New Roman" w:hAnsi="Times New Roman" w:eastAsia="方正仿宋_GBK" w:cs="Times New Roman"/>
          <w:sz w:val="28"/>
          <w:szCs w:val="24"/>
          <w:lang w:val="en-US" w:eastAsia="zh-CN" w:bidi="ar-SA"/>
        </w:rPr>
        <w:t>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eastAsia="方正仿宋_GBK" w:cs="Times New Roman"/>
          <w:sz w:val="28"/>
          <w:szCs w:val="24"/>
          <w:lang w:val="en-US" w:eastAsia="zh-CN" w:bidi="ar-SA"/>
        </w:rPr>
        <w:t>本单位本年度无三公经费预算，</w:t>
      </w:r>
      <w:r>
        <w:rPr>
          <w:rFonts w:hint="eastAsia" w:ascii="Times New Roman" w:hAnsi="Times New Roman" w:eastAsia="方正仿宋_GBK" w:cs="Times New Roman"/>
          <w:sz w:val="28"/>
          <w:szCs w:val="24"/>
          <w:highlight w:val="none"/>
          <w:lang w:val="en-US" w:eastAsia="zh-CN" w:bidi="ar-SA"/>
        </w:rPr>
        <w:t>三公经费与上年持平，无增减变化</w:t>
      </w:r>
      <w:r>
        <w:rPr>
          <w:rFonts w:ascii="黑体" w:hAnsi="黑体" w:eastAsia="黑体" w:cs="黑体"/>
          <w:color w:val="000000"/>
          <w:sz w:val="32"/>
          <w:highlight w:val="none"/>
        </w:rPr>
        <w:t>。</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240" w:lineRule="auto"/>
        <w:ind w:firstLine="640"/>
        <w:jc w:val="left"/>
        <w:outlineLvl w:val="5"/>
        <w:rPr>
          <w:rFonts w:ascii="黑体" w:hAnsi="黑体" w:eastAsia="黑体" w:cs="黑体"/>
          <w:color w:val="000000"/>
          <w:sz w:val="32"/>
        </w:rPr>
      </w:pPr>
      <w:r>
        <w:rPr>
          <w:rFonts w:hint="eastAsia" w:eastAsia="方正仿宋_GBK" w:cs="Times New Roman"/>
          <w:sz w:val="28"/>
          <w:szCs w:val="24"/>
          <w:lang w:val="en-US" w:eastAsia="zh-CN" w:bidi="ar-SA"/>
        </w:rPr>
        <w:t>无。</w:t>
      </w: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中国共产主义青年团无极县委员会本级上年末固定资产金额为</w:t>
      </w:r>
      <w:r>
        <w:rPr>
          <w:rFonts w:hint="eastAsia" w:eastAsia="方正仿宋_GBK" w:cs="Times New Roman"/>
          <w:b w:val="0"/>
          <w:color w:val="000000"/>
          <w:sz w:val="28"/>
          <w:lang w:val="en-US" w:eastAsia="zh-CN"/>
        </w:rPr>
        <w:t>6.69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27</w:t>
            </w:r>
          </w:p>
        </w:tc>
        <w:tc>
          <w:tcPr>
            <w:tcW w:w="2835" w:type="dxa"/>
            <w:vAlign w:val="center"/>
          </w:tcPr>
          <w:p>
            <w:pPr>
              <w:pStyle w:val="11"/>
              <w:rPr>
                <w:rFonts w:hint="default" w:eastAsia="方正书宋_GBK"/>
                <w:lang w:val="en-US" w:eastAsia="zh-CN"/>
              </w:rPr>
            </w:pPr>
            <w:r>
              <w:rPr>
                <w:rFonts w:hint="eastAsia"/>
                <w:lang w:val="en-US" w:eastAsia="zh-CN"/>
              </w:rPr>
              <w:t>6.69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CCCF4F"/>
    <w:multiLevelType w:val="singleLevel"/>
    <w:tmpl w:val="3CCCCF4F"/>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D8D0EE4"/>
    <w:rsid w:val="6FEA32A5"/>
    <w:rsid w:val="71524F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1443</Words>
  <Characters>1897</Characters>
  <TotalTime>0</TotalTime>
  <ScaleCrop>false</ScaleCrop>
  <LinksUpToDate>false</LinksUpToDate>
  <CharactersWithSpaces>1926</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2025-02-11T09:55:00Z</dcterms:created>
  <dc:creator>Administrator</dc:creator>
  <cp:lastModifiedBy>李润泽</cp:lastModifiedBy>
  <dcterms:modified xsi:type="dcterms:W3CDTF">2025-02-20T08:56:59Z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7511451976214814977B499ACF3D784B</vt:lpwstr>
  </property>
  <property fmtid="{D5CDD505-2E9C-101B-9397-08002B2CF9AE}" pid="4" name="KSOTemplateDocerSaveRecord">
    <vt:lpwstr>eyJoZGlkIjoiNmE0MjE1YTEzOWI1ZmU3MTgwZWZhYzQ5NzFkNDAyYzgiLCJ1c2VySWQiOiI0NDg3OTEzOTAifQ==</vt:lpwstr>
  </property>
</Properties>
</file>