
<file path=[Content_Types].xml><?xml version="1.0" encoding="utf-8"?>
<Types xmlns="http://schemas.openxmlformats.org/package/2006/content-types">
  <Default Extension="rels" ContentType="application/vnd.openxmlformats-package.relationships+xml"/>
  <Default Extension="xml" ContentType="application/xml"/>
  <Override PartName="/docProps/app.xml" ContentType="application/vnd.openxmlformats-officedocument.extended-properties+xml"/>
  <Override PartName="/docProps/core.xml" ContentType="application/vnd.openxmlformats-package.core-properties+xml"/>
  <Override PartName="/docProps/custom.xml" ContentType="application/vnd.openxmlformats-officedocument.custom-properties+xml"/>
  <Override PartName="/word/document.xml" ContentType="application/vnd.openxmlformats-officedocument.wordprocessingml.document.main+xml"/>
  <Override PartName="/word/fontTable.xml" ContentType="application/vnd.openxmlformats-officedocument.wordprocessingml.fontTable+xml"/>
  <Override PartName="/word/footer1.xml" ContentType="application/vnd.openxmlformats-officedocument.wordprocessingml.footer+xml"/>
  <Override PartName="/word/footer2.xml" ContentType="application/vnd.openxmlformats-officedocument.wordprocessingml.footer+xml"/>
  <Override PartName="/word/settings.xml" ContentType="application/vnd.openxmlformats-officedocument.wordprocessingml.settings+xml"/>
  <Override PartName="/word/styles.xml" ContentType="application/vnd.openxmlformats-officedocument.wordprocessingml.styles+xml"/>
  <Override PartName="/word/theme/theme1.xml" ContentType="application/vnd.openxmlformats-officedocument.theme+xml"/>
</Types>
</file>

<file path=_rels/.rels><?xml version="1.0" encoding="UTF-8" standalone="yes"?>
<Relationships xmlns="http://schemas.openxmlformats.org/package/2006/relationships"><Relationship Id="rId4" Type="http://schemas.openxmlformats.org/officeDocument/2006/relationships/officeDocument" Target="word/document.xml"/><Relationship Id="rId2" Type="http://schemas.openxmlformats.org/package/2006/relationships/metadata/core-properties" Target="docProps/core.xml"/><Relationship Id="rId1" Type="http://schemas.openxmlformats.org/officeDocument/2006/relationships/extended-properties" Target="docProps/app.xml"/><Relationship Id="rId3" Type="http://schemas.openxmlformats.org/officeDocument/2006/relationships/custom-properties" Target="docProps/custom.xml"/></Relationships>
</file>

<file path=word/document.xml><?xml version="1.0" encoding="utf-8"?>
<w:document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http://schemas.openxmlformats.org/wordprocessingml/2006/main" xmlns:w14="http://schemas.microsoft.com/office/word/2010/wordml" xmlns:w10="urn:schemas-microsoft-com:office:word"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body>
    <w:p>
      <w:pPr>
        <w:jc w:val="center"/>
        <w:outlineLvl w:val="0"/>
      </w:pPr>
      <w:bookmarkStart w:id="20" w:name="_GoBack"/>
      <w:bookmarkEnd w:id="20"/>
      <w:r>
        <w:rPr>
          <w:rFonts w:ascii="黑体" w:hAnsi="黑体" w:eastAsia="黑体" w:cs="黑体"/>
          <w:b/>
          <w:color w:val="000000"/>
          <w:sz w:val="44"/>
        </w:rPr>
        <w:t>2025年部门预算信息公开目录</w:t>
      </w:r>
    </w:p>
    <w:p>
      <w:pPr>
        <w:jc w:val="center"/>
      </w:pPr>
      <w:r>
        <w:rPr>
          <w:rFonts w:ascii="黑体" w:hAnsi="黑体" w:eastAsia="黑体" w:cs="黑体"/>
          <w:b/>
          <w:color w:val="000000"/>
          <w:sz w:val="30"/>
        </w:rPr>
        <w:t xml:space="preserve"> </w:t>
      </w:r>
    </w:p>
    <w:p>
      <w:r>
        <w:rPr>
          <w:rFonts w:ascii="方正楷体_GBK" w:hAnsi="方正楷体_GBK" w:eastAsia="方正楷体_GBK" w:cs="方正楷体_GBK"/>
          <w:b/>
          <w:color w:val="000000"/>
          <w:sz w:val="28"/>
        </w:rPr>
        <w:t>部门预算公开表</w:t>
      </w:r>
    </w:p>
    <w:p>
      <w:pPr>
        <w:pStyle w:val="3"/>
        <w:tabs>
          <w:tab w:val="right" w:leader="dot" w:pos="14562"/>
        </w:tabs>
      </w:pPr>
      <w:r>
        <w:fldChar w:fldCharType="begin"/>
      </w:r>
      <w:r>
        <w:instrText xml:space="preserve">TOC \o "2-2" \h \z \u</w:instrText>
      </w:r>
      <w:r>
        <w:fldChar w:fldCharType="separate"/>
      </w:r>
      <w:r>
        <w:fldChar w:fldCharType="begin"/>
      </w:r>
      <w:r>
        <w:instrText xml:space="preserve"> HYPERLINK \l "_Toc_2_2_0000000001" </w:instrText>
      </w:r>
      <w:r>
        <w:fldChar w:fldCharType="separate"/>
      </w:r>
      <w:r>
        <w:t>部门预算收支总表</w:t>
      </w:r>
      <w:r>
        <w:tab/>
      </w:r>
      <w:r>
        <w:fldChar w:fldCharType="begin"/>
      </w:r>
      <w:r>
        <w:instrText xml:space="preserve">PAGEREF _Toc_2_2_0000000001 \h</w:instrText>
      </w:r>
      <w:r>
        <w:fldChar w:fldCharType="separate"/>
      </w:r>
      <w:r>
        <w:t>1</w:t>
      </w:r>
      <w:r>
        <w:fldChar w:fldCharType="end"/>
      </w:r>
      <w:r>
        <w:fldChar w:fldCharType="end"/>
      </w:r>
    </w:p>
    <w:p>
      <w:pPr>
        <w:pStyle w:val="3"/>
        <w:tabs>
          <w:tab w:val="right" w:leader="dot" w:pos="14562"/>
        </w:tabs>
      </w:pPr>
      <w:r>
        <w:fldChar w:fldCharType="begin"/>
      </w:r>
      <w:r>
        <w:instrText xml:space="preserve"> HYPERLINK \l "_Toc_2_2_0000000002" </w:instrText>
      </w:r>
      <w:r>
        <w:fldChar w:fldCharType="separate"/>
      </w:r>
      <w:r>
        <w:t>部门预算收入总表</w:t>
      </w:r>
      <w:r>
        <w:tab/>
      </w:r>
      <w:r>
        <w:fldChar w:fldCharType="begin"/>
      </w:r>
      <w:r>
        <w:instrText xml:space="preserve">PAGEREF _Toc_2_2_0000000002 \h</w:instrText>
      </w:r>
      <w:r>
        <w:fldChar w:fldCharType="separate"/>
      </w:r>
      <w:r>
        <w:t>3</w:t>
      </w:r>
      <w:r>
        <w:fldChar w:fldCharType="end"/>
      </w:r>
      <w:r>
        <w:fldChar w:fldCharType="end"/>
      </w:r>
    </w:p>
    <w:p>
      <w:pPr>
        <w:pStyle w:val="3"/>
        <w:tabs>
          <w:tab w:val="right" w:leader="dot" w:pos="14562"/>
        </w:tabs>
      </w:pPr>
      <w:r>
        <w:fldChar w:fldCharType="begin"/>
      </w:r>
      <w:r>
        <w:instrText xml:space="preserve"> HYPERLINK \l "_Toc_2_2_0000000003" </w:instrText>
      </w:r>
      <w:r>
        <w:fldChar w:fldCharType="separate"/>
      </w:r>
      <w:r>
        <w:t>部门预算支出总表</w:t>
      </w:r>
      <w:r>
        <w:tab/>
      </w:r>
      <w:r>
        <w:fldChar w:fldCharType="begin"/>
      </w:r>
      <w:r>
        <w:instrText xml:space="preserve">PAGEREF _Toc_2_2_0000000003 \h</w:instrText>
      </w:r>
      <w:r>
        <w:fldChar w:fldCharType="separate"/>
      </w:r>
      <w:r>
        <w:t>4</w:t>
      </w:r>
      <w:r>
        <w:fldChar w:fldCharType="end"/>
      </w:r>
      <w:r>
        <w:fldChar w:fldCharType="end"/>
      </w:r>
    </w:p>
    <w:p>
      <w:pPr>
        <w:pStyle w:val="3"/>
        <w:tabs>
          <w:tab w:val="right" w:leader="dot" w:pos="14562"/>
        </w:tabs>
      </w:pPr>
      <w:r>
        <w:fldChar w:fldCharType="begin"/>
      </w:r>
      <w:r>
        <w:instrText xml:space="preserve"> HYPERLINK \l "_Toc_2_2_0000000004" </w:instrText>
      </w:r>
      <w:r>
        <w:fldChar w:fldCharType="separate"/>
      </w:r>
      <w:r>
        <w:t>部门预算财政拨款收支总表</w:t>
      </w:r>
      <w:r>
        <w:tab/>
      </w:r>
      <w:r>
        <w:fldChar w:fldCharType="begin"/>
      </w:r>
      <w:r>
        <w:instrText xml:space="preserve">PAGEREF _Toc_2_2_0000000004 \h</w:instrText>
      </w:r>
      <w:r>
        <w:fldChar w:fldCharType="separate"/>
      </w:r>
      <w:r>
        <w:t>5</w:t>
      </w:r>
      <w:r>
        <w:fldChar w:fldCharType="end"/>
      </w:r>
      <w:r>
        <w:fldChar w:fldCharType="end"/>
      </w:r>
    </w:p>
    <w:p>
      <w:pPr>
        <w:pStyle w:val="3"/>
        <w:tabs>
          <w:tab w:val="right" w:leader="dot" w:pos="14562"/>
        </w:tabs>
      </w:pPr>
      <w:r>
        <w:fldChar w:fldCharType="begin"/>
      </w:r>
      <w:r>
        <w:instrText xml:space="preserve"> HYPERLINK \l "_Toc_2_2_0000000005" </w:instrText>
      </w:r>
      <w:r>
        <w:fldChar w:fldCharType="separate"/>
      </w:r>
      <w:r>
        <w:t>部门预算一般公共预算财政拨款支出表</w:t>
      </w:r>
      <w:r>
        <w:tab/>
      </w:r>
      <w:r>
        <w:fldChar w:fldCharType="begin"/>
      </w:r>
      <w:r>
        <w:instrText xml:space="preserve">PAGEREF _Toc_2_2_0000000005 \h</w:instrText>
      </w:r>
      <w:r>
        <w:fldChar w:fldCharType="separate"/>
      </w:r>
      <w:r>
        <w:t>7</w:t>
      </w:r>
      <w:r>
        <w:fldChar w:fldCharType="end"/>
      </w:r>
      <w:r>
        <w:fldChar w:fldCharType="end"/>
      </w:r>
    </w:p>
    <w:p>
      <w:pPr>
        <w:pStyle w:val="3"/>
        <w:tabs>
          <w:tab w:val="right" w:leader="dot" w:pos="14562"/>
        </w:tabs>
      </w:pPr>
      <w:r>
        <w:fldChar w:fldCharType="begin"/>
      </w:r>
      <w:r>
        <w:instrText xml:space="preserve"> HYPERLINK \l "_Toc_2_2_0000000006" </w:instrText>
      </w:r>
      <w:r>
        <w:fldChar w:fldCharType="separate"/>
      </w:r>
      <w:r>
        <w:t>部门预算一般公共预算财政拨款基本支出表</w:t>
      </w:r>
      <w:r>
        <w:tab/>
      </w:r>
      <w:r>
        <w:fldChar w:fldCharType="begin"/>
      </w:r>
      <w:r>
        <w:instrText xml:space="preserve">PAGEREF _Toc_2_2_0000000006 \h</w:instrText>
      </w:r>
      <w:r>
        <w:fldChar w:fldCharType="separate"/>
      </w:r>
      <w:r>
        <w:t>8</w:t>
      </w:r>
      <w:r>
        <w:fldChar w:fldCharType="end"/>
      </w:r>
      <w:r>
        <w:fldChar w:fldCharType="end"/>
      </w:r>
    </w:p>
    <w:p>
      <w:pPr>
        <w:pStyle w:val="3"/>
        <w:tabs>
          <w:tab w:val="right" w:leader="dot" w:pos="14562"/>
        </w:tabs>
      </w:pPr>
      <w:r>
        <w:fldChar w:fldCharType="begin"/>
      </w:r>
      <w:r>
        <w:instrText xml:space="preserve"> HYPERLINK \l "_Toc_2_2_0000000007" </w:instrText>
      </w:r>
      <w:r>
        <w:fldChar w:fldCharType="separate"/>
      </w:r>
      <w:r>
        <w:t>部门预算政府性基金预算财政拨款支出表</w:t>
      </w:r>
      <w:r>
        <w:tab/>
      </w:r>
      <w:r>
        <w:fldChar w:fldCharType="begin"/>
      </w:r>
      <w:r>
        <w:instrText xml:space="preserve">PAGEREF _Toc_2_2_0000000007 \h</w:instrText>
      </w:r>
      <w:r>
        <w:fldChar w:fldCharType="separate"/>
      </w:r>
      <w:r>
        <w:t>9</w:t>
      </w:r>
      <w:r>
        <w:fldChar w:fldCharType="end"/>
      </w:r>
      <w:r>
        <w:fldChar w:fldCharType="end"/>
      </w:r>
    </w:p>
    <w:p>
      <w:pPr>
        <w:pStyle w:val="3"/>
        <w:tabs>
          <w:tab w:val="right" w:leader="dot" w:pos="14562"/>
        </w:tabs>
      </w:pPr>
      <w:r>
        <w:fldChar w:fldCharType="begin"/>
      </w:r>
      <w:r>
        <w:instrText xml:space="preserve"> HYPERLINK \l "_Toc_2_2_0000000008" </w:instrText>
      </w:r>
      <w:r>
        <w:fldChar w:fldCharType="separate"/>
      </w:r>
      <w:r>
        <w:t>部门预算国有资本经营预算财政拨款支出表</w:t>
      </w:r>
      <w:r>
        <w:tab/>
      </w:r>
      <w:r>
        <w:fldChar w:fldCharType="begin"/>
      </w:r>
      <w:r>
        <w:instrText xml:space="preserve">PAGEREF _Toc_2_2_0000000008 \h</w:instrText>
      </w:r>
      <w:r>
        <w:fldChar w:fldCharType="separate"/>
      </w:r>
      <w:r>
        <w:t>10</w:t>
      </w:r>
      <w:r>
        <w:fldChar w:fldCharType="end"/>
      </w:r>
      <w:r>
        <w:fldChar w:fldCharType="end"/>
      </w:r>
    </w:p>
    <w:p>
      <w:pPr>
        <w:pStyle w:val="3"/>
        <w:tabs>
          <w:tab w:val="right" w:leader="dot" w:pos="14562"/>
        </w:tabs>
      </w:pPr>
      <w:r>
        <w:fldChar w:fldCharType="begin"/>
      </w:r>
      <w:r>
        <w:instrText xml:space="preserve"> HYPERLINK \l "_Toc_2_2_0000000009" </w:instrText>
      </w:r>
      <w:r>
        <w:fldChar w:fldCharType="separate"/>
      </w:r>
      <w:r>
        <w:t>部门预算财政拨款“三公”经费支出表</w:t>
      </w:r>
      <w:r>
        <w:tab/>
      </w:r>
      <w:r>
        <w:fldChar w:fldCharType="begin"/>
      </w:r>
      <w:r>
        <w:instrText xml:space="preserve">PAGEREF _Toc_2_2_0000000009 \h</w:instrText>
      </w:r>
      <w:r>
        <w:fldChar w:fldCharType="separate"/>
      </w:r>
      <w:r>
        <w:t>11</w:t>
      </w:r>
      <w:r>
        <w:fldChar w:fldCharType="end"/>
      </w:r>
      <w:r>
        <w:fldChar w:fldCharType="end"/>
      </w:r>
    </w:p>
    <w:p>
      <w:r>
        <w:fldChar w:fldCharType="end"/>
      </w:r>
    </w:p>
    <w:p>
      <w:r>
        <w:rPr>
          <w:rFonts w:ascii="方正楷体_GBK" w:hAnsi="方正楷体_GBK" w:eastAsia="方正楷体_GBK" w:cs="方正楷体_GBK"/>
          <w:b/>
          <w:color w:val="000000"/>
          <w:sz w:val="28"/>
        </w:rPr>
        <w:t>部门预算信息公开情况说明</w:t>
      </w:r>
    </w:p>
    <w:p>
      <w:pPr>
        <w:pStyle w:val="3"/>
        <w:tabs>
          <w:tab w:val="right" w:leader="dot" w:pos="14562"/>
        </w:tabs>
      </w:pPr>
      <w:r>
        <w:fldChar w:fldCharType="begin"/>
      </w:r>
      <w:r>
        <w:instrText xml:space="preserve">TOC \o "3-3" \h \z \u</w:instrText>
      </w:r>
      <w:r>
        <w:fldChar w:fldCharType="separate"/>
      </w:r>
      <w:r>
        <w:fldChar w:fldCharType="begin"/>
      </w:r>
      <w:r>
        <w:instrText xml:space="preserve"> HYPERLINK \l "_Toc_3_3_0000000010" </w:instrText>
      </w:r>
      <w:r>
        <w:fldChar w:fldCharType="separate"/>
      </w:r>
      <w:r>
        <w:t>一、部门职责及机构设置情况</w:t>
      </w:r>
      <w:r>
        <w:tab/>
      </w:r>
      <w:r>
        <w:fldChar w:fldCharType="begin"/>
      </w:r>
      <w:r>
        <w:instrText xml:space="preserve">PAGEREF _Toc_3_3_0000000010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"_Toc_3_3_0000000011" </w:instrText>
      </w:r>
      <w:r>
        <w:fldChar w:fldCharType="separate"/>
      </w:r>
      <w:r>
        <w:t>二、部门预算安排的总体情况</w:t>
      </w:r>
      <w:r>
        <w:tab/>
      </w:r>
      <w:r>
        <w:fldChar w:fldCharType="begin"/>
      </w:r>
      <w:r>
        <w:instrText xml:space="preserve">PAGEREF _Toc_3_3_0000000011 \h</w:instrText>
      </w:r>
      <w:r>
        <w:fldChar w:fldCharType="separate"/>
      </w:r>
      <w:r>
        <w:t>12</w:t>
      </w:r>
      <w:r>
        <w:fldChar w:fldCharType="end"/>
      </w:r>
      <w:r>
        <w:fldChar w:fldCharType="end"/>
      </w:r>
    </w:p>
    <w:p>
      <w:pPr>
        <w:pStyle w:val="3"/>
        <w:tabs>
          <w:tab w:val="right" w:leader="dot" w:pos="14562"/>
        </w:tabs>
      </w:pPr>
      <w:r>
        <w:fldChar w:fldCharType="begin"/>
      </w:r>
      <w:r>
        <w:instrText xml:space="preserve"> HYPERLINK \l "_Toc_3_3_0000000012" </w:instrText>
      </w:r>
      <w:r>
        <w:fldChar w:fldCharType="separate"/>
      </w:r>
      <w:r>
        <w:t>三、机关运行经费安排情况</w:t>
      </w:r>
      <w:r>
        <w:tab/>
      </w:r>
      <w:r>
        <w:fldChar w:fldCharType="begin"/>
      </w:r>
      <w:r>
        <w:instrText xml:space="preserve">PAGEREF _Toc_3_3_0000000012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"_Toc_3_3_0000000013" </w:instrText>
      </w:r>
      <w:r>
        <w:fldChar w:fldCharType="separate"/>
      </w:r>
      <w:r>
        <w:t>四、财政拨款“三公”经费预算情况及增减变化原因</w:t>
      </w:r>
      <w:r>
        <w:tab/>
      </w:r>
      <w:r>
        <w:fldChar w:fldCharType="begin"/>
      </w:r>
      <w:r>
        <w:instrText xml:space="preserve">PAGEREF _Toc_3_3_0000000013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"_Toc_3_3_0000000014" </w:instrText>
      </w:r>
      <w:r>
        <w:fldChar w:fldCharType="separate"/>
      </w:r>
      <w:r>
        <w:t>五、部门整体绩效目标</w:t>
      </w:r>
      <w:r>
        <w:tab/>
      </w:r>
      <w:r>
        <w:fldChar w:fldCharType="begin"/>
      </w:r>
      <w:r>
        <w:instrText xml:space="preserve">PAGEREF _Toc_3_3_0000000014 \h</w:instrText>
      </w:r>
      <w:r>
        <w:fldChar w:fldCharType="separate"/>
      </w:r>
      <w:r>
        <w:t>13</w:t>
      </w:r>
      <w:r>
        <w:fldChar w:fldCharType="end"/>
      </w:r>
      <w:r>
        <w:fldChar w:fldCharType="end"/>
      </w:r>
    </w:p>
    <w:p>
      <w:pPr>
        <w:pStyle w:val="3"/>
        <w:tabs>
          <w:tab w:val="right" w:leader="dot" w:pos="14562"/>
        </w:tabs>
      </w:pPr>
      <w:r>
        <w:fldChar w:fldCharType="begin"/>
      </w:r>
      <w:r>
        <w:instrText xml:space="preserve"> HYPERLINK \l "_Toc_3_3_0000000015" </w:instrText>
      </w:r>
      <w:r>
        <w:fldChar w:fldCharType="separate"/>
      </w:r>
      <w:r>
        <w:t>六、部门主管专项资金预算安排情况及绩效目标</w:t>
      </w:r>
      <w:r>
        <w:tab/>
      </w:r>
      <w:r>
        <w:fldChar w:fldCharType="begin"/>
      </w:r>
      <w:r>
        <w:instrText xml:space="preserve">PAGEREF _Toc_3_3_0000000015 \h</w:instrText>
      </w:r>
      <w:r>
        <w:fldChar w:fldCharType="separate"/>
      </w:r>
      <w:r>
        <w:t>18</w:t>
      </w:r>
      <w:r>
        <w:fldChar w:fldCharType="end"/>
      </w:r>
      <w:r>
        <w:fldChar w:fldCharType="end"/>
      </w:r>
    </w:p>
    <w:p>
      <w:pPr>
        <w:pStyle w:val="3"/>
        <w:tabs>
          <w:tab w:val="right" w:leader="dot" w:pos="14562"/>
        </w:tabs>
      </w:pPr>
      <w:r>
        <w:fldChar w:fldCharType="begin"/>
      </w:r>
      <w:r>
        <w:instrText xml:space="preserve"> HYPERLINK \l "_Toc_3_3_0000000016" </w:instrText>
      </w:r>
      <w:r>
        <w:fldChar w:fldCharType="separate"/>
      </w:r>
      <w:r>
        <w:t>七、部门项目预算安排情况及绩效目标</w:t>
      </w:r>
      <w:r>
        <w:tab/>
      </w:r>
      <w:r>
        <w:fldChar w:fldCharType="begin"/>
      </w:r>
      <w:r>
        <w:instrText xml:space="preserve">PAGEREF _Toc_3_3_0000000016 \h</w:instrText>
      </w:r>
      <w:r>
        <w:fldChar w:fldCharType="separate"/>
      </w:r>
      <w:r>
        <w:t>19</w:t>
      </w:r>
      <w:r>
        <w:fldChar w:fldCharType="end"/>
      </w:r>
      <w:r>
        <w:fldChar w:fldCharType="end"/>
      </w:r>
    </w:p>
    <w:p>
      <w:pPr>
        <w:pStyle w:val="3"/>
        <w:tabs>
          <w:tab w:val="right" w:leader="dot" w:pos="14562"/>
        </w:tabs>
      </w:pPr>
      <w:r>
        <w:fldChar w:fldCharType="begin"/>
      </w:r>
      <w:r>
        <w:instrText xml:space="preserve"> HYPERLINK \l "_Toc_3_3_0000000017" </w:instrText>
      </w:r>
      <w:r>
        <w:fldChar w:fldCharType="separate"/>
      </w:r>
      <w:r>
        <w:t>八、政府采购预算情况</w:t>
      </w:r>
      <w:r>
        <w:tab/>
      </w:r>
      <w:r>
        <w:fldChar w:fldCharType="begin"/>
      </w:r>
      <w:r>
        <w:instrText xml:space="preserve">PAGEREF _Toc_3_3_0000000017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"_Toc_3_3_0000000018" </w:instrText>
      </w:r>
      <w:r>
        <w:fldChar w:fldCharType="separate"/>
      </w:r>
      <w:r>
        <w:t>九、国有资产信息</w:t>
      </w:r>
      <w:r>
        <w:tab/>
      </w:r>
      <w:r>
        <w:fldChar w:fldCharType="begin"/>
      </w:r>
      <w:r>
        <w:instrText xml:space="preserve">PAGEREF _Toc_3_3_0000000018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"_Toc_3_3_0000000019" </w:instrText>
      </w:r>
      <w:r>
        <w:fldChar w:fldCharType="separate"/>
      </w:r>
      <w:r>
        <w:t>十、名词解释</w:t>
      </w:r>
      <w:r>
        <w:tab/>
      </w:r>
      <w:r>
        <w:fldChar w:fldCharType="begin"/>
      </w:r>
      <w:r>
        <w:instrText xml:space="preserve">PAGEREF _Toc_3_3_0000000019 \h</w:instrText>
      </w:r>
      <w:r>
        <w:fldChar w:fldCharType="separate"/>
      </w:r>
      <w:r>
        <w:t>20</w:t>
      </w:r>
      <w:r>
        <w:fldChar w:fldCharType="end"/>
      </w:r>
      <w:r>
        <w:fldChar w:fldCharType="end"/>
      </w:r>
    </w:p>
    <w:p>
      <w:pPr>
        <w:pStyle w:val="3"/>
        <w:tabs>
          <w:tab w:val="right" w:leader="dot" w:pos="14562"/>
        </w:tabs>
      </w:pPr>
      <w:r>
        <w:fldChar w:fldCharType="begin"/>
      </w:r>
      <w:r>
        <w:instrText xml:space="preserve"> HYPERLINK \l "_Toc_3_3_0000000020" </w:instrText>
      </w:r>
      <w:r>
        <w:fldChar w:fldCharType="separate"/>
      </w:r>
      <w:r>
        <w:t>十一、其他需要说明的事项</w:t>
      </w:r>
      <w:r>
        <w:tab/>
      </w:r>
      <w:r>
        <w:fldChar w:fldCharType="begin"/>
      </w:r>
      <w:r>
        <w:instrText xml:space="preserve">PAGEREF _Toc_3_3_0000000020 \h</w:instrText>
      </w:r>
      <w:r>
        <w:fldChar w:fldCharType="separate"/>
      </w:r>
      <w:r>
        <w:t>22</w:t>
      </w:r>
      <w:r>
        <w:fldChar w:fldCharType="end"/>
      </w:r>
      <w:r>
        <w:fldChar w:fldCharType="end"/>
      </w:r>
    </w:p>
    <w:p>
      <w:pPr>
        <w:sectPr>
          <w:pgSz w:w="16840" w:h="11900" w:orient="landscape"/>
          <w:pgMar w:top="1587" w:right="1134" w:bottom="1361" w:left="1134" w:header="720" w:footer="720" w:gutter="0"/>
          <w:pgNumType w:start="1"/>
          <w:cols w:space="720" w:num="1"/>
        </w:sectPr>
      </w:pPr>
      <w:r>
        <w:fldChar w:fldCharType="end"/>
      </w:r>
    </w:p>
    <w:p>
      <w:pPr>
        <w:jc w:val="center"/>
        <w:outlineLvl w:val="1"/>
      </w:pPr>
      <w:bookmarkStart w:id="0" w:name="_Toc_2_2_0000000001"/>
      <w:r>
        <w:rPr>
          <w:rFonts w:ascii="方正小标宋_GBK" w:hAnsi="方正小标宋_GBK" w:eastAsia="方正小标宋_GBK" w:cs="方正小标宋_GBK"/>
          <w:color w:val="000000"/>
          <w:sz w:val="36"/>
        </w:rPr>
        <w:t>部门预算收支总表</w:t>
      </w:r>
      <w:bookmarkEnd w:id="0"/>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4535"/>
        <w:gridCol w:w="2126"/>
        <w:gridCol w:w="4535"/>
        <w:gridCol w:w="2126"/>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385" w:type="dxa"/>
            <w:gridSpan w:val="2"/>
            <w:tcBorders>
              <w:top w:val="single" w:color="FFFFFF" w:sz="6" w:space="0"/>
              <w:left w:val="single" w:color="FFFFFF" w:sz="6" w:space="0"/>
              <w:right w:val="single" w:color="FFFFFF" w:sz="6" w:space="0"/>
            </w:tcBorders>
            <w:vAlign w:val="center"/>
          </w:tcPr>
          <w:p>
            <w:pPr>
              <w:pStyle w:val="10"/>
            </w:pPr>
            <w:r>
              <w:t>713无极县妇女联合会</w:t>
            </w:r>
          </w:p>
        </w:tc>
        <w:tc>
          <w:tcPr>
            <w:tcW w:w="2126" w:type="dxa"/>
            <w:tcBorders>
              <w:top w:val="single" w:color="FFFFFF" w:sz="6" w:space="0"/>
              <w:left w:val="single" w:color="FFFFFF" w:sz="6" w:space="0"/>
              <w:right w:val="single" w:color="FFFFFF" w:sz="6" w:space="0"/>
            </w:tcBorders>
            <w:vAlign w:val="center"/>
          </w:tcPr>
          <w:p>
            <w:pPr>
              <w:pStyle w:val="9"/>
            </w:pPr>
            <w:r>
              <w:t>预算年度：2025</w:t>
            </w:r>
          </w:p>
        </w:tc>
        <w:tc>
          <w:tcPr>
            <w:tcW w:w="6661"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6661" w:type="dxa"/>
            <w:gridSpan w:val="2"/>
            <w:vAlign w:val="center"/>
          </w:tcPr>
          <w:p>
            <w:pPr>
              <w:pStyle w:val="11"/>
            </w:pPr>
            <w:r>
              <w:t>收入</w:t>
            </w:r>
          </w:p>
        </w:tc>
        <w:tc>
          <w:tcPr>
            <w:tcW w:w="6661" w:type="dxa"/>
            <w:gridSpan w:val="2"/>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4535" w:type="dxa"/>
            <w:vAlign w:val="center"/>
          </w:tcPr>
          <w:p>
            <w:pPr>
              <w:pStyle w:val="11"/>
            </w:pPr>
            <w:r>
              <w:t>项  目</w:t>
            </w:r>
          </w:p>
        </w:tc>
        <w:tc>
          <w:tcPr>
            <w:tcW w:w="2126" w:type="dxa"/>
            <w:vAlign w:val="center"/>
          </w:tcPr>
          <w:p>
            <w:pPr>
              <w:pStyle w:val="11"/>
            </w:pPr>
            <w:r>
              <w:t>预算数</w:t>
            </w:r>
          </w:p>
        </w:tc>
        <w:tc>
          <w:tcPr>
            <w:tcW w:w="4535" w:type="dxa"/>
            <w:vAlign w:val="center"/>
          </w:tcPr>
          <w:p>
            <w:pPr>
              <w:pStyle w:val="11"/>
            </w:pPr>
            <w:r>
              <w:t>项  目</w:t>
            </w:r>
          </w:p>
        </w:tc>
        <w:tc>
          <w:tcPr>
            <w:tcW w:w="2126" w:type="dxa"/>
            <w:vAlign w:val="center"/>
          </w:tcPr>
          <w:p>
            <w:pPr>
              <w:pStyle w:val="11"/>
            </w:pPr>
            <w:r>
              <w:t>预算数</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4535" w:type="dxa"/>
            <w:vAlign w:val="center"/>
          </w:tcPr>
          <w:p>
            <w:pPr>
              <w:pStyle w:val="11"/>
            </w:pPr>
            <w:r>
              <w:t>1</w:t>
            </w:r>
          </w:p>
        </w:tc>
        <w:tc>
          <w:tcPr>
            <w:tcW w:w="2126" w:type="dxa"/>
            <w:vAlign w:val="center"/>
          </w:tcPr>
          <w:p>
            <w:pPr>
              <w:pStyle w:val="11"/>
            </w:pPr>
            <w:r>
              <w:t>2</w:t>
            </w:r>
          </w:p>
        </w:tc>
        <w:tc>
          <w:tcPr>
            <w:tcW w:w="4535" w:type="dxa"/>
            <w:vAlign w:val="center"/>
          </w:tcPr>
          <w:p>
            <w:pPr>
              <w:pStyle w:val="11"/>
            </w:pPr>
            <w:r>
              <w:t>3</w:t>
            </w:r>
          </w:p>
        </w:tc>
        <w:tc>
          <w:tcPr>
            <w:tcW w:w="2126" w:type="dxa"/>
            <w:vAlign w:val="center"/>
          </w:tcPr>
          <w:p>
            <w:pPr>
              <w:pStyle w:val="11"/>
            </w:pPr>
            <w:r>
              <w:t>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4535" w:type="dxa"/>
            <w:vAlign w:val="center"/>
          </w:tcPr>
          <w:p>
            <w:pPr>
              <w:pStyle w:val="13"/>
            </w:pPr>
            <w:r>
              <w:t>一、一般公共预算拨款收入</w:t>
            </w:r>
          </w:p>
        </w:tc>
        <w:tc>
          <w:tcPr>
            <w:tcW w:w="2126" w:type="dxa"/>
            <w:vAlign w:val="center"/>
          </w:tcPr>
          <w:p>
            <w:pPr>
              <w:pStyle w:val="12"/>
            </w:pPr>
            <w:r>
              <w:t>65.80</w:t>
            </w:r>
          </w:p>
        </w:tc>
        <w:tc>
          <w:tcPr>
            <w:tcW w:w="4535" w:type="dxa"/>
            <w:vAlign w:val="center"/>
          </w:tcPr>
          <w:p>
            <w:pPr>
              <w:pStyle w:val="13"/>
            </w:pPr>
            <w:r>
              <w:t>一、一般公共服务支出</w:t>
            </w:r>
          </w:p>
        </w:tc>
        <w:tc>
          <w:tcPr>
            <w:tcW w:w="2126" w:type="dxa"/>
            <w:vAlign w:val="center"/>
          </w:tcPr>
          <w:p>
            <w:pPr>
              <w:pStyle w:val="12"/>
            </w:pPr>
            <w:r>
              <w:t>55.10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4535" w:type="dxa"/>
            <w:vAlign w:val="center"/>
          </w:tcPr>
          <w:p>
            <w:pPr>
              <w:pStyle w:val="13"/>
            </w:pPr>
            <w:r>
              <w:t>二、政府性基金预算拨款收入</w:t>
            </w:r>
          </w:p>
        </w:tc>
        <w:tc>
          <w:tcPr>
            <w:tcW w:w="2126" w:type="dxa"/>
            <w:vAlign w:val="center"/>
          </w:tcPr>
          <w:p>
            <w:pPr>
              <w:pStyle w:val="12"/>
            </w:pPr>
          </w:p>
        </w:tc>
        <w:tc>
          <w:tcPr>
            <w:tcW w:w="4535" w:type="dxa"/>
            <w:vAlign w:val="center"/>
          </w:tcPr>
          <w:p>
            <w:pPr>
              <w:pStyle w:val="13"/>
            </w:pPr>
            <w:r>
              <w:t>二、外交支出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4535" w:type="dxa"/>
            <w:vAlign w:val="center"/>
          </w:tcPr>
          <w:p>
            <w:pPr>
              <w:pStyle w:val="13"/>
            </w:pPr>
            <w:r>
              <w:t>三、国有资本经营预算拨款收入</w:t>
            </w:r>
          </w:p>
        </w:tc>
        <w:tc>
          <w:tcPr>
            <w:tcW w:w="2126" w:type="dxa"/>
            <w:vAlign w:val="center"/>
          </w:tcPr>
          <w:p>
            <w:pPr>
              <w:pStyle w:val="12"/>
            </w:pPr>
          </w:p>
        </w:tc>
        <w:tc>
          <w:tcPr>
            <w:tcW w:w="4535" w:type="dxa"/>
            <w:vAlign w:val="center"/>
          </w:tcPr>
          <w:p>
            <w:pPr>
              <w:pStyle w:val="13"/>
            </w:pPr>
            <w:r>
              <w:t>三、国防支出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4535" w:type="dxa"/>
            <w:vAlign w:val="center"/>
          </w:tcPr>
          <w:p>
            <w:pPr>
              <w:pStyle w:val="13"/>
            </w:pPr>
            <w:r>
              <w:t>四、财政专户管理资金收入</w:t>
            </w:r>
          </w:p>
        </w:tc>
        <w:tc>
          <w:tcPr>
            <w:tcW w:w="2126" w:type="dxa"/>
            <w:vAlign w:val="center"/>
          </w:tcPr>
          <w:p>
            <w:pPr>
              <w:pStyle w:val="12"/>
            </w:pPr>
          </w:p>
        </w:tc>
        <w:tc>
          <w:tcPr>
            <w:tcW w:w="4535" w:type="dxa"/>
            <w:vAlign w:val="center"/>
          </w:tcPr>
          <w:p>
            <w:pPr>
              <w:pStyle w:val="13"/>
            </w:pPr>
            <w:r>
              <w:t>四、公共安全支出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4535" w:type="dxa"/>
            <w:vAlign w:val="center"/>
          </w:tcPr>
          <w:p>
            <w:pPr>
              <w:pStyle w:val="13"/>
            </w:pPr>
            <w:r>
              <w:t>五、单位资金</w:t>
            </w:r>
          </w:p>
        </w:tc>
        <w:tc>
          <w:tcPr>
            <w:tcW w:w="2126" w:type="dxa"/>
            <w:vAlign w:val="center"/>
          </w:tcPr>
          <w:p>
            <w:pPr>
              <w:pStyle w:val="12"/>
            </w:pPr>
          </w:p>
        </w:tc>
        <w:tc>
          <w:tcPr>
            <w:tcW w:w="4535" w:type="dxa"/>
            <w:vAlign w:val="center"/>
          </w:tcPr>
          <w:p>
            <w:pPr>
              <w:pStyle w:val="13"/>
            </w:pPr>
            <w:r>
              <w:t>五、教育支出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六、科学技术支出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七、文化旅游体育与传媒支出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八、社会保障和就业支出</w:t>
            </w:r>
          </w:p>
        </w:tc>
        <w:tc>
          <w:tcPr>
            <w:tcW w:w="2126" w:type="dxa"/>
            <w:vAlign w:val="center"/>
          </w:tcPr>
          <w:p>
            <w:pPr>
              <w:pStyle w:val="12"/>
            </w:pPr>
            <w:r>
              <w:t>8.20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九、社会保险基金支出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十、卫生健康支出</w:t>
            </w:r>
          </w:p>
        </w:tc>
        <w:tc>
          <w:tcPr>
            <w:tcW w:w="2126" w:type="dxa"/>
            <w:vAlign w:val="center"/>
          </w:tcPr>
          <w:p>
            <w:pPr>
              <w:pStyle w:val="12"/>
            </w:pPr>
            <w:r>
              <w:t>2.50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十一、节能环保支出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十二、城乡社区支出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十三、农林水支出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十四、交通运输支出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十五、资源勘探工业信息等支出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十六、商业服务业等支出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十七、金融支出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十八、援助其他地区支出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十九、自然资源海洋气象等支出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二十、住房保障支出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二十一、粮油物资储备支出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二十二、国有资本经营预算支出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二十三、灾害防治及应急管理支出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二十四、预备费</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二十五、其他支出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二十六、转移性支出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二十七、债务还本支出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二十八、债务付息支出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二十九、债务发行费用支出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三十、抗疫特别国债安排的支出</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4535" w:type="dxa"/>
            <w:vAlign w:val="center"/>
          </w:tcPr>
          <w:p>
            <w:pPr>
              <w:pStyle w:val="13"/>
            </w:pPr>
          </w:p>
        </w:tc>
        <w:tc>
          <w:tcPr>
            <w:tcW w:w="2126" w:type="dxa"/>
            <w:vAlign w:val="center"/>
          </w:tcPr>
          <w:p>
            <w:pPr>
              <w:pStyle w:val="12"/>
            </w:pPr>
          </w:p>
        </w:tc>
        <w:tc>
          <w:tcPr>
            <w:tcW w:w="4535" w:type="dxa"/>
            <w:vAlign w:val="center"/>
          </w:tcPr>
          <w:p>
            <w:pPr>
              <w:pStyle w:val="13"/>
            </w:pPr>
            <w:r>
              <w:t>三十一、人行科目</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4535" w:type="dxa"/>
            <w:vAlign w:val="center"/>
          </w:tcPr>
          <w:p>
            <w:pPr>
              <w:pStyle w:val="15"/>
            </w:pPr>
            <w:r>
              <w:t>本年收入合计</w:t>
            </w:r>
          </w:p>
        </w:tc>
        <w:tc>
          <w:tcPr>
            <w:tcW w:w="2126" w:type="dxa"/>
            <w:vAlign w:val="center"/>
          </w:tcPr>
          <w:p>
            <w:pPr>
              <w:pStyle w:val="16"/>
            </w:pPr>
            <w:r>
              <w:t>65.80</w:t>
            </w:r>
          </w:p>
        </w:tc>
        <w:tc>
          <w:tcPr>
            <w:tcW w:w="4535" w:type="dxa"/>
            <w:vAlign w:val="center"/>
          </w:tcPr>
          <w:p>
            <w:pPr>
              <w:pStyle w:val="15"/>
            </w:pPr>
            <w:r>
              <w:t>本年支出合计</w:t>
            </w:r>
          </w:p>
        </w:tc>
        <w:tc>
          <w:tcPr>
            <w:tcW w:w="2126" w:type="dxa"/>
            <w:vAlign w:val="center"/>
          </w:tcPr>
          <w:p>
            <w:pPr>
              <w:pStyle w:val="16"/>
            </w:pPr>
            <w:r>
              <w:t>65.80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4535" w:type="dxa"/>
            <w:vAlign w:val="center"/>
          </w:tcPr>
          <w:p>
            <w:pPr>
              <w:pStyle w:val="13"/>
            </w:pPr>
            <w:r>
              <w:t>上年结转结余</w:t>
            </w:r>
          </w:p>
        </w:tc>
        <w:tc>
          <w:tcPr>
            <w:tcW w:w="2126" w:type="dxa"/>
            <w:vAlign w:val="center"/>
          </w:tcPr>
          <w:p>
            <w:pPr>
              <w:pStyle w:val="12"/>
            </w:pPr>
          </w:p>
        </w:tc>
        <w:tc>
          <w:tcPr>
            <w:tcW w:w="4535" w:type="dxa"/>
            <w:vAlign w:val="center"/>
          </w:tcPr>
          <w:p>
            <w:pPr>
              <w:pStyle w:val="13"/>
            </w:pPr>
            <w:r>
              <w:t>年终结转结余</w:t>
            </w:r>
          </w:p>
        </w:tc>
        <w:tc>
          <w:tcPr>
            <w:tcW w:w="2126"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4535" w:type="dxa"/>
            <w:vAlign w:val="center"/>
          </w:tcPr>
          <w:p>
            <w:pPr>
              <w:pStyle w:val="15"/>
            </w:pPr>
            <w:r>
              <w:t>收入总计</w:t>
            </w:r>
          </w:p>
        </w:tc>
        <w:tc>
          <w:tcPr>
            <w:tcW w:w="2126" w:type="dxa"/>
            <w:vAlign w:val="center"/>
          </w:tcPr>
          <w:p>
            <w:pPr>
              <w:pStyle w:val="16"/>
            </w:pPr>
            <w:r>
              <w:t>65.80</w:t>
            </w:r>
          </w:p>
        </w:tc>
        <w:tc>
          <w:tcPr>
            <w:tcW w:w="4535" w:type="dxa"/>
            <w:vAlign w:val="center"/>
          </w:tcPr>
          <w:p>
            <w:pPr>
              <w:pStyle w:val="15"/>
            </w:pPr>
            <w:r>
              <w:t>支出总计</w:t>
            </w:r>
          </w:p>
        </w:tc>
        <w:tc>
          <w:tcPr>
            <w:tcW w:w="2126" w:type="dxa"/>
            <w:vAlign w:val="center"/>
          </w:tcPr>
          <w:p>
            <w:pPr>
              <w:pStyle w:val="16"/>
            </w:pPr>
            <w:r>
              <w:t>65.80</w:t>
            </w:r>
          </w:p>
        </w:tc>
      </w:tr>
    </w:tbl>
    <w:p>
      <w:pPr>
        <w:sectPr>
          <w:footerReference r:id="rId3" w:type="default"/>
          <w:footerReference r:id="rId4" w:type="even"/>
          <w:pgSz w:w="16840" w:h="11900" w:orient="landscape"/>
          <w:pgMar w:top="1361" w:right="1020" w:bottom="1134" w:left="1020" w:header="720" w:footer="720" w:gutter="0"/>
          <w:pgNumType w:start="1"/>
          <w:cols w:space="720" w:num="1"/>
        </w:sectPr>
      </w:pPr>
    </w:p>
    <w:p>
      <w:pPr>
        <w:jc w:val="center"/>
        <w:outlineLvl w:val="1"/>
      </w:pPr>
      <w:bookmarkStart w:id="1" w:name="_Toc_2_2_0000000002"/>
      <w:r>
        <w:rPr>
          <w:rFonts w:ascii="方正小标宋_GBK" w:hAnsi="方正小标宋_GBK" w:eastAsia="方正小标宋_GBK" w:cs="方正小标宋_GBK"/>
          <w:color w:val="000000"/>
          <w:sz w:val="36"/>
        </w:rPr>
        <w:t>部门预算收入总表</w:t>
      </w:r>
      <w:bookmarkEnd w:id="1"/>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680"/>
        <w:gridCol w:w="992"/>
        <w:gridCol w:w="1559"/>
        <w:gridCol w:w="1134"/>
        <w:gridCol w:w="1134"/>
        <w:gridCol w:w="1134"/>
        <w:gridCol w:w="1134"/>
        <w:gridCol w:w="1134"/>
        <w:gridCol w:w="1134"/>
        <w:gridCol w:w="1134"/>
        <w:gridCol w:w="1134"/>
        <w:gridCol w:w="1134"/>
        <w:gridCol w:w="113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499" w:type="dxa"/>
            <w:gridSpan w:val="5"/>
            <w:tcBorders>
              <w:top w:val="single" w:color="FFFFFF" w:sz="6" w:space="0"/>
              <w:left w:val="single" w:color="FFFFFF" w:sz="6" w:space="0"/>
              <w:right w:val="single" w:color="FFFFFF" w:sz="6" w:space="0"/>
            </w:tcBorders>
            <w:vAlign w:val="center"/>
          </w:tcPr>
          <w:p>
            <w:pPr>
              <w:pStyle w:val="10"/>
            </w:pPr>
            <w:r>
              <w:t>713无极县妇女联合会</w:t>
            </w:r>
          </w:p>
        </w:tc>
        <w:tc>
          <w:tcPr>
            <w:tcW w:w="3402" w:type="dxa"/>
            <w:gridSpan w:val="3"/>
            <w:tcBorders>
              <w:top w:val="single" w:color="FFFFFF" w:sz="6" w:space="0"/>
              <w:left w:val="single" w:color="FFFFFF" w:sz="6" w:space="0"/>
              <w:right w:val="single" w:color="FFFFFF" w:sz="6" w:space="0"/>
            </w:tcBorders>
            <w:vAlign w:val="center"/>
          </w:tcPr>
          <w:p>
            <w:pPr>
              <w:pStyle w:val="9"/>
            </w:pPr>
            <w:r>
              <w:t>预算年度：2025</w:t>
            </w:r>
          </w:p>
        </w:tc>
        <w:tc>
          <w:tcPr>
            <w:tcW w:w="5670" w:type="dxa"/>
            <w:gridSpan w:val="5"/>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restart"/>
            <w:vAlign w:val="center"/>
          </w:tcPr>
          <w:p>
            <w:pPr>
              <w:pStyle w:val="11"/>
            </w:pPr>
            <w:r>
              <w:t>序号</w:t>
            </w:r>
          </w:p>
        </w:tc>
        <w:tc>
          <w:tcPr>
            <w:tcW w:w="2551" w:type="dxa"/>
            <w:gridSpan w:val="2"/>
            <w:vAlign w:val="center"/>
          </w:tcPr>
          <w:p>
            <w:pPr>
              <w:pStyle w:val="11"/>
            </w:pPr>
            <w:r>
              <w:t>功能分类科目</w:t>
            </w:r>
          </w:p>
        </w:tc>
        <w:tc>
          <w:tcPr>
            <w:tcW w:w="1134" w:type="dxa"/>
            <w:vMerge w:val="restart"/>
            <w:vAlign w:val="center"/>
          </w:tcPr>
          <w:p>
            <w:pPr>
              <w:pStyle w:val="11"/>
            </w:pPr>
            <w:r>
              <w:t>合计</w:t>
            </w:r>
          </w:p>
        </w:tc>
        <w:tc>
          <w:tcPr>
            <w:tcW w:w="9072" w:type="dxa"/>
            <w:gridSpan w:val="8"/>
            <w:vAlign w:val="center"/>
          </w:tcPr>
          <w:p>
            <w:pPr>
              <w:pStyle w:val="11"/>
            </w:pPr>
            <w:r>
              <w:t>本年收入</w:t>
            </w:r>
          </w:p>
        </w:tc>
        <w:tc>
          <w:tcPr>
            <w:tcW w:w="1134" w:type="dxa"/>
            <w:vMerge w:val="restart"/>
            <w:vAlign w:val="center"/>
          </w:tcPr>
          <w:p>
            <w:pPr>
              <w:pStyle w:val="11"/>
            </w:pPr>
            <w:r>
              <w:t>上年结转</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Merge w:val="continue"/>
          </w:tcPr>
          <w:p/>
        </w:tc>
        <w:tc>
          <w:tcPr>
            <w:tcW w:w="992" w:type="dxa"/>
            <w:vAlign w:val="center"/>
          </w:tcPr>
          <w:p>
            <w:pPr>
              <w:pStyle w:val="11"/>
            </w:pPr>
            <w:r>
              <w:t>科目    编码</w:t>
            </w:r>
          </w:p>
        </w:tc>
        <w:tc>
          <w:tcPr>
            <w:tcW w:w="1559" w:type="dxa"/>
            <w:vAlign w:val="center"/>
          </w:tcPr>
          <w:p>
            <w:pPr>
              <w:pStyle w:val="11"/>
            </w:pPr>
            <w:r>
              <w:t>科目名称</w:t>
            </w:r>
          </w:p>
        </w:tc>
        <w:tc>
          <w:tcPr>
            <w:tcW w:w="1134" w:type="dxa"/>
            <w:vMerge w:val="continue"/>
          </w:tcPr>
          <w:p/>
        </w:tc>
        <w:tc>
          <w:tcPr>
            <w:tcW w:w="1134" w:type="dxa"/>
            <w:vAlign w:val="center"/>
          </w:tcPr>
          <w:p>
            <w:pPr>
              <w:pStyle w:val="11"/>
            </w:pPr>
            <w:r>
              <w:t>小计</w:t>
            </w:r>
          </w:p>
        </w:tc>
        <w:tc>
          <w:tcPr>
            <w:tcW w:w="1134" w:type="dxa"/>
            <w:vAlign w:val="center"/>
          </w:tcPr>
          <w:p>
            <w:pPr>
              <w:pStyle w:val="11"/>
            </w:pPr>
            <w:r>
              <w:t>财政拨款 收入</w:t>
            </w:r>
          </w:p>
        </w:tc>
        <w:tc>
          <w:tcPr>
            <w:tcW w:w="1134" w:type="dxa"/>
            <w:vAlign w:val="center"/>
          </w:tcPr>
          <w:p>
            <w:pPr>
              <w:pStyle w:val="11"/>
            </w:pPr>
            <w:r>
              <w:t>财政专户 收入</w:t>
            </w:r>
          </w:p>
        </w:tc>
        <w:tc>
          <w:tcPr>
            <w:tcW w:w="1134" w:type="dxa"/>
            <w:vAlign w:val="center"/>
          </w:tcPr>
          <w:p>
            <w:pPr>
              <w:pStyle w:val="11"/>
            </w:pPr>
            <w:r>
              <w:t>事业收入</w:t>
            </w:r>
          </w:p>
        </w:tc>
        <w:tc>
          <w:tcPr>
            <w:tcW w:w="1134" w:type="dxa"/>
            <w:vAlign w:val="center"/>
          </w:tcPr>
          <w:p>
            <w:pPr>
              <w:pStyle w:val="11"/>
            </w:pPr>
            <w:r>
              <w:t>经营收入</w:t>
            </w:r>
          </w:p>
        </w:tc>
        <w:tc>
          <w:tcPr>
            <w:tcW w:w="1134" w:type="dxa"/>
            <w:vAlign w:val="center"/>
          </w:tcPr>
          <w:p>
            <w:pPr>
              <w:pStyle w:val="11"/>
            </w:pPr>
            <w:r>
              <w:t>上级补助收入</w:t>
            </w:r>
          </w:p>
        </w:tc>
        <w:tc>
          <w:tcPr>
            <w:tcW w:w="1134" w:type="dxa"/>
            <w:vAlign w:val="center"/>
          </w:tcPr>
          <w:p>
            <w:pPr>
              <w:pStyle w:val="11"/>
            </w:pPr>
            <w:r>
              <w:t>附属单位上缴收入</w:t>
            </w:r>
          </w:p>
        </w:tc>
        <w:tc>
          <w:tcPr>
            <w:tcW w:w="1134" w:type="dxa"/>
            <w:vAlign w:val="center"/>
          </w:tcPr>
          <w:p>
            <w:pPr>
              <w:pStyle w:val="11"/>
            </w:pPr>
            <w:r>
              <w:t>其他收入</w:t>
            </w:r>
          </w:p>
        </w:tc>
        <w:tc>
          <w:tcPr>
            <w:tcW w:w="113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80" w:type="dxa"/>
            <w:vAlign w:val="center"/>
          </w:tcPr>
          <w:p>
            <w:pPr>
              <w:pStyle w:val="11"/>
            </w:pPr>
            <w:r>
              <w:t>栏次</w:t>
            </w:r>
          </w:p>
        </w:tc>
        <w:tc>
          <w:tcPr>
            <w:tcW w:w="992" w:type="dxa"/>
            <w:vAlign w:val="center"/>
          </w:tcPr>
          <w:p>
            <w:pPr>
              <w:pStyle w:val="11"/>
            </w:pPr>
            <w:r>
              <w:t>1</w:t>
            </w:r>
          </w:p>
        </w:tc>
        <w:tc>
          <w:tcPr>
            <w:tcW w:w="1559" w:type="dxa"/>
            <w:vAlign w:val="center"/>
          </w:tcPr>
          <w:p>
            <w:pPr>
              <w:pStyle w:val="11"/>
            </w:pPr>
            <w:r>
              <w:t>2</w:t>
            </w:r>
          </w:p>
        </w:tc>
        <w:tc>
          <w:tcPr>
            <w:tcW w:w="1134" w:type="dxa"/>
            <w:vAlign w:val="center"/>
          </w:tcPr>
          <w:p>
            <w:pPr>
              <w:pStyle w:val="11"/>
            </w:pPr>
            <w:r>
              <w:t>3</w:t>
            </w:r>
          </w:p>
        </w:tc>
        <w:tc>
          <w:tcPr>
            <w:tcW w:w="1134" w:type="dxa"/>
            <w:vAlign w:val="center"/>
          </w:tcPr>
          <w:p>
            <w:pPr>
              <w:pStyle w:val="11"/>
            </w:pPr>
            <w:r>
              <w:t>4</w:t>
            </w:r>
          </w:p>
        </w:tc>
        <w:tc>
          <w:tcPr>
            <w:tcW w:w="1134" w:type="dxa"/>
            <w:vAlign w:val="center"/>
          </w:tcPr>
          <w:p>
            <w:pPr>
              <w:pStyle w:val="11"/>
            </w:pPr>
            <w:r>
              <w:t>5</w:t>
            </w:r>
          </w:p>
        </w:tc>
        <w:tc>
          <w:tcPr>
            <w:tcW w:w="1134" w:type="dxa"/>
            <w:vAlign w:val="center"/>
          </w:tcPr>
          <w:p>
            <w:pPr>
              <w:pStyle w:val="11"/>
            </w:pPr>
            <w:r>
              <w:t>6</w:t>
            </w:r>
          </w:p>
        </w:tc>
        <w:tc>
          <w:tcPr>
            <w:tcW w:w="1134" w:type="dxa"/>
            <w:vAlign w:val="center"/>
          </w:tcPr>
          <w:p>
            <w:pPr>
              <w:pStyle w:val="11"/>
            </w:pPr>
            <w:r>
              <w:t>7</w:t>
            </w:r>
          </w:p>
        </w:tc>
        <w:tc>
          <w:tcPr>
            <w:tcW w:w="1134" w:type="dxa"/>
            <w:vAlign w:val="center"/>
          </w:tcPr>
          <w:p>
            <w:pPr>
              <w:pStyle w:val="11"/>
            </w:pPr>
            <w:r>
              <w:t>8</w:t>
            </w:r>
          </w:p>
        </w:tc>
        <w:tc>
          <w:tcPr>
            <w:tcW w:w="1134" w:type="dxa"/>
            <w:vAlign w:val="center"/>
          </w:tcPr>
          <w:p>
            <w:pPr>
              <w:pStyle w:val="11"/>
            </w:pPr>
            <w:r>
              <w:t>9</w:t>
            </w:r>
          </w:p>
        </w:tc>
        <w:tc>
          <w:tcPr>
            <w:tcW w:w="1134" w:type="dxa"/>
            <w:vAlign w:val="center"/>
          </w:tcPr>
          <w:p>
            <w:pPr>
              <w:pStyle w:val="11"/>
            </w:pPr>
            <w:r>
              <w:t>10</w:t>
            </w:r>
          </w:p>
        </w:tc>
        <w:tc>
          <w:tcPr>
            <w:tcW w:w="1134" w:type="dxa"/>
            <w:vAlign w:val="center"/>
          </w:tcPr>
          <w:p>
            <w:pPr>
              <w:pStyle w:val="11"/>
            </w:pPr>
            <w:r>
              <w:t>11</w:t>
            </w:r>
          </w:p>
        </w:tc>
        <w:tc>
          <w:tcPr>
            <w:tcW w:w="1134" w:type="dxa"/>
            <w:vAlign w:val="center"/>
          </w:tcPr>
          <w:p>
            <w:pPr>
              <w:pStyle w:val="11"/>
            </w:pPr>
            <w:r>
              <w:t>12</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w:t>
            </w:r>
          </w:p>
        </w:tc>
        <w:tc>
          <w:tcPr>
            <w:tcW w:w="992" w:type="dxa"/>
            <w:vAlign w:val="center"/>
          </w:tcPr>
          <w:p>
            <w:pPr>
              <w:pStyle w:val="17"/>
            </w:pPr>
          </w:p>
        </w:tc>
        <w:tc>
          <w:tcPr>
            <w:tcW w:w="1559" w:type="dxa"/>
            <w:vAlign w:val="center"/>
          </w:tcPr>
          <w:p>
            <w:pPr>
              <w:pStyle w:val="15"/>
            </w:pPr>
            <w:r>
              <w:t>合计</w:t>
            </w:r>
          </w:p>
        </w:tc>
        <w:tc>
          <w:tcPr>
            <w:tcW w:w="1134" w:type="dxa"/>
            <w:vAlign w:val="center"/>
          </w:tcPr>
          <w:p>
            <w:pPr>
              <w:pStyle w:val="16"/>
            </w:pPr>
            <w:r>
              <w:t>65.80</w:t>
            </w:r>
          </w:p>
        </w:tc>
        <w:tc>
          <w:tcPr>
            <w:tcW w:w="1134" w:type="dxa"/>
            <w:vAlign w:val="center"/>
          </w:tcPr>
          <w:p>
            <w:pPr>
              <w:pStyle w:val="16"/>
            </w:pPr>
            <w:r>
              <w:t>65.80</w:t>
            </w:r>
          </w:p>
        </w:tc>
        <w:tc>
          <w:tcPr>
            <w:tcW w:w="1134" w:type="dxa"/>
            <w:vAlign w:val="center"/>
          </w:tcPr>
          <w:p>
            <w:pPr>
              <w:pStyle w:val="16"/>
            </w:pPr>
            <w:r>
              <w:t>65.80</w:t>
            </w: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c>
          <w:tcPr>
            <w:tcW w:w="113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2</w:t>
            </w:r>
          </w:p>
        </w:tc>
        <w:tc>
          <w:tcPr>
            <w:tcW w:w="992" w:type="dxa"/>
            <w:vAlign w:val="center"/>
          </w:tcPr>
          <w:p>
            <w:pPr>
              <w:pStyle w:val="13"/>
            </w:pPr>
            <w:r>
              <w:t>201</w:t>
            </w:r>
          </w:p>
        </w:tc>
        <w:tc>
          <w:tcPr>
            <w:tcW w:w="1559" w:type="dxa"/>
            <w:vAlign w:val="center"/>
          </w:tcPr>
          <w:p>
            <w:pPr>
              <w:pStyle w:val="13"/>
            </w:pPr>
            <w:r>
              <w:t>一般公共服务支出</w:t>
            </w:r>
          </w:p>
        </w:tc>
        <w:tc>
          <w:tcPr>
            <w:tcW w:w="1134" w:type="dxa"/>
            <w:vAlign w:val="center"/>
          </w:tcPr>
          <w:p>
            <w:pPr>
              <w:pStyle w:val="12"/>
            </w:pPr>
            <w:r>
              <w:t>55.10</w:t>
            </w:r>
          </w:p>
        </w:tc>
        <w:tc>
          <w:tcPr>
            <w:tcW w:w="1134" w:type="dxa"/>
            <w:vAlign w:val="center"/>
          </w:tcPr>
          <w:p>
            <w:pPr>
              <w:pStyle w:val="12"/>
            </w:pPr>
            <w:r>
              <w:t>55.10</w:t>
            </w:r>
          </w:p>
        </w:tc>
        <w:tc>
          <w:tcPr>
            <w:tcW w:w="1134" w:type="dxa"/>
            <w:vAlign w:val="center"/>
          </w:tcPr>
          <w:p>
            <w:pPr>
              <w:pStyle w:val="12"/>
            </w:pPr>
            <w:r>
              <w:t>55.10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3</w:t>
            </w:r>
          </w:p>
        </w:tc>
        <w:tc>
          <w:tcPr>
            <w:tcW w:w="992" w:type="dxa"/>
            <w:vAlign w:val="center"/>
          </w:tcPr>
          <w:p>
            <w:pPr>
              <w:pStyle w:val="13"/>
            </w:pPr>
            <w:r>
              <w:t>20129</w:t>
            </w:r>
          </w:p>
        </w:tc>
        <w:tc>
          <w:tcPr>
            <w:tcW w:w="1559" w:type="dxa"/>
            <w:vAlign w:val="center"/>
          </w:tcPr>
          <w:p>
            <w:pPr>
              <w:pStyle w:val="13"/>
            </w:pPr>
            <w:r>
              <w:t>群众团体事务</w:t>
            </w:r>
          </w:p>
        </w:tc>
        <w:tc>
          <w:tcPr>
            <w:tcW w:w="1134" w:type="dxa"/>
            <w:vAlign w:val="center"/>
          </w:tcPr>
          <w:p>
            <w:pPr>
              <w:pStyle w:val="12"/>
            </w:pPr>
            <w:r>
              <w:t>55.10</w:t>
            </w:r>
          </w:p>
        </w:tc>
        <w:tc>
          <w:tcPr>
            <w:tcW w:w="1134" w:type="dxa"/>
            <w:vAlign w:val="center"/>
          </w:tcPr>
          <w:p>
            <w:pPr>
              <w:pStyle w:val="12"/>
            </w:pPr>
            <w:r>
              <w:t>55.10</w:t>
            </w:r>
          </w:p>
        </w:tc>
        <w:tc>
          <w:tcPr>
            <w:tcW w:w="1134" w:type="dxa"/>
            <w:vAlign w:val="center"/>
          </w:tcPr>
          <w:p>
            <w:pPr>
              <w:pStyle w:val="12"/>
            </w:pPr>
            <w:r>
              <w:t>55.10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4</w:t>
            </w:r>
          </w:p>
        </w:tc>
        <w:tc>
          <w:tcPr>
            <w:tcW w:w="992" w:type="dxa"/>
            <w:vAlign w:val="center"/>
          </w:tcPr>
          <w:p>
            <w:pPr>
              <w:pStyle w:val="13"/>
            </w:pPr>
            <w:r>
              <w:t>2012901</w:t>
            </w:r>
          </w:p>
        </w:tc>
        <w:tc>
          <w:tcPr>
            <w:tcW w:w="1559" w:type="dxa"/>
            <w:vAlign w:val="center"/>
          </w:tcPr>
          <w:p>
            <w:pPr>
              <w:pStyle w:val="13"/>
            </w:pPr>
            <w:r>
              <w:t>行政运行</w:t>
            </w:r>
          </w:p>
        </w:tc>
        <w:tc>
          <w:tcPr>
            <w:tcW w:w="1134" w:type="dxa"/>
            <w:vAlign w:val="center"/>
          </w:tcPr>
          <w:p>
            <w:pPr>
              <w:pStyle w:val="12"/>
            </w:pPr>
            <w:r>
              <w:t>55.10</w:t>
            </w:r>
          </w:p>
        </w:tc>
        <w:tc>
          <w:tcPr>
            <w:tcW w:w="1134" w:type="dxa"/>
            <w:vAlign w:val="center"/>
          </w:tcPr>
          <w:p>
            <w:pPr>
              <w:pStyle w:val="12"/>
            </w:pPr>
            <w:r>
              <w:t>55.10</w:t>
            </w:r>
          </w:p>
        </w:tc>
        <w:tc>
          <w:tcPr>
            <w:tcW w:w="1134" w:type="dxa"/>
            <w:vAlign w:val="center"/>
          </w:tcPr>
          <w:p>
            <w:pPr>
              <w:pStyle w:val="12"/>
            </w:pPr>
            <w:r>
              <w:t>55.10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5</w:t>
            </w:r>
          </w:p>
        </w:tc>
        <w:tc>
          <w:tcPr>
            <w:tcW w:w="992" w:type="dxa"/>
            <w:vAlign w:val="center"/>
          </w:tcPr>
          <w:p>
            <w:pPr>
              <w:pStyle w:val="13"/>
            </w:pPr>
            <w:r>
              <w:t>208</w:t>
            </w:r>
          </w:p>
        </w:tc>
        <w:tc>
          <w:tcPr>
            <w:tcW w:w="1559" w:type="dxa"/>
            <w:vAlign w:val="center"/>
          </w:tcPr>
          <w:p>
            <w:pPr>
              <w:pStyle w:val="13"/>
            </w:pPr>
            <w:r>
              <w:t>社会保障和就业支出</w:t>
            </w:r>
          </w:p>
        </w:tc>
        <w:tc>
          <w:tcPr>
            <w:tcW w:w="1134" w:type="dxa"/>
            <w:vAlign w:val="center"/>
          </w:tcPr>
          <w:p>
            <w:pPr>
              <w:pStyle w:val="12"/>
            </w:pPr>
            <w:r>
              <w:t>8.20</w:t>
            </w:r>
          </w:p>
        </w:tc>
        <w:tc>
          <w:tcPr>
            <w:tcW w:w="1134" w:type="dxa"/>
            <w:vAlign w:val="center"/>
          </w:tcPr>
          <w:p>
            <w:pPr>
              <w:pStyle w:val="12"/>
            </w:pPr>
            <w:r>
              <w:t>8.20</w:t>
            </w:r>
          </w:p>
        </w:tc>
        <w:tc>
          <w:tcPr>
            <w:tcW w:w="1134" w:type="dxa"/>
            <w:vAlign w:val="center"/>
          </w:tcPr>
          <w:p>
            <w:pPr>
              <w:pStyle w:val="12"/>
            </w:pPr>
            <w:r>
              <w:t>8.20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6</w:t>
            </w:r>
          </w:p>
        </w:tc>
        <w:tc>
          <w:tcPr>
            <w:tcW w:w="992" w:type="dxa"/>
            <w:vAlign w:val="center"/>
          </w:tcPr>
          <w:p>
            <w:pPr>
              <w:pStyle w:val="13"/>
            </w:pPr>
            <w:r>
              <w:t>20805</w:t>
            </w:r>
          </w:p>
        </w:tc>
        <w:tc>
          <w:tcPr>
            <w:tcW w:w="1559" w:type="dxa"/>
            <w:vAlign w:val="center"/>
          </w:tcPr>
          <w:p>
            <w:pPr>
              <w:pStyle w:val="13"/>
            </w:pPr>
            <w:r>
              <w:t>行政事业单位养老支出</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r>
              <w:t>8.00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7</w:t>
            </w:r>
          </w:p>
        </w:tc>
        <w:tc>
          <w:tcPr>
            <w:tcW w:w="992" w:type="dxa"/>
            <w:vAlign w:val="center"/>
          </w:tcPr>
          <w:p>
            <w:pPr>
              <w:pStyle w:val="13"/>
            </w:pPr>
            <w:r>
              <w:t>2080505</w:t>
            </w:r>
          </w:p>
        </w:tc>
        <w:tc>
          <w:tcPr>
            <w:tcW w:w="1559" w:type="dxa"/>
            <w:vAlign w:val="center"/>
          </w:tcPr>
          <w:p>
            <w:pPr>
              <w:pStyle w:val="13"/>
            </w:pPr>
            <w:r>
              <w:t>机关事业单位基本养老保险缴费支出</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r>
              <w:t>7.00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8</w:t>
            </w:r>
          </w:p>
        </w:tc>
        <w:tc>
          <w:tcPr>
            <w:tcW w:w="992" w:type="dxa"/>
            <w:vAlign w:val="center"/>
          </w:tcPr>
          <w:p>
            <w:pPr>
              <w:pStyle w:val="13"/>
            </w:pPr>
            <w:r>
              <w:t>2080506</w:t>
            </w:r>
          </w:p>
        </w:tc>
        <w:tc>
          <w:tcPr>
            <w:tcW w:w="1559" w:type="dxa"/>
            <w:vAlign w:val="center"/>
          </w:tcPr>
          <w:p>
            <w:pPr>
              <w:pStyle w:val="13"/>
            </w:pPr>
            <w:r>
              <w:t>机关事业单位职业年金缴费支出</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r>
              <w:t>1.00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9</w:t>
            </w:r>
          </w:p>
        </w:tc>
        <w:tc>
          <w:tcPr>
            <w:tcW w:w="992" w:type="dxa"/>
            <w:vAlign w:val="center"/>
          </w:tcPr>
          <w:p>
            <w:pPr>
              <w:pStyle w:val="13"/>
            </w:pPr>
            <w:r>
              <w:t>20827</w:t>
            </w:r>
          </w:p>
        </w:tc>
        <w:tc>
          <w:tcPr>
            <w:tcW w:w="1559" w:type="dxa"/>
            <w:vAlign w:val="center"/>
          </w:tcPr>
          <w:p>
            <w:pPr>
              <w:pStyle w:val="13"/>
            </w:pPr>
            <w:r>
              <w:t>财政对其他社会保险基金的补助</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10</w:t>
            </w:r>
          </w:p>
        </w:tc>
        <w:tc>
          <w:tcPr>
            <w:tcW w:w="992" w:type="dxa"/>
            <w:vAlign w:val="center"/>
          </w:tcPr>
          <w:p>
            <w:pPr>
              <w:pStyle w:val="13"/>
            </w:pPr>
            <w:r>
              <w:t>2082702</w:t>
            </w:r>
          </w:p>
        </w:tc>
        <w:tc>
          <w:tcPr>
            <w:tcW w:w="1559" w:type="dxa"/>
            <w:vAlign w:val="center"/>
          </w:tcPr>
          <w:p>
            <w:pPr>
              <w:pStyle w:val="13"/>
            </w:pPr>
            <w:r>
              <w:t>财政对工伤保险基金的补助</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r>
              <w:t>0.20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11</w:t>
            </w:r>
          </w:p>
        </w:tc>
        <w:tc>
          <w:tcPr>
            <w:tcW w:w="992" w:type="dxa"/>
            <w:vAlign w:val="center"/>
          </w:tcPr>
          <w:p>
            <w:pPr>
              <w:pStyle w:val="13"/>
            </w:pPr>
            <w:r>
              <w:t>210</w:t>
            </w:r>
          </w:p>
        </w:tc>
        <w:tc>
          <w:tcPr>
            <w:tcW w:w="1559" w:type="dxa"/>
            <w:vAlign w:val="center"/>
          </w:tcPr>
          <w:p>
            <w:pPr>
              <w:pStyle w:val="13"/>
            </w:pPr>
            <w:r>
              <w:t>卫生健康支出</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12</w:t>
            </w:r>
          </w:p>
        </w:tc>
        <w:tc>
          <w:tcPr>
            <w:tcW w:w="992" w:type="dxa"/>
            <w:vAlign w:val="center"/>
          </w:tcPr>
          <w:p>
            <w:pPr>
              <w:pStyle w:val="13"/>
            </w:pPr>
            <w:r>
              <w:t>21011</w:t>
            </w:r>
          </w:p>
        </w:tc>
        <w:tc>
          <w:tcPr>
            <w:tcW w:w="1559" w:type="dxa"/>
            <w:vAlign w:val="center"/>
          </w:tcPr>
          <w:p>
            <w:pPr>
              <w:pStyle w:val="13"/>
            </w:pPr>
            <w:r>
              <w:t>行政事业单位医疗</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680" w:type="dxa"/>
            <w:vAlign w:val="center"/>
          </w:tcPr>
          <w:p>
            <w:pPr>
              <w:pStyle w:val="14"/>
            </w:pPr>
            <w:r>
              <w:t>13</w:t>
            </w:r>
          </w:p>
        </w:tc>
        <w:tc>
          <w:tcPr>
            <w:tcW w:w="992" w:type="dxa"/>
            <w:vAlign w:val="center"/>
          </w:tcPr>
          <w:p>
            <w:pPr>
              <w:pStyle w:val="13"/>
            </w:pPr>
            <w:r>
              <w:t>2101101</w:t>
            </w:r>
          </w:p>
        </w:tc>
        <w:tc>
          <w:tcPr>
            <w:tcW w:w="1559" w:type="dxa"/>
            <w:vAlign w:val="center"/>
          </w:tcPr>
          <w:p>
            <w:pPr>
              <w:pStyle w:val="13"/>
            </w:pPr>
            <w:r>
              <w:t>行政单位医疗</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r>
              <w:t>2.50</w:t>
            </w: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c>
          <w:tcPr>
            <w:tcW w:w="1134"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2" w:name="_Toc_2_2_0000000003"/>
      <w:r>
        <w:rPr>
          <w:rFonts w:ascii="方正小标宋_GBK" w:hAnsi="方正小标宋_GBK" w:eastAsia="方正小标宋_GBK" w:cs="方正小标宋_GBK"/>
          <w:color w:val="000000"/>
          <w:sz w:val="36"/>
        </w:rPr>
        <w:t>部门预算支出总表</w:t>
      </w:r>
      <w:bookmarkEnd w:id="2"/>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992"/>
        <w:gridCol w:w="4535"/>
        <w:gridCol w:w="1361"/>
        <w:gridCol w:w="1361"/>
        <w:gridCol w:w="1361"/>
        <w:gridCol w:w="1361"/>
        <w:gridCol w:w="1361"/>
        <w:gridCol w:w="136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377"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722" w:type="dxa"/>
            <w:gridSpan w:val="2"/>
            <w:tcBorders>
              <w:top w:val="single" w:color="FFFFFF" w:sz="6" w:space="0"/>
              <w:left w:val="single" w:color="FFFFFF" w:sz="6" w:space="0"/>
              <w:right w:val="single" w:color="FFFFFF" w:sz="6" w:space="0"/>
            </w:tcBorders>
            <w:vAlign w:val="center"/>
          </w:tcPr>
          <w:p>
            <w:pPr>
              <w:pStyle w:val="9"/>
            </w:pPr>
            <w:r>
              <w:t>预算年度：2025</w:t>
            </w:r>
          </w:p>
        </w:tc>
        <w:tc>
          <w:tcPr>
            <w:tcW w:w="5444"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527" w:type="dxa"/>
            <w:gridSpan w:val="2"/>
            <w:vAlign w:val="center"/>
          </w:tcPr>
          <w:p>
            <w:pPr>
              <w:pStyle w:val="11"/>
            </w:pPr>
            <w:r>
              <w:t>功能分类科目</w:t>
            </w:r>
          </w:p>
        </w:tc>
        <w:tc>
          <w:tcPr>
            <w:tcW w:w="1361" w:type="dxa"/>
            <w:vMerge w:val="restart"/>
            <w:vAlign w:val="center"/>
          </w:tcPr>
          <w:p>
            <w:pPr>
              <w:pStyle w:val="11"/>
            </w:pPr>
            <w:r>
              <w:t>合计</w:t>
            </w:r>
          </w:p>
        </w:tc>
        <w:tc>
          <w:tcPr>
            <w:tcW w:w="1361" w:type="dxa"/>
            <w:vMerge w:val="restart"/>
            <w:vAlign w:val="center"/>
          </w:tcPr>
          <w:p>
            <w:pPr>
              <w:pStyle w:val="11"/>
            </w:pPr>
            <w:r>
              <w:t>基本支出</w:t>
            </w:r>
          </w:p>
        </w:tc>
        <w:tc>
          <w:tcPr>
            <w:tcW w:w="1361" w:type="dxa"/>
            <w:vMerge w:val="restart"/>
            <w:vAlign w:val="center"/>
          </w:tcPr>
          <w:p>
            <w:pPr>
              <w:pStyle w:val="11"/>
            </w:pPr>
            <w:r>
              <w:t>项目支出</w:t>
            </w:r>
          </w:p>
        </w:tc>
        <w:tc>
          <w:tcPr>
            <w:tcW w:w="1361" w:type="dxa"/>
            <w:vMerge w:val="restart"/>
            <w:vAlign w:val="center"/>
          </w:tcPr>
          <w:p>
            <w:pPr>
              <w:pStyle w:val="11"/>
            </w:pPr>
            <w:r>
              <w:t>经营支出</w:t>
            </w:r>
          </w:p>
        </w:tc>
        <w:tc>
          <w:tcPr>
            <w:tcW w:w="1361" w:type="dxa"/>
            <w:vMerge w:val="restart"/>
            <w:vAlign w:val="center"/>
          </w:tcPr>
          <w:p>
            <w:pPr>
              <w:pStyle w:val="11"/>
            </w:pPr>
            <w:r>
              <w:t>上解上级     支出</w:t>
            </w:r>
          </w:p>
        </w:tc>
        <w:tc>
          <w:tcPr>
            <w:tcW w:w="1361" w:type="dxa"/>
            <w:vMerge w:val="restart"/>
            <w:vAlign w:val="center"/>
          </w:tcPr>
          <w:p>
            <w:pPr>
              <w:pStyle w:val="11"/>
            </w:pPr>
            <w:r>
              <w:t>对附属单位补助支出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992" w:type="dxa"/>
            <w:vAlign w:val="center"/>
          </w:tcPr>
          <w:p>
            <w:pPr>
              <w:pStyle w:val="11"/>
            </w:pPr>
            <w:r>
              <w:t>科目    编码</w:t>
            </w:r>
          </w:p>
        </w:tc>
        <w:tc>
          <w:tcPr>
            <w:tcW w:w="4535" w:type="dxa"/>
            <w:vAlign w:val="center"/>
          </w:tcPr>
          <w:p>
            <w:pPr>
              <w:pStyle w:val="11"/>
            </w:pPr>
            <w:r>
              <w:t>科目名称</w:t>
            </w: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c>
          <w:tcPr>
            <w:tcW w:w="136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992" w:type="dxa"/>
            <w:vAlign w:val="center"/>
          </w:tcPr>
          <w:p>
            <w:pPr>
              <w:pStyle w:val="11"/>
            </w:pPr>
            <w:r>
              <w:t>1</w:t>
            </w:r>
          </w:p>
        </w:tc>
        <w:tc>
          <w:tcPr>
            <w:tcW w:w="4535" w:type="dxa"/>
            <w:vAlign w:val="center"/>
          </w:tcPr>
          <w:p>
            <w:pPr>
              <w:pStyle w:val="11"/>
            </w:pPr>
            <w:r>
              <w:t>2</w:t>
            </w:r>
          </w:p>
        </w:tc>
        <w:tc>
          <w:tcPr>
            <w:tcW w:w="1361" w:type="dxa"/>
            <w:vAlign w:val="center"/>
          </w:tcPr>
          <w:p>
            <w:pPr>
              <w:pStyle w:val="11"/>
            </w:pPr>
            <w:r>
              <w:t>3</w:t>
            </w:r>
          </w:p>
        </w:tc>
        <w:tc>
          <w:tcPr>
            <w:tcW w:w="1361" w:type="dxa"/>
            <w:vAlign w:val="center"/>
          </w:tcPr>
          <w:p>
            <w:pPr>
              <w:pStyle w:val="11"/>
            </w:pPr>
            <w:r>
              <w:t>4</w:t>
            </w:r>
          </w:p>
        </w:tc>
        <w:tc>
          <w:tcPr>
            <w:tcW w:w="1361" w:type="dxa"/>
            <w:vAlign w:val="center"/>
          </w:tcPr>
          <w:p>
            <w:pPr>
              <w:pStyle w:val="11"/>
            </w:pPr>
            <w:r>
              <w:t>5</w:t>
            </w:r>
          </w:p>
        </w:tc>
        <w:tc>
          <w:tcPr>
            <w:tcW w:w="1361" w:type="dxa"/>
            <w:vAlign w:val="center"/>
          </w:tcPr>
          <w:p>
            <w:pPr>
              <w:pStyle w:val="11"/>
            </w:pPr>
            <w:r>
              <w:t>6</w:t>
            </w:r>
          </w:p>
        </w:tc>
        <w:tc>
          <w:tcPr>
            <w:tcW w:w="1361" w:type="dxa"/>
            <w:vAlign w:val="center"/>
          </w:tcPr>
          <w:p>
            <w:pPr>
              <w:pStyle w:val="11"/>
            </w:pPr>
            <w:r>
              <w:t>7</w:t>
            </w:r>
          </w:p>
        </w:tc>
        <w:tc>
          <w:tcPr>
            <w:tcW w:w="1361" w:type="dxa"/>
            <w:vAlign w:val="center"/>
          </w:tcPr>
          <w:p>
            <w:pPr>
              <w:pStyle w:val="11"/>
            </w:pPr>
            <w:r>
              <w:t>8</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992" w:type="dxa"/>
            <w:vAlign w:val="center"/>
          </w:tcPr>
          <w:p>
            <w:pPr>
              <w:pStyle w:val="17"/>
            </w:pPr>
          </w:p>
        </w:tc>
        <w:tc>
          <w:tcPr>
            <w:tcW w:w="4535" w:type="dxa"/>
            <w:vAlign w:val="center"/>
          </w:tcPr>
          <w:p>
            <w:pPr>
              <w:pStyle w:val="15"/>
            </w:pPr>
            <w:r>
              <w:t>合计</w:t>
            </w:r>
          </w:p>
        </w:tc>
        <w:tc>
          <w:tcPr>
            <w:tcW w:w="1361" w:type="dxa"/>
            <w:vAlign w:val="center"/>
          </w:tcPr>
          <w:p>
            <w:pPr>
              <w:pStyle w:val="16"/>
            </w:pPr>
            <w:r>
              <w:t>65.80</w:t>
            </w:r>
          </w:p>
        </w:tc>
        <w:tc>
          <w:tcPr>
            <w:tcW w:w="1361" w:type="dxa"/>
            <w:vAlign w:val="center"/>
          </w:tcPr>
          <w:p>
            <w:pPr>
              <w:pStyle w:val="16"/>
            </w:pPr>
            <w:r>
              <w:t>65.80</w:t>
            </w: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c>
          <w:tcPr>
            <w:tcW w:w="136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992" w:type="dxa"/>
            <w:vAlign w:val="center"/>
          </w:tcPr>
          <w:p>
            <w:pPr>
              <w:pStyle w:val="13"/>
            </w:pPr>
            <w:r>
              <w:t>201</w:t>
            </w:r>
          </w:p>
        </w:tc>
        <w:tc>
          <w:tcPr>
            <w:tcW w:w="4535" w:type="dxa"/>
            <w:vAlign w:val="center"/>
          </w:tcPr>
          <w:p>
            <w:pPr>
              <w:pStyle w:val="13"/>
            </w:pPr>
            <w:r>
              <w:t>一般公共服务支出</w:t>
            </w:r>
          </w:p>
        </w:tc>
        <w:tc>
          <w:tcPr>
            <w:tcW w:w="1361" w:type="dxa"/>
            <w:vAlign w:val="center"/>
          </w:tcPr>
          <w:p>
            <w:pPr>
              <w:pStyle w:val="12"/>
            </w:pPr>
            <w:r>
              <w:t>55.10</w:t>
            </w:r>
          </w:p>
        </w:tc>
        <w:tc>
          <w:tcPr>
            <w:tcW w:w="1361" w:type="dxa"/>
            <w:vAlign w:val="center"/>
          </w:tcPr>
          <w:p>
            <w:pPr>
              <w:pStyle w:val="12"/>
            </w:pPr>
            <w:r>
              <w:t>55.10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992" w:type="dxa"/>
            <w:vAlign w:val="center"/>
          </w:tcPr>
          <w:p>
            <w:pPr>
              <w:pStyle w:val="13"/>
            </w:pPr>
            <w:r>
              <w:t>20129</w:t>
            </w:r>
          </w:p>
        </w:tc>
        <w:tc>
          <w:tcPr>
            <w:tcW w:w="4535" w:type="dxa"/>
            <w:vAlign w:val="center"/>
          </w:tcPr>
          <w:p>
            <w:pPr>
              <w:pStyle w:val="13"/>
            </w:pPr>
            <w:r>
              <w:t>群众团体事务</w:t>
            </w:r>
          </w:p>
        </w:tc>
        <w:tc>
          <w:tcPr>
            <w:tcW w:w="1361" w:type="dxa"/>
            <w:vAlign w:val="center"/>
          </w:tcPr>
          <w:p>
            <w:pPr>
              <w:pStyle w:val="12"/>
            </w:pPr>
            <w:r>
              <w:t>55.10</w:t>
            </w:r>
          </w:p>
        </w:tc>
        <w:tc>
          <w:tcPr>
            <w:tcW w:w="1361" w:type="dxa"/>
            <w:vAlign w:val="center"/>
          </w:tcPr>
          <w:p>
            <w:pPr>
              <w:pStyle w:val="12"/>
            </w:pPr>
            <w:r>
              <w:t>55.10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992" w:type="dxa"/>
            <w:vAlign w:val="center"/>
          </w:tcPr>
          <w:p>
            <w:pPr>
              <w:pStyle w:val="13"/>
            </w:pPr>
            <w:r>
              <w:t>2012901</w:t>
            </w:r>
          </w:p>
        </w:tc>
        <w:tc>
          <w:tcPr>
            <w:tcW w:w="4535" w:type="dxa"/>
            <w:vAlign w:val="center"/>
          </w:tcPr>
          <w:p>
            <w:pPr>
              <w:pStyle w:val="13"/>
            </w:pPr>
            <w:r>
              <w:t>行政运行</w:t>
            </w:r>
          </w:p>
        </w:tc>
        <w:tc>
          <w:tcPr>
            <w:tcW w:w="1361" w:type="dxa"/>
            <w:vAlign w:val="center"/>
          </w:tcPr>
          <w:p>
            <w:pPr>
              <w:pStyle w:val="12"/>
            </w:pPr>
            <w:r>
              <w:t>55.10</w:t>
            </w:r>
          </w:p>
        </w:tc>
        <w:tc>
          <w:tcPr>
            <w:tcW w:w="1361" w:type="dxa"/>
            <w:vAlign w:val="center"/>
          </w:tcPr>
          <w:p>
            <w:pPr>
              <w:pStyle w:val="12"/>
            </w:pPr>
            <w:r>
              <w:t>55.10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992" w:type="dxa"/>
            <w:vAlign w:val="center"/>
          </w:tcPr>
          <w:p>
            <w:pPr>
              <w:pStyle w:val="13"/>
            </w:pPr>
            <w:r>
              <w:t>208</w:t>
            </w:r>
          </w:p>
        </w:tc>
        <w:tc>
          <w:tcPr>
            <w:tcW w:w="4535" w:type="dxa"/>
            <w:vAlign w:val="center"/>
          </w:tcPr>
          <w:p>
            <w:pPr>
              <w:pStyle w:val="13"/>
            </w:pPr>
            <w:r>
              <w:t>社会保障和就业支出</w:t>
            </w:r>
          </w:p>
        </w:tc>
        <w:tc>
          <w:tcPr>
            <w:tcW w:w="1361" w:type="dxa"/>
            <w:vAlign w:val="center"/>
          </w:tcPr>
          <w:p>
            <w:pPr>
              <w:pStyle w:val="12"/>
            </w:pPr>
            <w:r>
              <w:t>8.20</w:t>
            </w:r>
          </w:p>
        </w:tc>
        <w:tc>
          <w:tcPr>
            <w:tcW w:w="1361" w:type="dxa"/>
            <w:vAlign w:val="center"/>
          </w:tcPr>
          <w:p>
            <w:pPr>
              <w:pStyle w:val="12"/>
            </w:pPr>
            <w:r>
              <w:t>8.20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992" w:type="dxa"/>
            <w:vAlign w:val="center"/>
          </w:tcPr>
          <w:p>
            <w:pPr>
              <w:pStyle w:val="13"/>
            </w:pPr>
            <w:r>
              <w:t>20805</w:t>
            </w:r>
          </w:p>
        </w:tc>
        <w:tc>
          <w:tcPr>
            <w:tcW w:w="4535" w:type="dxa"/>
            <w:vAlign w:val="center"/>
          </w:tcPr>
          <w:p>
            <w:pPr>
              <w:pStyle w:val="13"/>
            </w:pPr>
            <w:r>
              <w:t>行政事业单位养老支出</w:t>
            </w:r>
          </w:p>
        </w:tc>
        <w:tc>
          <w:tcPr>
            <w:tcW w:w="1361" w:type="dxa"/>
            <w:vAlign w:val="center"/>
          </w:tcPr>
          <w:p>
            <w:pPr>
              <w:pStyle w:val="12"/>
            </w:pPr>
            <w:r>
              <w:t>8.00</w:t>
            </w:r>
          </w:p>
        </w:tc>
        <w:tc>
          <w:tcPr>
            <w:tcW w:w="1361" w:type="dxa"/>
            <w:vAlign w:val="center"/>
          </w:tcPr>
          <w:p>
            <w:pPr>
              <w:pStyle w:val="12"/>
            </w:pPr>
            <w:r>
              <w:t>8.00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992" w:type="dxa"/>
            <w:vAlign w:val="center"/>
          </w:tcPr>
          <w:p>
            <w:pPr>
              <w:pStyle w:val="13"/>
            </w:pPr>
            <w:r>
              <w:t>2080505</w:t>
            </w:r>
          </w:p>
        </w:tc>
        <w:tc>
          <w:tcPr>
            <w:tcW w:w="4535" w:type="dxa"/>
            <w:vAlign w:val="center"/>
          </w:tcPr>
          <w:p>
            <w:pPr>
              <w:pStyle w:val="13"/>
            </w:pPr>
            <w:r>
              <w:t>机关事业单位基本养老保险缴费支出</w:t>
            </w:r>
          </w:p>
        </w:tc>
        <w:tc>
          <w:tcPr>
            <w:tcW w:w="1361" w:type="dxa"/>
            <w:vAlign w:val="center"/>
          </w:tcPr>
          <w:p>
            <w:pPr>
              <w:pStyle w:val="12"/>
            </w:pPr>
            <w:r>
              <w:t>7.00</w:t>
            </w:r>
          </w:p>
        </w:tc>
        <w:tc>
          <w:tcPr>
            <w:tcW w:w="1361" w:type="dxa"/>
            <w:vAlign w:val="center"/>
          </w:tcPr>
          <w:p>
            <w:pPr>
              <w:pStyle w:val="12"/>
            </w:pPr>
            <w:r>
              <w:t>7.00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992" w:type="dxa"/>
            <w:vAlign w:val="center"/>
          </w:tcPr>
          <w:p>
            <w:pPr>
              <w:pStyle w:val="13"/>
            </w:pPr>
            <w:r>
              <w:t>2080506</w:t>
            </w:r>
          </w:p>
        </w:tc>
        <w:tc>
          <w:tcPr>
            <w:tcW w:w="4535" w:type="dxa"/>
            <w:vAlign w:val="center"/>
          </w:tcPr>
          <w:p>
            <w:pPr>
              <w:pStyle w:val="13"/>
            </w:pPr>
            <w:r>
              <w:t>机关事业单位职业年金缴费支出</w:t>
            </w:r>
          </w:p>
        </w:tc>
        <w:tc>
          <w:tcPr>
            <w:tcW w:w="1361" w:type="dxa"/>
            <w:vAlign w:val="center"/>
          </w:tcPr>
          <w:p>
            <w:pPr>
              <w:pStyle w:val="12"/>
            </w:pPr>
            <w:r>
              <w:t>1.00</w:t>
            </w:r>
          </w:p>
        </w:tc>
        <w:tc>
          <w:tcPr>
            <w:tcW w:w="1361" w:type="dxa"/>
            <w:vAlign w:val="center"/>
          </w:tcPr>
          <w:p>
            <w:pPr>
              <w:pStyle w:val="12"/>
            </w:pPr>
            <w:r>
              <w:t>1.00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992" w:type="dxa"/>
            <w:vAlign w:val="center"/>
          </w:tcPr>
          <w:p>
            <w:pPr>
              <w:pStyle w:val="13"/>
            </w:pPr>
            <w:r>
              <w:t>20827</w:t>
            </w:r>
          </w:p>
        </w:tc>
        <w:tc>
          <w:tcPr>
            <w:tcW w:w="4535" w:type="dxa"/>
            <w:vAlign w:val="center"/>
          </w:tcPr>
          <w:p>
            <w:pPr>
              <w:pStyle w:val="13"/>
            </w:pPr>
            <w:r>
              <w:t>财政对其他社会保险基金的补助</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992" w:type="dxa"/>
            <w:vAlign w:val="center"/>
          </w:tcPr>
          <w:p>
            <w:pPr>
              <w:pStyle w:val="13"/>
            </w:pPr>
            <w:r>
              <w:t>2082702</w:t>
            </w:r>
          </w:p>
        </w:tc>
        <w:tc>
          <w:tcPr>
            <w:tcW w:w="4535" w:type="dxa"/>
            <w:vAlign w:val="center"/>
          </w:tcPr>
          <w:p>
            <w:pPr>
              <w:pStyle w:val="13"/>
            </w:pPr>
            <w:r>
              <w:t>财政对工伤保险基金的补助</w:t>
            </w:r>
          </w:p>
        </w:tc>
        <w:tc>
          <w:tcPr>
            <w:tcW w:w="1361" w:type="dxa"/>
            <w:vAlign w:val="center"/>
          </w:tcPr>
          <w:p>
            <w:pPr>
              <w:pStyle w:val="12"/>
            </w:pPr>
            <w:r>
              <w:t>0.20</w:t>
            </w:r>
          </w:p>
        </w:tc>
        <w:tc>
          <w:tcPr>
            <w:tcW w:w="1361" w:type="dxa"/>
            <w:vAlign w:val="center"/>
          </w:tcPr>
          <w:p>
            <w:pPr>
              <w:pStyle w:val="12"/>
            </w:pPr>
            <w:r>
              <w:t>0.20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992" w:type="dxa"/>
            <w:vAlign w:val="center"/>
          </w:tcPr>
          <w:p>
            <w:pPr>
              <w:pStyle w:val="13"/>
            </w:pPr>
            <w:r>
              <w:t>210</w:t>
            </w:r>
          </w:p>
        </w:tc>
        <w:tc>
          <w:tcPr>
            <w:tcW w:w="4535" w:type="dxa"/>
            <w:vAlign w:val="center"/>
          </w:tcPr>
          <w:p>
            <w:pPr>
              <w:pStyle w:val="13"/>
            </w:pPr>
            <w:r>
              <w:t>卫生健康支出</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992" w:type="dxa"/>
            <w:vAlign w:val="center"/>
          </w:tcPr>
          <w:p>
            <w:pPr>
              <w:pStyle w:val="13"/>
            </w:pPr>
            <w:r>
              <w:t>21011</w:t>
            </w:r>
          </w:p>
        </w:tc>
        <w:tc>
          <w:tcPr>
            <w:tcW w:w="4535" w:type="dxa"/>
            <w:vAlign w:val="center"/>
          </w:tcPr>
          <w:p>
            <w:pPr>
              <w:pStyle w:val="13"/>
            </w:pPr>
            <w:r>
              <w:t>行政事业单位医疗</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992" w:type="dxa"/>
            <w:vAlign w:val="center"/>
          </w:tcPr>
          <w:p>
            <w:pPr>
              <w:pStyle w:val="13"/>
            </w:pPr>
            <w:r>
              <w:t>2101101</w:t>
            </w:r>
          </w:p>
        </w:tc>
        <w:tc>
          <w:tcPr>
            <w:tcW w:w="4535" w:type="dxa"/>
            <w:vAlign w:val="center"/>
          </w:tcPr>
          <w:p>
            <w:pPr>
              <w:pStyle w:val="13"/>
            </w:pPr>
            <w:r>
              <w:t>行政单位医疗</w:t>
            </w:r>
          </w:p>
        </w:tc>
        <w:tc>
          <w:tcPr>
            <w:tcW w:w="1361" w:type="dxa"/>
            <w:vAlign w:val="center"/>
          </w:tcPr>
          <w:p>
            <w:pPr>
              <w:pStyle w:val="12"/>
            </w:pPr>
            <w:r>
              <w:t>2.50</w:t>
            </w:r>
          </w:p>
        </w:tc>
        <w:tc>
          <w:tcPr>
            <w:tcW w:w="1361" w:type="dxa"/>
            <w:vAlign w:val="center"/>
          </w:tcPr>
          <w:p>
            <w:pPr>
              <w:pStyle w:val="12"/>
            </w:pPr>
            <w:r>
              <w:t>2.50</w:t>
            </w: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c>
          <w:tcPr>
            <w:tcW w:w="136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3" w:name="_Toc_2_2_0000000004"/>
      <w:r>
        <w:rPr>
          <w:rFonts w:ascii="方正小标宋_GBK" w:hAnsi="方正小标宋_GBK" w:eastAsia="方正小标宋_GBK" w:cs="方正小标宋_GBK"/>
          <w:color w:val="000000"/>
          <w:sz w:val="36"/>
        </w:rPr>
        <w:t>部门预算财政拨款收支总表</w:t>
      </w:r>
      <w:bookmarkEnd w:id="3"/>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402"/>
        <w:gridCol w:w="1474"/>
        <w:gridCol w:w="3402"/>
        <w:gridCol w:w="1474"/>
        <w:gridCol w:w="1474"/>
        <w:gridCol w:w="1474"/>
        <w:gridCol w:w="147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572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3402" w:type="dxa"/>
            <w:tcBorders>
              <w:top w:val="single" w:color="FFFFFF" w:sz="6" w:space="0"/>
              <w:left w:val="single" w:color="FFFFFF" w:sz="6" w:space="0"/>
              <w:right w:val="single" w:color="FFFFFF" w:sz="6" w:space="0"/>
            </w:tcBorders>
            <w:vAlign w:val="center"/>
          </w:tcPr>
          <w:p>
            <w:pPr>
              <w:pStyle w:val="9"/>
            </w:pPr>
            <w:r>
              <w:t>预算年度：2025</w:t>
            </w:r>
          </w:p>
        </w:tc>
        <w:tc>
          <w:tcPr>
            <w:tcW w:w="5896" w:type="dxa"/>
            <w:gridSpan w:val="4"/>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4876" w:type="dxa"/>
            <w:gridSpan w:val="2"/>
            <w:vAlign w:val="center"/>
          </w:tcPr>
          <w:p>
            <w:pPr>
              <w:pStyle w:val="11"/>
            </w:pPr>
            <w:r>
              <w:t>收入</w:t>
            </w:r>
          </w:p>
        </w:tc>
        <w:tc>
          <w:tcPr>
            <w:tcW w:w="9298" w:type="dxa"/>
            <w:gridSpan w:val="5"/>
            <w:vAlign w:val="center"/>
          </w:tcPr>
          <w:p>
            <w:pPr>
              <w:pStyle w:val="11"/>
            </w:pPr>
            <w:r>
              <w:t>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3402" w:type="dxa"/>
            <w:vAlign w:val="center"/>
          </w:tcPr>
          <w:p>
            <w:pPr>
              <w:pStyle w:val="11"/>
            </w:pPr>
            <w:r>
              <w:t>项  目</w:t>
            </w:r>
          </w:p>
        </w:tc>
        <w:tc>
          <w:tcPr>
            <w:tcW w:w="1474" w:type="dxa"/>
            <w:vAlign w:val="center"/>
          </w:tcPr>
          <w:p>
            <w:pPr>
              <w:pStyle w:val="11"/>
            </w:pPr>
            <w:r>
              <w:t>金额</w:t>
            </w:r>
          </w:p>
        </w:tc>
        <w:tc>
          <w:tcPr>
            <w:tcW w:w="3402" w:type="dxa"/>
            <w:vAlign w:val="center"/>
          </w:tcPr>
          <w:p>
            <w:pPr>
              <w:pStyle w:val="11"/>
            </w:pPr>
            <w:r>
              <w:t>项  目</w:t>
            </w:r>
          </w:p>
        </w:tc>
        <w:tc>
          <w:tcPr>
            <w:tcW w:w="1474" w:type="dxa"/>
            <w:vAlign w:val="center"/>
          </w:tcPr>
          <w:p>
            <w:pPr>
              <w:pStyle w:val="11"/>
            </w:pPr>
            <w:r>
              <w:t>合计</w:t>
            </w:r>
          </w:p>
        </w:tc>
        <w:tc>
          <w:tcPr>
            <w:tcW w:w="1474" w:type="dxa"/>
            <w:vAlign w:val="center"/>
          </w:tcPr>
          <w:p>
            <w:pPr>
              <w:pStyle w:val="11"/>
            </w:pPr>
            <w:r>
              <w:t>一般公共预算财政拨款</w:t>
            </w:r>
          </w:p>
        </w:tc>
        <w:tc>
          <w:tcPr>
            <w:tcW w:w="1474" w:type="dxa"/>
            <w:vAlign w:val="center"/>
          </w:tcPr>
          <w:p>
            <w:pPr>
              <w:pStyle w:val="11"/>
            </w:pPr>
            <w:r>
              <w:t>政府性基金预算财政    拨款</w:t>
            </w:r>
          </w:p>
        </w:tc>
        <w:tc>
          <w:tcPr>
            <w:tcW w:w="1474" w:type="dxa"/>
            <w:vAlign w:val="center"/>
          </w:tcPr>
          <w:p>
            <w:pPr>
              <w:pStyle w:val="11"/>
            </w:pPr>
            <w:r>
              <w:t>国有资本经营预算财政拨款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3402" w:type="dxa"/>
            <w:vAlign w:val="center"/>
          </w:tcPr>
          <w:p>
            <w:pPr>
              <w:pStyle w:val="11"/>
            </w:pPr>
            <w:r>
              <w:t>1</w:t>
            </w:r>
          </w:p>
        </w:tc>
        <w:tc>
          <w:tcPr>
            <w:tcW w:w="1474" w:type="dxa"/>
            <w:vAlign w:val="center"/>
          </w:tcPr>
          <w:p>
            <w:pPr>
              <w:pStyle w:val="11"/>
            </w:pPr>
            <w:r>
              <w:t>2</w:t>
            </w:r>
          </w:p>
        </w:tc>
        <w:tc>
          <w:tcPr>
            <w:tcW w:w="3402" w:type="dxa"/>
            <w:vAlign w:val="center"/>
          </w:tcPr>
          <w:p>
            <w:pPr>
              <w:pStyle w:val="11"/>
            </w:pPr>
            <w:r>
              <w:t>3</w:t>
            </w:r>
          </w:p>
        </w:tc>
        <w:tc>
          <w:tcPr>
            <w:tcW w:w="1474" w:type="dxa"/>
            <w:vAlign w:val="center"/>
          </w:tcPr>
          <w:p>
            <w:pPr>
              <w:pStyle w:val="11"/>
            </w:pPr>
            <w:r>
              <w:t>4</w:t>
            </w:r>
          </w:p>
        </w:tc>
        <w:tc>
          <w:tcPr>
            <w:tcW w:w="1474" w:type="dxa"/>
            <w:vAlign w:val="center"/>
          </w:tcPr>
          <w:p>
            <w:pPr>
              <w:pStyle w:val="11"/>
            </w:pPr>
            <w:r>
              <w:t>5</w:t>
            </w:r>
          </w:p>
        </w:tc>
        <w:tc>
          <w:tcPr>
            <w:tcW w:w="1474" w:type="dxa"/>
            <w:vAlign w:val="center"/>
          </w:tcPr>
          <w:p>
            <w:pPr>
              <w:pStyle w:val="11"/>
            </w:pPr>
            <w:r>
              <w:t>6</w:t>
            </w:r>
          </w:p>
        </w:tc>
        <w:tc>
          <w:tcPr>
            <w:tcW w:w="1474" w:type="dxa"/>
            <w:vAlign w:val="center"/>
          </w:tcPr>
          <w:p>
            <w:pPr>
              <w:pStyle w:val="11"/>
            </w:pPr>
            <w:r>
              <w:t>7</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3402" w:type="dxa"/>
            <w:vAlign w:val="center"/>
          </w:tcPr>
          <w:p>
            <w:pPr>
              <w:pStyle w:val="13"/>
            </w:pPr>
            <w:r>
              <w:t>一、一般公共预算拨款</w:t>
            </w:r>
          </w:p>
        </w:tc>
        <w:tc>
          <w:tcPr>
            <w:tcW w:w="1474" w:type="dxa"/>
            <w:vAlign w:val="center"/>
          </w:tcPr>
          <w:p>
            <w:pPr>
              <w:pStyle w:val="12"/>
            </w:pPr>
            <w:r>
              <w:t>65.80</w:t>
            </w:r>
          </w:p>
        </w:tc>
        <w:tc>
          <w:tcPr>
            <w:tcW w:w="3402" w:type="dxa"/>
            <w:vAlign w:val="center"/>
          </w:tcPr>
          <w:p>
            <w:pPr>
              <w:pStyle w:val="13"/>
            </w:pPr>
            <w:r>
              <w:t>一、一般公共服务支出</w:t>
            </w:r>
          </w:p>
        </w:tc>
        <w:tc>
          <w:tcPr>
            <w:tcW w:w="1474" w:type="dxa"/>
            <w:vAlign w:val="center"/>
          </w:tcPr>
          <w:p>
            <w:pPr>
              <w:pStyle w:val="12"/>
            </w:pPr>
            <w:r>
              <w:t>55.10</w:t>
            </w:r>
          </w:p>
        </w:tc>
        <w:tc>
          <w:tcPr>
            <w:tcW w:w="1474" w:type="dxa"/>
            <w:vAlign w:val="center"/>
          </w:tcPr>
          <w:p>
            <w:pPr>
              <w:pStyle w:val="12"/>
            </w:pPr>
            <w:r>
              <w:t>55.10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r>
              <w:t>二、外交支出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r>
              <w:t>三、国防支出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四、公共安全支出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五、教育支出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六、科学技术支出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七、文化旅游体育与传媒支出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八、社会保障和就业支出</w:t>
            </w:r>
          </w:p>
        </w:tc>
        <w:tc>
          <w:tcPr>
            <w:tcW w:w="1474" w:type="dxa"/>
            <w:vAlign w:val="center"/>
          </w:tcPr>
          <w:p>
            <w:pPr>
              <w:pStyle w:val="12"/>
            </w:pPr>
            <w:r>
              <w:t>8.20</w:t>
            </w:r>
          </w:p>
        </w:tc>
        <w:tc>
          <w:tcPr>
            <w:tcW w:w="1474" w:type="dxa"/>
            <w:vAlign w:val="center"/>
          </w:tcPr>
          <w:p>
            <w:pPr>
              <w:pStyle w:val="12"/>
            </w:pPr>
            <w:r>
              <w:t>8.20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九、社会保险基金支出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十、卫生健康支出</w:t>
            </w:r>
          </w:p>
        </w:tc>
        <w:tc>
          <w:tcPr>
            <w:tcW w:w="1474" w:type="dxa"/>
            <w:vAlign w:val="center"/>
          </w:tcPr>
          <w:p>
            <w:pPr>
              <w:pStyle w:val="12"/>
            </w:pPr>
            <w:r>
              <w:t>2.50</w:t>
            </w:r>
          </w:p>
        </w:tc>
        <w:tc>
          <w:tcPr>
            <w:tcW w:w="1474" w:type="dxa"/>
            <w:vAlign w:val="center"/>
          </w:tcPr>
          <w:p>
            <w:pPr>
              <w:pStyle w:val="12"/>
            </w:pPr>
            <w:r>
              <w:t>2.50</w:t>
            </w: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十一、节能环保支出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十二、城乡社区支出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十三、农林水支出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十四、交通运输支出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十五、资源勘探工业信息等支出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十六、商业服务业等支出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十七、金融支出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十八、援助其他地区支出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十九、自然资源海洋气象等支出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二十、住房保障支出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二十一、粮油物资储备支出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22</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二十二、国有资本经营预算支出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23</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二十三、灾害防治及应急管理支出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24</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二十四、预备费</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25</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二十五、其他支出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26</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二十六、转移性支出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27</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二十七、债务还本支出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28</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二十八、债务付息支出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29</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二十九、债务发行费用支出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30</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三十、抗疫特别国债安排的支出</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31</w:t>
            </w:r>
          </w:p>
        </w:tc>
        <w:tc>
          <w:tcPr>
            <w:tcW w:w="3402" w:type="dxa"/>
            <w:vAlign w:val="center"/>
          </w:tcPr>
          <w:p>
            <w:pPr>
              <w:pStyle w:val="13"/>
            </w:pPr>
          </w:p>
        </w:tc>
        <w:tc>
          <w:tcPr>
            <w:tcW w:w="1474" w:type="dxa"/>
            <w:vAlign w:val="center"/>
          </w:tcPr>
          <w:p>
            <w:pPr>
              <w:pStyle w:val="12"/>
            </w:pPr>
          </w:p>
        </w:tc>
        <w:tc>
          <w:tcPr>
            <w:tcW w:w="3402" w:type="dxa"/>
            <w:vAlign w:val="center"/>
          </w:tcPr>
          <w:p>
            <w:pPr>
              <w:pStyle w:val="13"/>
            </w:pPr>
            <w:r>
              <w:t>三十一、人行科目</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32</w:t>
            </w:r>
          </w:p>
        </w:tc>
        <w:tc>
          <w:tcPr>
            <w:tcW w:w="3402" w:type="dxa"/>
            <w:vAlign w:val="center"/>
          </w:tcPr>
          <w:p>
            <w:pPr>
              <w:pStyle w:val="15"/>
            </w:pPr>
            <w:r>
              <w:t>本年收入合计</w:t>
            </w:r>
          </w:p>
        </w:tc>
        <w:tc>
          <w:tcPr>
            <w:tcW w:w="1474" w:type="dxa"/>
            <w:vAlign w:val="center"/>
          </w:tcPr>
          <w:p>
            <w:pPr>
              <w:pStyle w:val="16"/>
            </w:pPr>
            <w:r>
              <w:t>65.80</w:t>
            </w:r>
          </w:p>
        </w:tc>
        <w:tc>
          <w:tcPr>
            <w:tcW w:w="3402" w:type="dxa"/>
            <w:vAlign w:val="center"/>
          </w:tcPr>
          <w:p>
            <w:pPr>
              <w:pStyle w:val="15"/>
            </w:pPr>
            <w:r>
              <w:t>本年支出合计</w:t>
            </w:r>
          </w:p>
        </w:tc>
        <w:tc>
          <w:tcPr>
            <w:tcW w:w="1474" w:type="dxa"/>
            <w:vAlign w:val="center"/>
          </w:tcPr>
          <w:p>
            <w:pPr>
              <w:pStyle w:val="16"/>
            </w:pPr>
            <w:r>
              <w:t>65.80</w:t>
            </w:r>
          </w:p>
        </w:tc>
        <w:tc>
          <w:tcPr>
            <w:tcW w:w="1474" w:type="dxa"/>
            <w:vAlign w:val="center"/>
          </w:tcPr>
          <w:p>
            <w:pPr>
              <w:pStyle w:val="16"/>
            </w:pPr>
            <w:r>
              <w:t>65.80</w:t>
            </w:r>
          </w:p>
        </w:tc>
        <w:tc>
          <w:tcPr>
            <w:tcW w:w="1474" w:type="dxa"/>
            <w:vAlign w:val="center"/>
          </w:tcPr>
          <w:p>
            <w:pPr>
              <w:pStyle w:val="16"/>
            </w:pPr>
          </w:p>
        </w:tc>
        <w:tc>
          <w:tcPr>
            <w:tcW w:w="1474"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33</w:t>
            </w:r>
          </w:p>
        </w:tc>
        <w:tc>
          <w:tcPr>
            <w:tcW w:w="3402" w:type="dxa"/>
            <w:vAlign w:val="center"/>
          </w:tcPr>
          <w:p>
            <w:pPr>
              <w:pStyle w:val="13"/>
            </w:pPr>
            <w:r>
              <w:t>年初财政拨款结转和结余</w:t>
            </w:r>
          </w:p>
        </w:tc>
        <w:tc>
          <w:tcPr>
            <w:tcW w:w="1474" w:type="dxa"/>
            <w:vAlign w:val="center"/>
          </w:tcPr>
          <w:p>
            <w:pPr>
              <w:pStyle w:val="12"/>
            </w:pPr>
          </w:p>
        </w:tc>
        <w:tc>
          <w:tcPr>
            <w:tcW w:w="3402" w:type="dxa"/>
            <w:vAlign w:val="center"/>
          </w:tcPr>
          <w:p>
            <w:pPr>
              <w:pStyle w:val="13"/>
            </w:pPr>
            <w:r>
              <w:t>年末财政拨款结转和结余</w:t>
            </w: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34</w:t>
            </w:r>
          </w:p>
        </w:tc>
        <w:tc>
          <w:tcPr>
            <w:tcW w:w="3402" w:type="dxa"/>
            <w:vAlign w:val="center"/>
          </w:tcPr>
          <w:p>
            <w:pPr>
              <w:pStyle w:val="13"/>
            </w:pPr>
            <w:r>
              <w:t>一、一般公共预算拨款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35</w:t>
            </w:r>
          </w:p>
        </w:tc>
        <w:tc>
          <w:tcPr>
            <w:tcW w:w="3402" w:type="dxa"/>
            <w:vAlign w:val="center"/>
          </w:tcPr>
          <w:p>
            <w:pPr>
              <w:pStyle w:val="13"/>
            </w:pPr>
            <w:r>
              <w:t>二、政府性基金预算拨款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36</w:t>
            </w:r>
          </w:p>
        </w:tc>
        <w:tc>
          <w:tcPr>
            <w:tcW w:w="3402" w:type="dxa"/>
            <w:vAlign w:val="center"/>
          </w:tcPr>
          <w:p>
            <w:pPr>
              <w:pStyle w:val="13"/>
            </w:pPr>
            <w:r>
              <w:t>三、国有资本经营预算拨款</w:t>
            </w:r>
          </w:p>
        </w:tc>
        <w:tc>
          <w:tcPr>
            <w:tcW w:w="1474" w:type="dxa"/>
            <w:vAlign w:val="center"/>
          </w:tcPr>
          <w:p>
            <w:pPr>
              <w:pStyle w:val="12"/>
            </w:pPr>
          </w:p>
        </w:tc>
        <w:tc>
          <w:tcPr>
            <w:tcW w:w="3402" w:type="dxa"/>
            <w:vAlign w:val="center"/>
          </w:tcPr>
          <w:p>
            <w:pPr>
              <w:pStyle w:val="13"/>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c>
          <w:tcPr>
            <w:tcW w:w="1474"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37</w:t>
            </w:r>
          </w:p>
        </w:tc>
        <w:tc>
          <w:tcPr>
            <w:tcW w:w="3402" w:type="dxa"/>
            <w:vAlign w:val="center"/>
          </w:tcPr>
          <w:p>
            <w:pPr>
              <w:pStyle w:val="15"/>
            </w:pPr>
            <w:r>
              <w:t>收入总计</w:t>
            </w:r>
          </w:p>
        </w:tc>
        <w:tc>
          <w:tcPr>
            <w:tcW w:w="1474" w:type="dxa"/>
            <w:vAlign w:val="center"/>
          </w:tcPr>
          <w:p>
            <w:pPr>
              <w:pStyle w:val="16"/>
            </w:pPr>
            <w:r>
              <w:t>65.80</w:t>
            </w:r>
          </w:p>
        </w:tc>
        <w:tc>
          <w:tcPr>
            <w:tcW w:w="3402" w:type="dxa"/>
            <w:vAlign w:val="center"/>
          </w:tcPr>
          <w:p>
            <w:pPr>
              <w:pStyle w:val="15"/>
            </w:pPr>
            <w:r>
              <w:t>支出总计</w:t>
            </w:r>
          </w:p>
        </w:tc>
        <w:tc>
          <w:tcPr>
            <w:tcW w:w="1474" w:type="dxa"/>
            <w:vAlign w:val="center"/>
          </w:tcPr>
          <w:p>
            <w:pPr>
              <w:pStyle w:val="16"/>
            </w:pPr>
            <w:r>
              <w:t>65.80</w:t>
            </w:r>
          </w:p>
        </w:tc>
        <w:tc>
          <w:tcPr>
            <w:tcW w:w="1474" w:type="dxa"/>
            <w:vAlign w:val="center"/>
          </w:tcPr>
          <w:p>
            <w:pPr>
              <w:pStyle w:val="16"/>
            </w:pPr>
            <w:r>
              <w:t>65.80</w:t>
            </w:r>
          </w:p>
        </w:tc>
        <w:tc>
          <w:tcPr>
            <w:tcW w:w="1474" w:type="dxa"/>
            <w:vAlign w:val="center"/>
          </w:tcPr>
          <w:p>
            <w:pPr>
              <w:pStyle w:val="16"/>
            </w:pPr>
          </w:p>
        </w:tc>
        <w:tc>
          <w:tcPr>
            <w:tcW w:w="1474" w:type="dxa"/>
            <w:vAlign w:val="center"/>
          </w:tcPr>
          <w:p>
            <w:pPr>
              <w:pStyle w:val="16"/>
            </w:pPr>
          </w:p>
        </w:tc>
      </w:tr>
    </w:tbl>
    <w:p>
      <w:pPr>
        <w:sectPr>
          <w:pgSz w:w="16840" w:h="11900" w:orient="landscape"/>
          <w:pgMar w:top="1361" w:right="1020" w:bottom="1134" w:left="1020" w:header="720" w:footer="720" w:gutter="0"/>
          <w:cols w:space="720" w:num="1"/>
        </w:sectPr>
      </w:pPr>
    </w:p>
    <w:p>
      <w:pPr>
        <w:jc w:val="center"/>
        <w:outlineLvl w:val="1"/>
      </w:pPr>
      <w:bookmarkStart w:id="4" w:name="_Toc_2_2_0000000005"/>
      <w:r>
        <w:rPr>
          <w:rFonts w:ascii="方正小标宋_GBK" w:hAnsi="方正小标宋_GBK" w:eastAsia="方正小标宋_GBK" w:cs="方正小标宋_GBK"/>
          <w:color w:val="000000"/>
          <w:sz w:val="36"/>
        </w:rPr>
        <w:t>部门预算一般公共预算财政拨款支出表</w:t>
      </w:r>
      <w:bookmarkEnd w:id="4"/>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65.80</w:t>
            </w:r>
          </w:p>
        </w:tc>
        <w:tc>
          <w:tcPr>
            <w:tcW w:w="2551" w:type="dxa"/>
            <w:vAlign w:val="center"/>
          </w:tcPr>
          <w:p>
            <w:pPr>
              <w:pStyle w:val="16"/>
            </w:pPr>
            <w:r>
              <w:t>65.80</w:t>
            </w:r>
          </w:p>
        </w:tc>
        <w:tc>
          <w:tcPr>
            <w:tcW w:w="2551" w:type="dxa"/>
            <w:vAlign w:val="center"/>
          </w:tcPr>
          <w:p>
            <w:pPr>
              <w:pStyle w:val="16"/>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201</w:t>
            </w:r>
          </w:p>
        </w:tc>
        <w:tc>
          <w:tcPr>
            <w:tcW w:w="4535" w:type="dxa"/>
            <w:vAlign w:val="center"/>
          </w:tcPr>
          <w:p>
            <w:pPr>
              <w:pStyle w:val="13"/>
            </w:pPr>
            <w:r>
              <w:t>一般公共服务支出</w:t>
            </w:r>
          </w:p>
        </w:tc>
        <w:tc>
          <w:tcPr>
            <w:tcW w:w="2551" w:type="dxa"/>
            <w:vAlign w:val="center"/>
          </w:tcPr>
          <w:p>
            <w:pPr>
              <w:pStyle w:val="12"/>
            </w:pPr>
            <w:r>
              <w:t>55.10</w:t>
            </w:r>
          </w:p>
        </w:tc>
        <w:tc>
          <w:tcPr>
            <w:tcW w:w="2551" w:type="dxa"/>
            <w:vAlign w:val="center"/>
          </w:tcPr>
          <w:p>
            <w:pPr>
              <w:pStyle w:val="12"/>
            </w:pPr>
            <w:r>
              <w:t>55.10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20129</w:t>
            </w:r>
          </w:p>
        </w:tc>
        <w:tc>
          <w:tcPr>
            <w:tcW w:w="4535" w:type="dxa"/>
            <w:vAlign w:val="center"/>
          </w:tcPr>
          <w:p>
            <w:pPr>
              <w:pStyle w:val="13"/>
            </w:pPr>
            <w:r>
              <w:t>群众团体事务</w:t>
            </w:r>
          </w:p>
        </w:tc>
        <w:tc>
          <w:tcPr>
            <w:tcW w:w="2551" w:type="dxa"/>
            <w:vAlign w:val="center"/>
          </w:tcPr>
          <w:p>
            <w:pPr>
              <w:pStyle w:val="12"/>
            </w:pPr>
            <w:r>
              <w:t>55.10</w:t>
            </w:r>
          </w:p>
        </w:tc>
        <w:tc>
          <w:tcPr>
            <w:tcW w:w="2551" w:type="dxa"/>
            <w:vAlign w:val="center"/>
          </w:tcPr>
          <w:p>
            <w:pPr>
              <w:pStyle w:val="12"/>
            </w:pPr>
            <w:r>
              <w:t>55.10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2012901</w:t>
            </w:r>
          </w:p>
        </w:tc>
        <w:tc>
          <w:tcPr>
            <w:tcW w:w="4535" w:type="dxa"/>
            <w:vAlign w:val="center"/>
          </w:tcPr>
          <w:p>
            <w:pPr>
              <w:pStyle w:val="13"/>
            </w:pPr>
            <w:r>
              <w:t>行政运行</w:t>
            </w:r>
          </w:p>
        </w:tc>
        <w:tc>
          <w:tcPr>
            <w:tcW w:w="2551" w:type="dxa"/>
            <w:vAlign w:val="center"/>
          </w:tcPr>
          <w:p>
            <w:pPr>
              <w:pStyle w:val="12"/>
            </w:pPr>
            <w:r>
              <w:t>55.10</w:t>
            </w:r>
          </w:p>
        </w:tc>
        <w:tc>
          <w:tcPr>
            <w:tcW w:w="2551" w:type="dxa"/>
            <w:vAlign w:val="center"/>
          </w:tcPr>
          <w:p>
            <w:pPr>
              <w:pStyle w:val="12"/>
            </w:pPr>
            <w:r>
              <w:t>55.10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208</w:t>
            </w:r>
          </w:p>
        </w:tc>
        <w:tc>
          <w:tcPr>
            <w:tcW w:w="4535" w:type="dxa"/>
            <w:vAlign w:val="center"/>
          </w:tcPr>
          <w:p>
            <w:pPr>
              <w:pStyle w:val="13"/>
            </w:pPr>
            <w:r>
              <w:t>社会保障和就业支出</w:t>
            </w:r>
          </w:p>
        </w:tc>
        <w:tc>
          <w:tcPr>
            <w:tcW w:w="2551" w:type="dxa"/>
            <w:vAlign w:val="center"/>
          </w:tcPr>
          <w:p>
            <w:pPr>
              <w:pStyle w:val="12"/>
            </w:pPr>
            <w:r>
              <w:t>8.20</w:t>
            </w:r>
          </w:p>
        </w:tc>
        <w:tc>
          <w:tcPr>
            <w:tcW w:w="2551" w:type="dxa"/>
            <w:vAlign w:val="center"/>
          </w:tcPr>
          <w:p>
            <w:pPr>
              <w:pStyle w:val="12"/>
            </w:pPr>
            <w:r>
              <w:t>8.20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20805</w:t>
            </w:r>
          </w:p>
        </w:tc>
        <w:tc>
          <w:tcPr>
            <w:tcW w:w="4535" w:type="dxa"/>
            <w:vAlign w:val="center"/>
          </w:tcPr>
          <w:p>
            <w:pPr>
              <w:pStyle w:val="13"/>
            </w:pPr>
            <w:r>
              <w:t>行政事业单位养老支出</w:t>
            </w:r>
          </w:p>
        </w:tc>
        <w:tc>
          <w:tcPr>
            <w:tcW w:w="2551" w:type="dxa"/>
            <w:vAlign w:val="center"/>
          </w:tcPr>
          <w:p>
            <w:pPr>
              <w:pStyle w:val="12"/>
            </w:pPr>
            <w:r>
              <w:t>8.00</w:t>
            </w:r>
          </w:p>
        </w:tc>
        <w:tc>
          <w:tcPr>
            <w:tcW w:w="2551" w:type="dxa"/>
            <w:vAlign w:val="center"/>
          </w:tcPr>
          <w:p>
            <w:pPr>
              <w:pStyle w:val="12"/>
            </w:pPr>
            <w:r>
              <w:t>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2080505</w:t>
            </w:r>
          </w:p>
        </w:tc>
        <w:tc>
          <w:tcPr>
            <w:tcW w:w="4535" w:type="dxa"/>
            <w:vAlign w:val="center"/>
          </w:tcPr>
          <w:p>
            <w:pPr>
              <w:pStyle w:val="13"/>
            </w:pPr>
            <w:r>
              <w:t>机关事业单位基本养老保险缴费支出</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2080506</w:t>
            </w:r>
          </w:p>
        </w:tc>
        <w:tc>
          <w:tcPr>
            <w:tcW w:w="4535" w:type="dxa"/>
            <w:vAlign w:val="center"/>
          </w:tcPr>
          <w:p>
            <w:pPr>
              <w:pStyle w:val="13"/>
            </w:pPr>
            <w:r>
              <w:t>机关事业单位职业年金缴费支出</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20827</w:t>
            </w:r>
          </w:p>
        </w:tc>
        <w:tc>
          <w:tcPr>
            <w:tcW w:w="4535" w:type="dxa"/>
            <w:vAlign w:val="center"/>
          </w:tcPr>
          <w:p>
            <w:pPr>
              <w:pStyle w:val="13"/>
            </w:pPr>
            <w:r>
              <w:t>财政对其他社会保险基金的补助</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2082702</w:t>
            </w:r>
          </w:p>
        </w:tc>
        <w:tc>
          <w:tcPr>
            <w:tcW w:w="4535" w:type="dxa"/>
            <w:vAlign w:val="center"/>
          </w:tcPr>
          <w:p>
            <w:pPr>
              <w:pStyle w:val="13"/>
            </w:pPr>
            <w:r>
              <w:t>财政对工伤保险基金的补助</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210</w:t>
            </w:r>
          </w:p>
        </w:tc>
        <w:tc>
          <w:tcPr>
            <w:tcW w:w="4535" w:type="dxa"/>
            <w:vAlign w:val="center"/>
          </w:tcPr>
          <w:p>
            <w:pPr>
              <w:pStyle w:val="13"/>
            </w:pPr>
            <w:r>
              <w:t>卫生健康支出</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21011</w:t>
            </w:r>
          </w:p>
        </w:tc>
        <w:tc>
          <w:tcPr>
            <w:tcW w:w="4535" w:type="dxa"/>
            <w:vAlign w:val="center"/>
          </w:tcPr>
          <w:p>
            <w:pPr>
              <w:pStyle w:val="13"/>
            </w:pPr>
            <w:r>
              <w:t>行政事业单位医疗</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2101101</w:t>
            </w:r>
          </w:p>
        </w:tc>
        <w:tc>
          <w:tcPr>
            <w:tcW w:w="4535" w:type="dxa"/>
            <w:vAlign w:val="center"/>
          </w:tcPr>
          <w:p>
            <w:pPr>
              <w:pStyle w:val="13"/>
            </w:pPr>
            <w:r>
              <w:t>行政单位医疗</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5" w:name="_Toc_2_2_0000000006"/>
      <w:r>
        <w:rPr>
          <w:rFonts w:ascii="方正小标宋_GBK" w:hAnsi="方正小标宋_GBK" w:eastAsia="方正小标宋_GBK" w:cs="方正小标宋_GBK"/>
          <w:color w:val="000000"/>
          <w:sz w:val="36"/>
        </w:rPr>
        <w:t>部门预算一般公共预算财政拨款基本支出表</w:t>
      </w:r>
      <w:bookmarkEnd w:id="5"/>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支出部门经济分类科目</w:t>
            </w:r>
          </w:p>
        </w:tc>
        <w:tc>
          <w:tcPr>
            <w:tcW w:w="7653" w:type="dxa"/>
            <w:gridSpan w:val="3"/>
            <w:vAlign w:val="center"/>
          </w:tcPr>
          <w:p>
            <w:pPr>
              <w:pStyle w:val="11"/>
            </w:pPr>
            <w:r>
              <w:t>一般公共预算基本支出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Align w:val="center"/>
          </w:tcPr>
          <w:p>
            <w:pPr>
              <w:pStyle w:val="11"/>
            </w:pPr>
            <w:r>
              <w:t>合计</w:t>
            </w:r>
          </w:p>
        </w:tc>
        <w:tc>
          <w:tcPr>
            <w:tcW w:w="2551" w:type="dxa"/>
            <w:vAlign w:val="center"/>
          </w:tcPr>
          <w:p>
            <w:pPr>
              <w:pStyle w:val="11"/>
            </w:pPr>
            <w:r>
              <w:t>人员经费</w:t>
            </w:r>
          </w:p>
        </w:tc>
        <w:tc>
          <w:tcPr>
            <w:tcW w:w="2551" w:type="dxa"/>
            <w:vAlign w:val="center"/>
          </w:tcPr>
          <w:p>
            <w:pPr>
              <w:pStyle w:val="11"/>
            </w:pPr>
            <w:r>
              <w:t>公用经费</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w:t>
            </w:r>
          </w:p>
        </w:tc>
        <w:tc>
          <w:tcPr>
            <w:tcW w:w="1191" w:type="dxa"/>
            <w:vAlign w:val="center"/>
          </w:tcPr>
          <w:p>
            <w:pPr>
              <w:pStyle w:val="17"/>
            </w:pPr>
          </w:p>
        </w:tc>
        <w:tc>
          <w:tcPr>
            <w:tcW w:w="4535" w:type="dxa"/>
            <w:vAlign w:val="center"/>
          </w:tcPr>
          <w:p>
            <w:pPr>
              <w:pStyle w:val="15"/>
            </w:pPr>
            <w:r>
              <w:t>合计</w:t>
            </w:r>
          </w:p>
        </w:tc>
        <w:tc>
          <w:tcPr>
            <w:tcW w:w="2551" w:type="dxa"/>
            <w:vAlign w:val="center"/>
          </w:tcPr>
          <w:p>
            <w:pPr>
              <w:pStyle w:val="16"/>
            </w:pPr>
            <w:r>
              <w:t>65.80</w:t>
            </w:r>
          </w:p>
        </w:tc>
        <w:tc>
          <w:tcPr>
            <w:tcW w:w="2551" w:type="dxa"/>
            <w:vAlign w:val="center"/>
          </w:tcPr>
          <w:p>
            <w:pPr>
              <w:pStyle w:val="16"/>
            </w:pPr>
            <w:r>
              <w:t>59.80</w:t>
            </w:r>
          </w:p>
        </w:tc>
        <w:tc>
          <w:tcPr>
            <w:tcW w:w="2551" w:type="dxa"/>
            <w:vAlign w:val="center"/>
          </w:tcPr>
          <w:p>
            <w:pPr>
              <w:pStyle w:val="16"/>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2</w:t>
            </w:r>
          </w:p>
        </w:tc>
        <w:tc>
          <w:tcPr>
            <w:tcW w:w="1191" w:type="dxa"/>
            <w:vAlign w:val="center"/>
          </w:tcPr>
          <w:p>
            <w:pPr>
              <w:pStyle w:val="13"/>
            </w:pPr>
            <w:r>
              <w:t>301</w:t>
            </w:r>
          </w:p>
        </w:tc>
        <w:tc>
          <w:tcPr>
            <w:tcW w:w="4535" w:type="dxa"/>
            <w:vAlign w:val="center"/>
          </w:tcPr>
          <w:p>
            <w:pPr>
              <w:pStyle w:val="13"/>
            </w:pPr>
            <w:r>
              <w:t>工资福利支出</w:t>
            </w:r>
          </w:p>
        </w:tc>
        <w:tc>
          <w:tcPr>
            <w:tcW w:w="2551" w:type="dxa"/>
            <w:vAlign w:val="center"/>
          </w:tcPr>
          <w:p>
            <w:pPr>
              <w:pStyle w:val="12"/>
            </w:pPr>
            <w:r>
              <w:t>46.20</w:t>
            </w:r>
          </w:p>
        </w:tc>
        <w:tc>
          <w:tcPr>
            <w:tcW w:w="2551" w:type="dxa"/>
            <w:vAlign w:val="center"/>
          </w:tcPr>
          <w:p>
            <w:pPr>
              <w:pStyle w:val="12"/>
            </w:pPr>
            <w:r>
              <w:t>46.20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3</w:t>
            </w:r>
          </w:p>
        </w:tc>
        <w:tc>
          <w:tcPr>
            <w:tcW w:w="1191" w:type="dxa"/>
            <w:vAlign w:val="center"/>
          </w:tcPr>
          <w:p>
            <w:pPr>
              <w:pStyle w:val="13"/>
            </w:pPr>
            <w:r>
              <w:t>30101</w:t>
            </w:r>
          </w:p>
        </w:tc>
        <w:tc>
          <w:tcPr>
            <w:tcW w:w="4535" w:type="dxa"/>
            <w:vAlign w:val="center"/>
          </w:tcPr>
          <w:p>
            <w:pPr>
              <w:pStyle w:val="13"/>
            </w:pPr>
            <w:r>
              <w:t>基本工资</w:t>
            </w:r>
          </w:p>
        </w:tc>
        <w:tc>
          <w:tcPr>
            <w:tcW w:w="2551" w:type="dxa"/>
            <w:vAlign w:val="center"/>
          </w:tcPr>
          <w:p>
            <w:pPr>
              <w:pStyle w:val="12"/>
            </w:pPr>
            <w:r>
              <w:t>18.00</w:t>
            </w:r>
          </w:p>
        </w:tc>
        <w:tc>
          <w:tcPr>
            <w:tcW w:w="2551" w:type="dxa"/>
            <w:vAlign w:val="center"/>
          </w:tcPr>
          <w:p>
            <w:pPr>
              <w:pStyle w:val="12"/>
            </w:pPr>
            <w:r>
              <w:t>18.00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4</w:t>
            </w:r>
          </w:p>
        </w:tc>
        <w:tc>
          <w:tcPr>
            <w:tcW w:w="1191" w:type="dxa"/>
            <w:vAlign w:val="center"/>
          </w:tcPr>
          <w:p>
            <w:pPr>
              <w:pStyle w:val="13"/>
            </w:pPr>
            <w:r>
              <w:t>30102</w:t>
            </w:r>
          </w:p>
        </w:tc>
        <w:tc>
          <w:tcPr>
            <w:tcW w:w="4535" w:type="dxa"/>
            <w:vAlign w:val="center"/>
          </w:tcPr>
          <w:p>
            <w:pPr>
              <w:pStyle w:val="13"/>
            </w:pPr>
            <w:r>
              <w:t>津贴补贴</w:t>
            </w:r>
          </w:p>
        </w:tc>
        <w:tc>
          <w:tcPr>
            <w:tcW w:w="2551" w:type="dxa"/>
            <w:vAlign w:val="center"/>
          </w:tcPr>
          <w:p>
            <w:pPr>
              <w:pStyle w:val="12"/>
            </w:pPr>
            <w:r>
              <w:t>9.00</w:t>
            </w:r>
          </w:p>
        </w:tc>
        <w:tc>
          <w:tcPr>
            <w:tcW w:w="2551" w:type="dxa"/>
            <w:vAlign w:val="center"/>
          </w:tcPr>
          <w:p>
            <w:pPr>
              <w:pStyle w:val="12"/>
            </w:pPr>
            <w:r>
              <w:t>9.00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5</w:t>
            </w:r>
          </w:p>
        </w:tc>
        <w:tc>
          <w:tcPr>
            <w:tcW w:w="1191" w:type="dxa"/>
            <w:vAlign w:val="center"/>
          </w:tcPr>
          <w:p>
            <w:pPr>
              <w:pStyle w:val="13"/>
            </w:pPr>
            <w:r>
              <w:t>30103</w:t>
            </w:r>
          </w:p>
        </w:tc>
        <w:tc>
          <w:tcPr>
            <w:tcW w:w="4535" w:type="dxa"/>
            <w:vAlign w:val="center"/>
          </w:tcPr>
          <w:p>
            <w:pPr>
              <w:pStyle w:val="13"/>
            </w:pPr>
            <w:r>
              <w:t>奖金</w:t>
            </w:r>
          </w:p>
        </w:tc>
        <w:tc>
          <w:tcPr>
            <w:tcW w:w="2551" w:type="dxa"/>
            <w:vAlign w:val="center"/>
          </w:tcPr>
          <w:p>
            <w:pPr>
              <w:pStyle w:val="12"/>
            </w:pPr>
            <w:r>
              <w:t>8.50</w:t>
            </w:r>
          </w:p>
        </w:tc>
        <w:tc>
          <w:tcPr>
            <w:tcW w:w="2551" w:type="dxa"/>
            <w:vAlign w:val="center"/>
          </w:tcPr>
          <w:p>
            <w:pPr>
              <w:pStyle w:val="12"/>
            </w:pPr>
            <w:r>
              <w:t>8.50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6</w:t>
            </w:r>
          </w:p>
        </w:tc>
        <w:tc>
          <w:tcPr>
            <w:tcW w:w="1191" w:type="dxa"/>
            <w:vAlign w:val="center"/>
          </w:tcPr>
          <w:p>
            <w:pPr>
              <w:pStyle w:val="13"/>
            </w:pPr>
            <w:r>
              <w:t>30108</w:t>
            </w:r>
          </w:p>
        </w:tc>
        <w:tc>
          <w:tcPr>
            <w:tcW w:w="4535" w:type="dxa"/>
            <w:vAlign w:val="center"/>
          </w:tcPr>
          <w:p>
            <w:pPr>
              <w:pStyle w:val="13"/>
            </w:pPr>
            <w:r>
              <w:t>机关事业单位基本养老保险缴费</w:t>
            </w:r>
          </w:p>
        </w:tc>
        <w:tc>
          <w:tcPr>
            <w:tcW w:w="2551" w:type="dxa"/>
            <w:vAlign w:val="center"/>
          </w:tcPr>
          <w:p>
            <w:pPr>
              <w:pStyle w:val="12"/>
            </w:pPr>
            <w:r>
              <w:t>7.00</w:t>
            </w:r>
          </w:p>
        </w:tc>
        <w:tc>
          <w:tcPr>
            <w:tcW w:w="2551" w:type="dxa"/>
            <w:vAlign w:val="center"/>
          </w:tcPr>
          <w:p>
            <w:pPr>
              <w:pStyle w:val="12"/>
            </w:pPr>
            <w:r>
              <w:t>7.00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7</w:t>
            </w:r>
          </w:p>
        </w:tc>
        <w:tc>
          <w:tcPr>
            <w:tcW w:w="1191" w:type="dxa"/>
            <w:vAlign w:val="center"/>
          </w:tcPr>
          <w:p>
            <w:pPr>
              <w:pStyle w:val="13"/>
            </w:pPr>
            <w:r>
              <w:t>30109</w:t>
            </w:r>
          </w:p>
        </w:tc>
        <w:tc>
          <w:tcPr>
            <w:tcW w:w="4535" w:type="dxa"/>
            <w:vAlign w:val="center"/>
          </w:tcPr>
          <w:p>
            <w:pPr>
              <w:pStyle w:val="13"/>
            </w:pPr>
            <w:r>
              <w:t>职业年金缴费</w:t>
            </w:r>
          </w:p>
        </w:tc>
        <w:tc>
          <w:tcPr>
            <w:tcW w:w="2551" w:type="dxa"/>
            <w:vAlign w:val="center"/>
          </w:tcPr>
          <w:p>
            <w:pPr>
              <w:pStyle w:val="12"/>
            </w:pPr>
            <w:r>
              <w:t>1.00</w:t>
            </w:r>
          </w:p>
        </w:tc>
        <w:tc>
          <w:tcPr>
            <w:tcW w:w="2551" w:type="dxa"/>
            <w:vAlign w:val="center"/>
          </w:tcPr>
          <w:p>
            <w:pPr>
              <w:pStyle w:val="12"/>
            </w:pPr>
            <w:r>
              <w:t>1.00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8</w:t>
            </w:r>
          </w:p>
        </w:tc>
        <w:tc>
          <w:tcPr>
            <w:tcW w:w="1191" w:type="dxa"/>
            <w:vAlign w:val="center"/>
          </w:tcPr>
          <w:p>
            <w:pPr>
              <w:pStyle w:val="13"/>
            </w:pPr>
            <w:r>
              <w:t>30110</w:t>
            </w:r>
          </w:p>
        </w:tc>
        <w:tc>
          <w:tcPr>
            <w:tcW w:w="4535" w:type="dxa"/>
            <w:vAlign w:val="center"/>
          </w:tcPr>
          <w:p>
            <w:pPr>
              <w:pStyle w:val="13"/>
            </w:pPr>
            <w:r>
              <w:t>职工基本医疗保险缴费</w:t>
            </w:r>
          </w:p>
        </w:tc>
        <w:tc>
          <w:tcPr>
            <w:tcW w:w="2551" w:type="dxa"/>
            <w:vAlign w:val="center"/>
          </w:tcPr>
          <w:p>
            <w:pPr>
              <w:pStyle w:val="12"/>
            </w:pPr>
            <w:r>
              <w:t>2.50</w:t>
            </w:r>
          </w:p>
        </w:tc>
        <w:tc>
          <w:tcPr>
            <w:tcW w:w="2551" w:type="dxa"/>
            <w:vAlign w:val="center"/>
          </w:tcPr>
          <w:p>
            <w:pPr>
              <w:pStyle w:val="12"/>
            </w:pPr>
            <w:r>
              <w:t>2.50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9</w:t>
            </w:r>
          </w:p>
        </w:tc>
        <w:tc>
          <w:tcPr>
            <w:tcW w:w="1191" w:type="dxa"/>
            <w:vAlign w:val="center"/>
          </w:tcPr>
          <w:p>
            <w:pPr>
              <w:pStyle w:val="13"/>
            </w:pPr>
            <w:r>
              <w:t>30112</w:t>
            </w:r>
          </w:p>
        </w:tc>
        <w:tc>
          <w:tcPr>
            <w:tcW w:w="4535" w:type="dxa"/>
            <w:vAlign w:val="center"/>
          </w:tcPr>
          <w:p>
            <w:pPr>
              <w:pStyle w:val="13"/>
            </w:pPr>
            <w:r>
              <w:t>其他社会保障缴费</w:t>
            </w:r>
          </w:p>
        </w:tc>
        <w:tc>
          <w:tcPr>
            <w:tcW w:w="2551" w:type="dxa"/>
            <w:vAlign w:val="center"/>
          </w:tcPr>
          <w:p>
            <w:pPr>
              <w:pStyle w:val="12"/>
            </w:pPr>
            <w:r>
              <w:t>0.20</w:t>
            </w:r>
          </w:p>
        </w:tc>
        <w:tc>
          <w:tcPr>
            <w:tcW w:w="2551" w:type="dxa"/>
            <w:vAlign w:val="center"/>
          </w:tcPr>
          <w:p>
            <w:pPr>
              <w:pStyle w:val="12"/>
            </w:pPr>
            <w:r>
              <w:t>0.20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10</w:t>
            </w:r>
          </w:p>
        </w:tc>
        <w:tc>
          <w:tcPr>
            <w:tcW w:w="1191" w:type="dxa"/>
            <w:vAlign w:val="center"/>
          </w:tcPr>
          <w:p>
            <w:pPr>
              <w:pStyle w:val="13"/>
            </w:pPr>
            <w:r>
              <w:t>302</w:t>
            </w:r>
          </w:p>
        </w:tc>
        <w:tc>
          <w:tcPr>
            <w:tcW w:w="4535" w:type="dxa"/>
            <w:vAlign w:val="center"/>
          </w:tcPr>
          <w:p>
            <w:pPr>
              <w:pStyle w:val="13"/>
            </w:pPr>
            <w:r>
              <w:t>商品和服务支出</w:t>
            </w:r>
          </w:p>
        </w:tc>
        <w:tc>
          <w:tcPr>
            <w:tcW w:w="2551" w:type="dxa"/>
            <w:vAlign w:val="center"/>
          </w:tcPr>
          <w:p>
            <w:pPr>
              <w:pStyle w:val="12"/>
            </w:pPr>
            <w:r>
              <w:t>6.00</w:t>
            </w:r>
          </w:p>
        </w:tc>
        <w:tc>
          <w:tcPr>
            <w:tcW w:w="2551" w:type="dxa"/>
            <w:vAlign w:val="center"/>
          </w:tcPr>
          <w:p>
            <w:pPr>
              <w:pStyle w:val="12"/>
            </w:pPr>
          </w:p>
        </w:tc>
        <w:tc>
          <w:tcPr>
            <w:tcW w:w="2551" w:type="dxa"/>
            <w:vAlign w:val="center"/>
          </w:tcPr>
          <w:p>
            <w:pPr>
              <w:pStyle w:val="12"/>
            </w:pPr>
            <w:r>
              <w:t>6.00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11</w:t>
            </w:r>
          </w:p>
        </w:tc>
        <w:tc>
          <w:tcPr>
            <w:tcW w:w="1191" w:type="dxa"/>
            <w:vAlign w:val="center"/>
          </w:tcPr>
          <w:p>
            <w:pPr>
              <w:pStyle w:val="13"/>
            </w:pPr>
            <w:r>
              <w:t>30201</w:t>
            </w:r>
          </w:p>
        </w:tc>
        <w:tc>
          <w:tcPr>
            <w:tcW w:w="4535" w:type="dxa"/>
            <w:vAlign w:val="center"/>
          </w:tcPr>
          <w:p>
            <w:pPr>
              <w:pStyle w:val="13"/>
            </w:pPr>
            <w:r>
              <w:t>办公费</w:t>
            </w:r>
          </w:p>
        </w:tc>
        <w:tc>
          <w:tcPr>
            <w:tcW w:w="2551" w:type="dxa"/>
            <w:vAlign w:val="center"/>
          </w:tcPr>
          <w:p>
            <w:pPr>
              <w:pStyle w:val="12"/>
            </w:pPr>
            <w:r>
              <w:t>1.50</w:t>
            </w:r>
          </w:p>
        </w:tc>
        <w:tc>
          <w:tcPr>
            <w:tcW w:w="2551" w:type="dxa"/>
            <w:vAlign w:val="center"/>
          </w:tcPr>
          <w:p>
            <w:pPr>
              <w:pStyle w:val="12"/>
            </w:pPr>
          </w:p>
        </w:tc>
        <w:tc>
          <w:tcPr>
            <w:tcW w:w="2551" w:type="dxa"/>
            <w:vAlign w:val="center"/>
          </w:tcPr>
          <w:p>
            <w:pPr>
              <w:pStyle w:val="12"/>
            </w:pPr>
            <w:r>
              <w:t>1.50</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12</w:t>
            </w:r>
          </w:p>
        </w:tc>
        <w:tc>
          <w:tcPr>
            <w:tcW w:w="1191" w:type="dxa"/>
            <w:vAlign w:val="center"/>
          </w:tcPr>
          <w:p>
            <w:pPr>
              <w:pStyle w:val="13"/>
            </w:pPr>
            <w:r>
              <w:t>30207</w:t>
            </w:r>
          </w:p>
        </w:tc>
        <w:tc>
          <w:tcPr>
            <w:tcW w:w="4535" w:type="dxa"/>
            <w:vAlign w:val="center"/>
          </w:tcPr>
          <w:p>
            <w:pPr>
              <w:pStyle w:val="13"/>
            </w:pPr>
            <w:r>
              <w:t>邮电费</w:t>
            </w:r>
          </w:p>
        </w:tc>
        <w:tc>
          <w:tcPr>
            <w:tcW w:w="2551" w:type="dxa"/>
            <w:vAlign w:val="center"/>
          </w:tcPr>
          <w:p>
            <w:pPr>
              <w:pStyle w:val="12"/>
            </w:pPr>
            <w:r>
              <w:t>1.86</w:t>
            </w:r>
          </w:p>
        </w:tc>
        <w:tc>
          <w:tcPr>
            <w:tcW w:w="2551" w:type="dxa"/>
            <w:vAlign w:val="center"/>
          </w:tcPr>
          <w:p>
            <w:pPr>
              <w:pStyle w:val="12"/>
            </w:pPr>
          </w:p>
        </w:tc>
        <w:tc>
          <w:tcPr>
            <w:tcW w:w="2551" w:type="dxa"/>
            <w:vAlign w:val="center"/>
          </w:tcPr>
          <w:p>
            <w:pPr>
              <w:pStyle w:val="12"/>
            </w:pPr>
            <w:r>
              <w:t>1.86</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13</w:t>
            </w:r>
          </w:p>
        </w:tc>
        <w:tc>
          <w:tcPr>
            <w:tcW w:w="1191" w:type="dxa"/>
            <w:vAlign w:val="center"/>
          </w:tcPr>
          <w:p>
            <w:pPr>
              <w:pStyle w:val="13"/>
            </w:pPr>
            <w:r>
              <w:t>30239</w:t>
            </w:r>
          </w:p>
        </w:tc>
        <w:tc>
          <w:tcPr>
            <w:tcW w:w="4535" w:type="dxa"/>
            <w:vAlign w:val="center"/>
          </w:tcPr>
          <w:p>
            <w:pPr>
              <w:pStyle w:val="13"/>
            </w:pPr>
            <w:r>
              <w:t>其他交通费用</w:t>
            </w:r>
          </w:p>
        </w:tc>
        <w:tc>
          <w:tcPr>
            <w:tcW w:w="2551" w:type="dxa"/>
            <w:vAlign w:val="center"/>
          </w:tcPr>
          <w:p>
            <w:pPr>
              <w:pStyle w:val="12"/>
            </w:pPr>
            <w:r>
              <w:t>2.64</w:t>
            </w:r>
          </w:p>
        </w:tc>
        <w:tc>
          <w:tcPr>
            <w:tcW w:w="2551" w:type="dxa"/>
            <w:vAlign w:val="center"/>
          </w:tcPr>
          <w:p>
            <w:pPr>
              <w:pStyle w:val="12"/>
            </w:pPr>
          </w:p>
        </w:tc>
        <w:tc>
          <w:tcPr>
            <w:tcW w:w="2551" w:type="dxa"/>
            <w:vAlign w:val="center"/>
          </w:tcPr>
          <w:p>
            <w:pPr>
              <w:pStyle w:val="12"/>
            </w:pPr>
            <w:r>
              <w:t>2.64</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14</w:t>
            </w:r>
          </w:p>
        </w:tc>
        <w:tc>
          <w:tcPr>
            <w:tcW w:w="1191" w:type="dxa"/>
            <w:vAlign w:val="center"/>
          </w:tcPr>
          <w:p>
            <w:pPr>
              <w:pStyle w:val="13"/>
            </w:pPr>
            <w:r>
              <w:t>303</w:t>
            </w:r>
          </w:p>
        </w:tc>
        <w:tc>
          <w:tcPr>
            <w:tcW w:w="4535" w:type="dxa"/>
            <w:vAlign w:val="center"/>
          </w:tcPr>
          <w:p>
            <w:pPr>
              <w:pStyle w:val="13"/>
            </w:pPr>
            <w:r>
              <w:t>对个人和家庭的补助</w:t>
            </w:r>
          </w:p>
        </w:tc>
        <w:tc>
          <w:tcPr>
            <w:tcW w:w="2551" w:type="dxa"/>
            <w:vAlign w:val="center"/>
          </w:tcPr>
          <w:p>
            <w:pPr>
              <w:pStyle w:val="12"/>
            </w:pPr>
            <w:r>
              <w:t>13.60</w:t>
            </w:r>
          </w:p>
        </w:tc>
        <w:tc>
          <w:tcPr>
            <w:tcW w:w="2551" w:type="dxa"/>
            <w:vAlign w:val="center"/>
          </w:tcPr>
          <w:p>
            <w:pPr>
              <w:pStyle w:val="12"/>
            </w:pPr>
            <w:r>
              <w:t>13.60</w:t>
            </w:r>
          </w:p>
        </w:tc>
        <w:tc>
          <w:tcPr>
            <w:tcW w:w="2551"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r>
              <w:t>15</w:t>
            </w:r>
          </w:p>
        </w:tc>
        <w:tc>
          <w:tcPr>
            <w:tcW w:w="1191" w:type="dxa"/>
            <w:vAlign w:val="center"/>
          </w:tcPr>
          <w:p>
            <w:pPr>
              <w:pStyle w:val="13"/>
            </w:pPr>
            <w:r>
              <w:t>30302</w:t>
            </w:r>
          </w:p>
        </w:tc>
        <w:tc>
          <w:tcPr>
            <w:tcW w:w="4535" w:type="dxa"/>
            <w:vAlign w:val="center"/>
          </w:tcPr>
          <w:p>
            <w:pPr>
              <w:pStyle w:val="13"/>
            </w:pPr>
            <w:r>
              <w:t>退休费</w:t>
            </w:r>
          </w:p>
        </w:tc>
        <w:tc>
          <w:tcPr>
            <w:tcW w:w="2551" w:type="dxa"/>
            <w:vAlign w:val="center"/>
          </w:tcPr>
          <w:p>
            <w:pPr>
              <w:pStyle w:val="12"/>
            </w:pPr>
            <w:r>
              <w:t>13.60</w:t>
            </w:r>
          </w:p>
        </w:tc>
        <w:tc>
          <w:tcPr>
            <w:tcW w:w="2551" w:type="dxa"/>
            <w:vAlign w:val="center"/>
          </w:tcPr>
          <w:p>
            <w:pPr>
              <w:pStyle w:val="12"/>
            </w:pPr>
            <w:r>
              <w:t>13.60</w:t>
            </w:r>
          </w:p>
        </w:tc>
        <w:tc>
          <w:tcPr>
            <w:tcW w:w="2551" w:type="dxa"/>
            <w:vAlign w:val="center"/>
          </w:tcPr>
          <w:p>
            <w:pPr>
              <w:pStyle w:val="12"/>
            </w:pPr>
          </w:p>
        </w:tc>
      </w:tr>
    </w:tbl>
    <w:p>
      <w:pPr>
        <w:sectPr>
          <w:pgSz w:w="16840" w:h="11900" w:orient="landscape"/>
          <w:pgMar w:top="1361" w:right="1020" w:bottom="1134" w:left="1020" w:header="720" w:footer="720" w:gutter="0"/>
          <w:cols w:space="720" w:num="1"/>
        </w:sectPr>
      </w:pPr>
    </w:p>
    <w:p>
      <w:pPr>
        <w:jc w:val="center"/>
        <w:outlineLvl w:val="1"/>
      </w:pPr>
      <w:bookmarkStart w:id="6" w:name="_Toc_2_2_0000000007"/>
      <w:r>
        <w:rPr>
          <w:rFonts w:ascii="方正小标宋_GBK" w:hAnsi="方正小标宋_GBK" w:eastAsia="方正小标宋_GBK" w:cs="方正小标宋_GBK"/>
          <w:color w:val="000000"/>
          <w:sz w:val="36"/>
        </w:rPr>
        <w:t>部门预算政府性基金预算财政拨款支出表</w:t>
      </w:r>
      <w:bookmarkEnd w:id="6"/>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注：无政府性基金预算财政拨款预算，空表列示。</w:t>
      </w:r>
    </w:p>
    <w:p>
      <w:pPr>
        <w:jc w:val="center"/>
        <w:outlineLvl w:val="1"/>
      </w:pPr>
      <w:bookmarkStart w:id="7" w:name="_Toc_2_2_0000000008"/>
      <w:r>
        <w:rPr>
          <w:rFonts w:ascii="方正小标宋_GBK" w:hAnsi="方正小标宋_GBK" w:eastAsia="方正小标宋_GBK" w:cs="方正小标宋_GBK"/>
          <w:color w:val="000000"/>
          <w:sz w:val="36"/>
        </w:rPr>
        <w:t>部门预算国有资本经营预算财政拨款支出表</w:t>
      </w:r>
      <w:bookmarkEnd w:id="7"/>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1191"/>
        <w:gridCol w:w="4535"/>
        <w:gridCol w:w="2551"/>
        <w:gridCol w:w="2551"/>
        <w:gridCol w:w="255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6576"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551" w:type="dxa"/>
            <w:tcBorders>
              <w:top w:val="single" w:color="FFFFFF" w:sz="6" w:space="0"/>
              <w:left w:val="single" w:color="FFFFFF" w:sz="6" w:space="0"/>
              <w:right w:val="single" w:color="FFFFFF" w:sz="6" w:space="0"/>
            </w:tcBorders>
            <w:vAlign w:val="center"/>
          </w:tcPr>
          <w:p>
            <w:pPr>
              <w:pStyle w:val="9"/>
            </w:pPr>
            <w:r>
              <w:t>预算年度：2025</w:t>
            </w:r>
          </w:p>
        </w:tc>
        <w:tc>
          <w:tcPr>
            <w:tcW w:w="510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5726" w:type="dxa"/>
            <w:gridSpan w:val="2"/>
            <w:vAlign w:val="center"/>
          </w:tcPr>
          <w:p>
            <w:pPr>
              <w:pStyle w:val="11"/>
            </w:pPr>
            <w:r>
              <w:t>功能分类科目</w:t>
            </w:r>
          </w:p>
        </w:tc>
        <w:tc>
          <w:tcPr>
            <w:tcW w:w="2551" w:type="dxa"/>
            <w:vMerge w:val="restart"/>
            <w:vAlign w:val="center"/>
          </w:tcPr>
          <w:p>
            <w:pPr>
              <w:pStyle w:val="11"/>
            </w:pPr>
            <w:r>
              <w:t>合计</w:t>
            </w:r>
          </w:p>
        </w:tc>
        <w:tc>
          <w:tcPr>
            <w:tcW w:w="2551" w:type="dxa"/>
            <w:vMerge w:val="restart"/>
            <w:vAlign w:val="center"/>
          </w:tcPr>
          <w:p>
            <w:pPr>
              <w:pStyle w:val="11"/>
            </w:pPr>
            <w:r>
              <w:t>基本支出</w:t>
            </w:r>
          </w:p>
        </w:tc>
        <w:tc>
          <w:tcPr>
            <w:tcW w:w="2551" w:type="dxa"/>
            <w:vMerge w:val="restart"/>
            <w:vAlign w:val="center"/>
          </w:tcPr>
          <w:p>
            <w:pPr>
              <w:pStyle w:val="11"/>
            </w:pPr>
            <w:r>
              <w:t>项目支出</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continue"/>
          </w:tcPr>
          <w:p/>
        </w:tc>
        <w:tc>
          <w:tcPr>
            <w:tcW w:w="1191" w:type="dxa"/>
            <w:vAlign w:val="center"/>
          </w:tcPr>
          <w:p>
            <w:pPr>
              <w:pStyle w:val="11"/>
            </w:pPr>
            <w:r>
              <w:t>科目编码</w:t>
            </w:r>
          </w:p>
        </w:tc>
        <w:tc>
          <w:tcPr>
            <w:tcW w:w="4535" w:type="dxa"/>
            <w:vAlign w:val="center"/>
          </w:tcPr>
          <w:p>
            <w:pPr>
              <w:pStyle w:val="11"/>
            </w:pPr>
            <w:r>
              <w:t>科目名称</w:t>
            </w:r>
          </w:p>
        </w:tc>
        <w:tc>
          <w:tcPr>
            <w:tcW w:w="2551" w:type="dxa"/>
            <w:vMerge w:val="continue"/>
          </w:tcPr>
          <w:p/>
        </w:tc>
        <w:tc>
          <w:tcPr>
            <w:tcW w:w="2551" w:type="dxa"/>
            <w:vMerge w:val="continue"/>
          </w:tcPr>
          <w:p/>
        </w:tc>
        <w:tc>
          <w:tcPr>
            <w:tcW w:w="2551"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Align w:val="center"/>
          </w:tcPr>
          <w:p>
            <w:pPr>
              <w:pStyle w:val="11"/>
            </w:pPr>
            <w:r>
              <w:t>栏次</w:t>
            </w:r>
          </w:p>
        </w:tc>
        <w:tc>
          <w:tcPr>
            <w:tcW w:w="1191" w:type="dxa"/>
            <w:vAlign w:val="center"/>
          </w:tcPr>
          <w:p>
            <w:pPr>
              <w:pStyle w:val="11"/>
            </w:pPr>
            <w:r>
              <w:t>1</w:t>
            </w:r>
          </w:p>
        </w:tc>
        <w:tc>
          <w:tcPr>
            <w:tcW w:w="4535" w:type="dxa"/>
            <w:vAlign w:val="center"/>
          </w:tcPr>
          <w:p>
            <w:pPr>
              <w:pStyle w:val="11"/>
            </w:pPr>
            <w:r>
              <w:t>2</w:t>
            </w:r>
          </w:p>
        </w:tc>
        <w:tc>
          <w:tcPr>
            <w:tcW w:w="2551" w:type="dxa"/>
            <w:vAlign w:val="center"/>
          </w:tcPr>
          <w:p>
            <w:pPr>
              <w:pStyle w:val="11"/>
            </w:pPr>
            <w:r>
              <w:t>3</w:t>
            </w:r>
          </w:p>
        </w:tc>
        <w:tc>
          <w:tcPr>
            <w:tcW w:w="2551" w:type="dxa"/>
            <w:vAlign w:val="center"/>
          </w:tcPr>
          <w:p>
            <w:pPr>
              <w:pStyle w:val="11"/>
            </w:pPr>
            <w:r>
              <w:t>4</w:t>
            </w:r>
          </w:p>
        </w:tc>
        <w:tc>
          <w:tcPr>
            <w:tcW w:w="255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850" w:type="dxa"/>
            <w:vAlign w:val="center"/>
          </w:tcPr>
          <w:p>
            <w:pPr>
              <w:pStyle w:val="14"/>
            </w:pPr>
          </w:p>
        </w:tc>
        <w:tc>
          <w:tcPr>
            <w:tcW w:w="1191" w:type="dxa"/>
            <w:vAlign w:val="center"/>
          </w:tcPr>
          <w:p>
            <w:pPr>
              <w:pStyle w:val="13"/>
            </w:pPr>
          </w:p>
        </w:tc>
        <w:tc>
          <w:tcPr>
            <w:tcW w:w="4535" w:type="dxa"/>
            <w:vAlign w:val="center"/>
          </w:tcPr>
          <w:p>
            <w:pPr>
              <w:pStyle w:val="13"/>
            </w:pPr>
          </w:p>
        </w:tc>
        <w:tc>
          <w:tcPr>
            <w:tcW w:w="2551" w:type="dxa"/>
            <w:vAlign w:val="center"/>
          </w:tcPr>
          <w:p>
            <w:pPr>
              <w:pStyle w:val="12"/>
            </w:pPr>
          </w:p>
        </w:tc>
        <w:tc>
          <w:tcPr>
            <w:tcW w:w="2551" w:type="dxa"/>
            <w:vAlign w:val="center"/>
          </w:tcPr>
          <w:p>
            <w:pPr>
              <w:pStyle w:val="12"/>
            </w:pPr>
          </w:p>
        </w:tc>
        <w:tc>
          <w:tcPr>
            <w:tcW w:w="2551" w:type="dxa"/>
            <w:vAlign w:val="center"/>
          </w:tcPr>
          <w:p>
            <w:pPr>
              <w:pStyle w:val="12"/>
            </w:pPr>
          </w:p>
        </w:tc>
      </w:tr>
    </w:tbl>
    <w:p>
      <w:pPr>
        <w:ind w:firstLine="420"/>
        <w:sectPr>
          <w:pgSz w:w="16840" w:h="11900" w:orient="landscape"/>
          <w:pgMar w:top="1361" w:right="1020" w:bottom="1134" w:left="1020" w:header="720" w:footer="720" w:gutter="0"/>
          <w:cols w:space="720" w:num="1"/>
        </w:sectPr>
      </w:pPr>
      <w:r>
        <w:rPr>
          <w:rFonts w:ascii="方正书宋_GBK" w:hAnsi="方正书宋_GBK" w:eastAsia="方正书宋_GBK" w:cs="方正书宋_GBK"/>
          <w:color w:val="000000"/>
          <w:sz w:val="21"/>
        </w:rPr>
        <w:t>注：无国有资本经营预算财政拨款预算，空表列示。</w:t>
      </w:r>
    </w:p>
    <w:p>
      <w:pPr>
        <w:jc w:val="center"/>
        <w:outlineLvl w:val="1"/>
      </w:pPr>
      <w:bookmarkStart w:id="8" w:name="_Toc_2_2_0000000009"/>
      <w:r>
        <w:rPr>
          <w:rFonts w:ascii="方正小标宋_GBK" w:hAnsi="方正小标宋_GBK" w:eastAsia="方正小标宋_GBK" w:cs="方正小标宋_GBK"/>
          <w:color w:val="000000"/>
          <w:sz w:val="36"/>
        </w:rPr>
        <w:t>部门预算财政拨款“三公”经费支出表</w:t>
      </w:r>
      <w:bookmarkEnd w:id="8"/>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850"/>
        <w:gridCol w:w="3798"/>
        <w:gridCol w:w="2381"/>
        <w:gridCol w:w="2381"/>
        <w:gridCol w:w="2381"/>
        <w:gridCol w:w="2381"/>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7029" w:type="dxa"/>
            <w:gridSpan w:val="3"/>
            <w:tcBorders>
              <w:top w:val="single" w:color="FFFFFF" w:sz="6" w:space="0"/>
              <w:left w:val="single" w:color="FFFFFF" w:sz="6" w:space="0"/>
              <w:right w:val="single" w:color="FFFFFF" w:sz="6" w:space="0"/>
            </w:tcBorders>
            <w:vAlign w:val="center"/>
          </w:tcPr>
          <w:p>
            <w:pPr>
              <w:pStyle w:val="10"/>
            </w:pPr>
            <w:r>
              <w:t>713无极县妇女联合会</w:t>
            </w:r>
          </w:p>
        </w:tc>
        <w:tc>
          <w:tcPr>
            <w:tcW w:w="2381" w:type="dxa"/>
            <w:tcBorders>
              <w:top w:val="single" w:color="FFFFFF" w:sz="6" w:space="0"/>
              <w:left w:val="single" w:color="FFFFFF" w:sz="6" w:space="0"/>
              <w:right w:val="single" w:color="FFFFFF" w:sz="6" w:space="0"/>
            </w:tcBorders>
            <w:vAlign w:val="center"/>
          </w:tcPr>
          <w:p>
            <w:pPr>
              <w:pStyle w:val="9"/>
            </w:pPr>
            <w:r>
              <w:t>预算年度：2025</w:t>
            </w:r>
          </w:p>
        </w:tc>
        <w:tc>
          <w:tcPr>
            <w:tcW w:w="4762" w:type="dxa"/>
            <w:gridSpan w:val="2"/>
            <w:tcBorders>
              <w:top w:val="single" w:color="FFFFFF" w:sz="6" w:space="0"/>
              <w:left w:val="single" w:color="FFFFFF" w:sz="6" w:space="0"/>
              <w:right w:val="single" w:color="FFFFFF" w:sz="6" w:space="0"/>
            </w:tcBorders>
            <w:vAlign w:val="center"/>
          </w:tcPr>
          <w:p>
            <w:pPr>
              <w:pStyle w:val="8"/>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tblHeader/>
          <w:jc w:val="center"/>
        </w:trPr>
        <w:tc>
          <w:tcPr>
            <w:tcW w:w="850" w:type="dxa"/>
            <w:vMerge w:val="restart"/>
            <w:vAlign w:val="center"/>
          </w:tcPr>
          <w:p>
            <w:pPr>
              <w:pStyle w:val="11"/>
            </w:pPr>
            <w:r>
              <w:t>序号</w:t>
            </w:r>
          </w:p>
        </w:tc>
        <w:tc>
          <w:tcPr>
            <w:tcW w:w="3798" w:type="dxa"/>
            <w:vMerge w:val="restart"/>
            <w:vAlign w:val="center"/>
          </w:tcPr>
          <w:p>
            <w:pPr>
              <w:pStyle w:val="11"/>
            </w:pPr>
            <w:r>
              <w:t>项  目</w:t>
            </w:r>
          </w:p>
        </w:tc>
        <w:tc>
          <w:tcPr>
            <w:tcW w:w="9524" w:type="dxa"/>
            <w:gridSpan w:val="4"/>
            <w:vAlign w:val="center"/>
          </w:tcPr>
          <w:p>
            <w:pPr>
              <w:pStyle w:val="11"/>
            </w:pPr>
            <w:r>
              <w:t>资 金 性 质</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Merge w:val="continue"/>
          </w:tcPr>
          <w:p/>
        </w:tc>
        <w:tc>
          <w:tcPr>
            <w:tcW w:w="3798" w:type="dxa"/>
            <w:vMerge w:val="continue"/>
          </w:tcPr>
          <w:p/>
        </w:tc>
        <w:tc>
          <w:tcPr>
            <w:tcW w:w="2381" w:type="dxa"/>
            <w:vAlign w:val="center"/>
          </w:tcPr>
          <w:p>
            <w:pPr>
              <w:pStyle w:val="11"/>
            </w:pPr>
            <w:r>
              <w:t>合计</w:t>
            </w:r>
          </w:p>
        </w:tc>
        <w:tc>
          <w:tcPr>
            <w:tcW w:w="2381" w:type="dxa"/>
            <w:vAlign w:val="center"/>
          </w:tcPr>
          <w:p>
            <w:pPr>
              <w:pStyle w:val="11"/>
            </w:pPr>
            <w:r>
              <w:t>一般公共预算              财政拨款</w:t>
            </w:r>
          </w:p>
        </w:tc>
        <w:tc>
          <w:tcPr>
            <w:tcW w:w="2381" w:type="dxa"/>
            <w:vAlign w:val="center"/>
          </w:tcPr>
          <w:p>
            <w:pPr>
              <w:pStyle w:val="11"/>
            </w:pPr>
            <w:r>
              <w:t>政府性基金                  预算拨款</w:t>
            </w:r>
          </w:p>
        </w:tc>
        <w:tc>
          <w:tcPr>
            <w:tcW w:w="2381" w:type="dxa"/>
            <w:vAlign w:val="center"/>
          </w:tcPr>
          <w:p>
            <w:pPr>
              <w:pStyle w:val="11"/>
            </w:pPr>
            <w:r>
              <w:t>国有资本经营              预算财政拨款</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850" w:type="dxa"/>
            <w:vAlign w:val="center"/>
          </w:tcPr>
          <w:p>
            <w:pPr>
              <w:pStyle w:val="11"/>
            </w:pPr>
            <w:r>
              <w:t>栏次</w:t>
            </w:r>
          </w:p>
        </w:tc>
        <w:tc>
          <w:tcPr>
            <w:tcW w:w="3798" w:type="dxa"/>
            <w:vAlign w:val="center"/>
          </w:tcPr>
          <w:p>
            <w:pPr>
              <w:pStyle w:val="11"/>
            </w:pPr>
            <w:r>
              <w:t>1</w:t>
            </w:r>
          </w:p>
        </w:tc>
        <w:tc>
          <w:tcPr>
            <w:tcW w:w="2381" w:type="dxa"/>
            <w:vAlign w:val="center"/>
          </w:tcPr>
          <w:p>
            <w:pPr>
              <w:pStyle w:val="11"/>
            </w:pPr>
            <w:r>
              <w:t>2</w:t>
            </w:r>
          </w:p>
        </w:tc>
        <w:tc>
          <w:tcPr>
            <w:tcW w:w="2381" w:type="dxa"/>
            <w:vAlign w:val="center"/>
          </w:tcPr>
          <w:p>
            <w:pPr>
              <w:pStyle w:val="11"/>
            </w:pPr>
            <w:r>
              <w:t>3</w:t>
            </w:r>
          </w:p>
        </w:tc>
        <w:tc>
          <w:tcPr>
            <w:tcW w:w="2381" w:type="dxa"/>
            <w:vAlign w:val="center"/>
          </w:tcPr>
          <w:p>
            <w:pPr>
              <w:pStyle w:val="11"/>
            </w:pPr>
            <w:r>
              <w:t>4</w:t>
            </w:r>
          </w:p>
        </w:tc>
        <w:tc>
          <w:tcPr>
            <w:tcW w:w="2381" w:type="dxa"/>
            <w:vAlign w:val="center"/>
          </w:tcPr>
          <w:p>
            <w:pPr>
              <w:pStyle w:val="11"/>
            </w:pPr>
            <w:r>
              <w:t>5</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jc w:val="center"/>
        </w:trPr>
        <w:tc>
          <w:tcPr>
            <w:tcW w:w="850" w:type="dxa"/>
            <w:vAlign w:val="center"/>
          </w:tcPr>
          <w:p>
            <w:pPr>
              <w:pStyle w:val="14"/>
            </w:pPr>
          </w:p>
        </w:tc>
        <w:tc>
          <w:tcPr>
            <w:tcW w:w="3798" w:type="dxa"/>
            <w:vAlign w:val="center"/>
          </w:tcPr>
          <w:p>
            <w:pPr>
              <w:pStyle w:val="13"/>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c>
          <w:tcPr>
            <w:tcW w:w="2381" w:type="dxa"/>
            <w:vAlign w:val="center"/>
          </w:tcPr>
          <w:p>
            <w:pPr>
              <w:pStyle w:val="12"/>
            </w:pPr>
          </w:p>
        </w:tc>
      </w:tr>
    </w:tbl>
    <w:p>
      <w:pPr>
        <w:ind w:firstLine="420"/>
      </w:pPr>
      <w:r>
        <w:rPr>
          <w:rFonts w:ascii="方正书宋_GBK" w:hAnsi="方正书宋_GBK" w:eastAsia="方正书宋_GBK" w:cs="方正书宋_GBK"/>
          <w:color w:val="000000"/>
          <w:sz w:val="21"/>
        </w:rPr>
        <w:t>注：无财政拨款“三公”经费支出预算，空表列示。</w:t>
      </w:r>
    </w:p>
    <w:p>
      <w:pPr>
        <w:jc w:val="center"/>
        <w:outlineLvl w:val="0"/>
        <w:sectPr>
          <w:pgSz w:w="16840" w:h="11900" w:orient="landscape"/>
          <w:pgMar w:top="1361" w:right="1020" w:bottom="1361" w:left="1020" w:header="720" w:footer="720" w:gutter="0"/>
          <w:cols w:space="720" w:num="1"/>
        </w:sectPr>
      </w:pPr>
      <w:r>
        <w:rPr>
          <w:rFonts w:ascii="方正书宋_GBK" w:hAnsi="方正书宋_GBK" w:eastAsia="方正书宋_GBK" w:cs="方正书宋_GBK"/>
          <w:color w:val="FFFFFF"/>
          <w:sz w:val="21"/>
        </w:rPr>
        <w:t>第一部分  无极县妇女联合会2025年部门预算信息公开情况说明</w:t>
      </w:r>
    </w:p>
    <w:p>
      <w:pPr>
        <w:jc w:val="center"/>
      </w:pPr>
      <w:r>
        <w:rPr>
          <w:rFonts w:ascii="方正小标宋_GBK" w:hAnsi="方正小标宋_GBK" w:eastAsia="方正小标宋_GBK" w:cs="方正小标宋_GBK"/>
          <w:color w:val="000000"/>
          <w:sz w:val="44"/>
        </w:rPr>
        <w:t>无极县妇女联合会2025年部门预算信息公开情况说明</w:t>
      </w:r>
    </w:p>
    <w:p>
      <w:pPr>
        <w:spacing w:line="500" w:lineRule="exact"/>
        <w:ind w:firstLine="560"/>
      </w:pPr>
      <w:r>
        <w:rPr>
          <w:rFonts w:eastAsia="方正仿宋_GBK"/>
          <w:color w:val="000000"/>
          <w:sz w:val="28"/>
        </w:rPr>
        <w:t>按照《中华人民共和国预算法》、《地方预决算公开操作规程》和《关于进一步推进预算公开工作的实施意见》规定，现将无极县妇女联合会2025年部门预算公开如下：</w:t>
      </w:r>
    </w:p>
    <w:p>
      <w:pPr>
        <w:spacing w:before="10" w:after="10" w:line="360" w:lineRule="auto"/>
        <w:ind w:firstLine="640"/>
        <w:outlineLvl w:val="2"/>
      </w:pPr>
      <w:bookmarkStart w:id="9" w:name="_Toc_3_3_0000000010"/>
      <w:r>
        <w:rPr>
          <w:rFonts w:ascii="黑体" w:hAnsi="黑体" w:eastAsia="黑体" w:cs="黑体"/>
          <w:color w:val="000000"/>
          <w:sz w:val="32"/>
        </w:rPr>
        <w:t>一、部门职责及机构设置情况</w:t>
      </w:r>
      <w:bookmarkEnd w:id="9"/>
    </w:p>
    <w:p>
      <w:pPr>
        <w:ind w:firstLine="640"/>
      </w:pPr>
      <w:r>
        <w:rPr>
          <w:rFonts w:ascii="方正楷体_GBK" w:hAnsi="方正楷体_GBK" w:eastAsia="方正楷体_GBK" w:cs="方正楷体_GBK"/>
          <w:b/>
          <w:color w:val="000000"/>
          <w:sz w:val="32"/>
        </w:rPr>
        <w:t>部门职责：</w:t>
      </w:r>
    </w:p>
    <w:p>
      <w:pPr>
        <w:pStyle w:val="26"/>
      </w:pPr>
      <w:r>
        <w:t>在上级部门的正确领导下，紧紧围绕县委县政府中心工作，制定了各项职能绩效目标，在推动科学发展、后发赶超、同步小康和妇女儿童事业发展中发挥重要作用。县妇联对照下达的目标任务，逐项跟踪督促落实，采取年终考评与平时督查相结合、现场考评与考评组测评相结合方式，对各项的绩效目标任务完成情况进行了全面考评。考评中年度目标工作将与以往考评存在较大不同，更加注重过程控制和整体效果体现。进行等级设置，按照目标制定的评价体系，在妇女儿童事务管理达标中设置出“优、良、中、差”四个档次，力争达优。</w:t>
      </w:r>
    </w:p>
    <w:p>
      <w:pPr>
        <w:pStyle w:val="18"/>
      </w:pPr>
    </w:p>
    <w:p>
      <w:pPr>
        <w:ind w:firstLine="640"/>
      </w:pPr>
      <w:r>
        <w:rPr>
          <w:rFonts w:ascii="方正楷体_GBK" w:hAnsi="方正楷体_GBK" w:eastAsia="方正楷体_GBK" w:cs="方正楷体_GBK"/>
          <w:b/>
          <w:color w:val="000000"/>
          <w:sz w:val="32"/>
        </w:rPr>
        <w:t>机构设置：</w:t>
      </w:r>
    </w:p>
    <w:p>
      <w:pPr>
        <w:jc w:val="center"/>
      </w:pPr>
      <w:r>
        <w:rPr>
          <w:rFonts w:ascii="方正小标宋_GBK" w:hAnsi="方正小标宋_GBK" w:eastAsia="方正小标宋_GBK" w:cs="方正小标宋_GBK"/>
          <w:color w:val="000000"/>
          <w:sz w:val="32"/>
        </w:rPr>
        <w:t>部门机构设置情况</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5669"/>
        <w:gridCol w:w="1843"/>
        <w:gridCol w:w="2126"/>
        <w:gridCol w:w="3827"/>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567" w:hRule="atLeast"/>
          <w:tblHeader/>
          <w:jc w:val="center"/>
        </w:trPr>
        <w:tc>
          <w:tcPr>
            <w:tcW w:w="5669" w:type="dxa"/>
            <w:vAlign w:val="center"/>
          </w:tcPr>
          <w:p>
            <w:pPr>
              <w:pStyle w:val="11"/>
            </w:pPr>
            <w:r>
              <w:t>单位名称</w:t>
            </w:r>
          </w:p>
        </w:tc>
        <w:tc>
          <w:tcPr>
            <w:tcW w:w="1843" w:type="dxa"/>
            <w:vAlign w:val="center"/>
          </w:tcPr>
          <w:p>
            <w:pPr>
              <w:pStyle w:val="11"/>
            </w:pPr>
            <w:r>
              <w:t>单位性质</w:t>
            </w:r>
          </w:p>
        </w:tc>
        <w:tc>
          <w:tcPr>
            <w:tcW w:w="2126" w:type="dxa"/>
            <w:vAlign w:val="center"/>
          </w:tcPr>
          <w:p>
            <w:pPr>
              <w:pStyle w:val="11"/>
            </w:pPr>
            <w:r>
              <w:t>单位规格</w:t>
            </w:r>
          </w:p>
        </w:tc>
        <w:tc>
          <w:tcPr>
            <w:tcW w:w="3827" w:type="dxa"/>
            <w:vAlign w:val="center"/>
          </w:tcPr>
          <w:p>
            <w:pPr>
              <w:pStyle w:val="11"/>
            </w:pPr>
            <w:r>
              <w:t>经费保障形式</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rHeight w:val="369" w:hRule="atLeast"/>
          <w:jc w:val="center"/>
        </w:trPr>
        <w:tc>
          <w:tcPr>
            <w:tcW w:w="5669" w:type="dxa"/>
            <w:vAlign w:val="center"/>
          </w:tcPr>
          <w:p>
            <w:pPr>
              <w:pStyle w:val="13"/>
            </w:pPr>
            <w:r>
              <w:t>无极县妇女联合会本级</w:t>
            </w:r>
          </w:p>
        </w:tc>
        <w:tc>
          <w:tcPr>
            <w:tcW w:w="1843" w:type="dxa"/>
            <w:vAlign w:val="center"/>
          </w:tcPr>
          <w:p>
            <w:pPr>
              <w:pStyle w:val="14"/>
            </w:pPr>
            <w:r>
              <w:t>行政</w:t>
            </w:r>
          </w:p>
        </w:tc>
        <w:tc>
          <w:tcPr>
            <w:tcW w:w="2126" w:type="dxa"/>
            <w:vAlign w:val="center"/>
          </w:tcPr>
          <w:p>
            <w:pPr>
              <w:pStyle w:val="14"/>
            </w:pPr>
            <w:r>
              <w:t>正科级</w:t>
            </w:r>
          </w:p>
        </w:tc>
        <w:tc>
          <w:tcPr>
            <w:tcW w:w="3827" w:type="dxa"/>
            <w:vAlign w:val="center"/>
          </w:tcPr>
          <w:p>
            <w:pPr>
              <w:pStyle w:val="14"/>
            </w:pPr>
            <w:r>
              <w:t>财政拨款</w:t>
            </w:r>
          </w:p>
        </w:tc>
      </w:tr>
    </w:tbl>
    <w:p>
      <w:pPr>
        <w:spacing w:before="10" w:after="10" w:line="360" w:lineRule="auto"/>
        <w:ind w:firstLine="640"/>
        <w:outlineLvl w:val="2"/>
      </w:pPr>
      <w:bookmarkStart w:id="10" w:name="_Toc_3_3_0000000011"/>
      <w:r>
        <w:rPr>
          <w:rFonts w:ascii="黑体" w:hAnsi="黑体" w:eastAsia="黑体" w:cs="黑体"/>
          <w:color w:val="000000"/>
          <w:sz w:val="32"/>
        </w:rPr>
        <w:t>二、部门预算安排的总体情况</w:t>
      </w:r>
      <w:bookmarkEnd w:id="10"/>
    </w:p>
    <w:p>
      <w:pPr>
        <w:pStyle w:val="19"/>
      </w:pPr>
      <w:r>
        <w:t>按照预算管理有关规定，目前部门预算的编制实行综合预算管理，即全部收入和支出都反映在预算中。无极县妇女联合会机关及所属事业单位的收支包含在部门预算中。</w:t>
      </w:r>
    </w:p>
    <w:p>
      <w:pPr>
        <w:pStyle w:val="19"/>
      </w:pPr>
      <w:r>
        <w:t>1、收入说明</w:t>
      </w:r>
    </w:p>
    <w:p>
      <w:pPr>
        <w:pStyle w:val="19"/>
      </w:pPr>
      <w:r>
        <w:t>反映本部门当年全部收入。2025年预算收入65.80万元，其中：一般公共预算收入65.80万元，基金预算收入0.00万元，国有资本经营预算收入0.00万元，财政专户核拨收入0.00万元，单位资金收入0.00万元，上年结转结余0.00万元。</w:t>
      </w:r>
    </w:p>
    <w:p>
      <w:pPr>
        <w:pStyle w:val="19"/>
      </w:pPr>
      <w:r>
        <w:t>2、支出说明</w:t>
      </w:r>
    </w:p>
    <w:p>
      <w:pPr>
        <w:pStyle w:val="19"/>
      </w:pPr>
      <w:r>
        <w:t>收支预算总表支出栏、基本支出表、项目支出表按经济分类和支出功能分类科目编制，反映无极县妇女联合会年度部门预算中支出预算的总体情况。2025年支出预算65.80万元，其中基本支出65.80万元，包括人员经费59.80万元和日常公用经费6.00万元；项目支出0.00万元，主要为本部门本年度没有项目。</w:t>
      </w:r>
    </w:p>
    <w:p>
      <w:pPr>
        <w:pStyle w:val="19"/>
      </w:pPr>
      <w:r>
        <w:t>3、比上年增减情况</w:t>
      </w:r>
    </w:p>
    <w:p>
      <w:pPr>
        <w:pStyle w:val="19"/>
      </w:pPr>
      <w:r>
        <w:t>2025年预算收支安排65.80万元，较2024年预算减少9.84万元，其中：基本支出增加2.66万元，主要为本单位本年度人员变动。项目支出减少12.50万元，主要为本部门本年度没有项目。</w:t>
      </w:r>
    </w:p>
    <w:p>
      <w:pPr>
        <w:spacing w:before="10" w:after="10" w:line="360" w:lineRule="auto"/>
        <w:ind w:firstLine="640"/>
        <w:outlineLvl w:val="2"/>
      </w:pPr>
      <w:bookmarkStart w:id="11" w:name="_Toc_3_3_0000000012"/>
      <w:r>
        <w:rPr>
          <w:rFonts w:ascii="黑体" w:hAnsi="黑体" w:eastAsia="黑体" w:cs="黑体"/>
          <w:color w:val="000000"/>
          <w:sz w:val="32"/>
        </w:rPr>
        <w:t>三、机关运行经费安排情况</w:t>
      </w:r>
      <w:bookmarkEnd w:id="11"/>
    </w:p>
    <w:p>
      <w:pPr>
        <w:pStyle w:val="20"/>
      </w:pPr>
      <w:r>
        <w:rPr>
          <w:rFonts w:hint="eastAsia" w:eastAsiaTheme="minorEastAsia"/>
          <w:lang w:eastAsia="zh-CN"/>
        </w:rPr>
        <w:t>2025</w:t>
      </w:r>
      <w:r>
        <w:t>年，我部门机关运行经费共计安排</w:t>
      </w:r>
      <w:r>
        <w:rPr>
          <w:rFonts w:hint="eastAsia" w:eastAsiaTheme="minorEastAsia"/>
          <w:lang w:eastAsia="zh-CN"/>
        </w:rPr>
        <w:t>6</w:t>
      </w:r>
      <w:r>
        <w:t>万元，主要用于保证机关正常运转的办公及印刷费、邮电费、差旅费、会议费、福利费、专用材料及一般设备购置费、办公用房水电费、办公用房取暖费、日常维修费等支出。</w:t>
      </w:r>
    </w:p>
    <w:p>
      <w:pPr>
        <w:pStyle w:val="20"/>
      </w:pPr>
    </w:p>
    <w:p>
      <w:pPr>
        <w:spacing w:before="10" w:after="10" w:line="360" w:lineRule="auto"/>
        <w:ind w:firstLine="640"/>
        <w:outlineLvl w:val="2"/>
        <w:rPr>
          <w:rFonts w:ascii="黑体" w:hAnsi="黑体" w:eastAsia="黑体" w:cs="黑体"/>
          <w:color w:val="000000"/>
          <w:sz w:val="32"/>
        </w:rPr>
      </w:pPr>
      <w:bookmarkStart w:id="12" w:name="_Toc_3_3_0000000013"/>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rPr>
          <w:rFonts w:ascii="黑体" w:hAnsi="黑体" w:eastAsia="黑体" w:cs="黑体"/>
          <w:color w:val="000000"/>
          <w:sz w:val="32"/>
        </w:rPr>
      </w:pPr>
    </w:p>
    <w:p>
      <w:pPr>
        <w:spacing w:before="10" w:after="10" w:line="360" w:lineRule="auto"/>
        <w:ind w:firstLine="640"/>
        <w:outlineLvl w:val="2"/>
      </w:pPr>
      <w:r>
        <w:rPr>
          <w:rFonts w:ascii="黑体" w:hAnsi="黑体" w:eastAsia="黑体" w:cs="黑体"/>
          <w:color w:val="000000"/>
          <w:sz w:val="32"/>
        </w:rPr>
        <w:t>四、财政拨款“三公”经费预算情况及增减变化原因</w:t>
      </w:r>
      <w:bookmarkEnd w:id="12"/>
    </w:p>
    <w:p>
      <w:pPr>
        <w:pStyle w:val="21"/>
      </w:pPr>
      <w:r>
        <w:t>2025年，我部门财政拨款“三公”经费预算安排0.00万元，其中因公出国（境）费0.00万元；公务用车购置及运维费0.00万元（其中：公务用车购置费为0.00万元，公务用车运维费0.00万元)；公务接待费0.00万元。与2024年相比增加0.00万元，增减变化的主要原因是严格按照公务用车相关制度执行，厉行节约。</w:t>
      </w:r>
    </w:p>
    <w:p>
      <w:pPr>
        <w:spacing w:before="10" w:after="10" w:line="360" w:lineRule="auto"/>
        <w:ind w:firstLine="640"/>
        <w:outlineLvl w:val="2"/>
      </w:pPr>
      <w:bookmarkStart w:id="13" w:name="_Toc_3_3_0000000014"/>
      <w:r>
        <w:rPr>
          <w:rFonts w:ascii="黑体" w:hAnsi="黑体" w:eastAsia="黑体" w:cs="黑体"/>
          <w:color w:val="000000"/>
          <w:sz w:val="32"/>
        </w:rPr>
        <w:t>五、部门整体绩效目标</w:t>
      </w:r>
      <w:bookmarkEnd w:id="13"/>
    </w:p>
    <w:p>
      <w:pPr>
        <w:spacing w:line="500" w:lineRule="exact"/>
        <w:ind w:firstLine="560"/>
      </w:pPr>
      <w:r>
        <w:rPr>
          <w:rFonts w:eastAsia="方正仿宋_GBK"/>
          <w:color w:val="000000"/>
          <w:sz w:val="28"/>
        </w:rPr>
        <w:t>（一）总体绩效目标</w:t>
      </w:r>
    </w:p>
    <w:p>
      <w:pPr>
        <w:pStyle w:val="22"/>
      </w:pPr>
      <w:r>
        <w:t>2025年部门整体绩效目标</w:t>
      </w:r>
    </w:p>
    <w:p>
      <w:pPr>
        <w:pStyle w:val="22"/>
      </w:pPr>
      <w:r>
        <w:t>以</w:t>
      </w:r>
      <w:r>
        <w:rPr>
          <w:rFonts w:hint="eastAsia"/>
          <w:lang w:eastAsia="zh-CN"/>
        </w:rPr>
        <w:t>习近平新时代中国特色社会主义思想和党的十九大精神</w:t>
      </w:r>
      <w:r>
        <w:t>为指引，贯彻落实全国、省市妇代会精神，以创业奋斗新时代、建设满意新妇联为目标，在服务县委工作大局、深化妇联改革，推动男女平等国策落实等方面重点发力，切实做到奋进新时代、担当新使命、激发新干劲、创造新业绩，带领广大妇女为建设天蓝、地绿、水清、民富、县强的新无极贡献半边天力量。</w:t>
      </w:r>
    </w:p>
    <w:p>
      <w:pPr>
        <w:pStyle w:val="22"/>
      </w:pPr>
      <w:r>
        <w:t>1、贯彻落实</w:t>
      </w:r>
      <w:r>
        <w:rPr>
          <w:rFonts w:hint="eastAsia"/>
          <w:lang w:eastAsia="zh-CN"/>
        </w:rPr>
        <w:t>习近平总书记</w:t>
      </w:r>
      <w:r>
        <w:t>重要指示精神，深化“家家幸福安康工程”，围绕家庭文明、家庭教育、家庭服务、家庭美化，全力做好家庭工作。</w:t>
      </w:r>
    </w:p>
    <w:p>
      <w:pPr>
        <w:pStyle w:val="22"/>
      </w:pPr>
      <w:r>
        <w:t>2、举办无极各界妇女庆祝纪念“三八”国际劳动妇女节系列活动。</w:t>
      </w:r>
    </w:p>
    <w:p>
      <w:pPr>
        <w:pStyle w:val="22"/>
      </w:pPr>
      <w:r>
        <w:t>3、推进男女平等基本国策，维护妇女儿童的合法权益。进一步发挥“木兰有约”讲师团作用，广泛开展普法宣传，营造依法维权社会氛围，做好婚姻家庭矛盾纠纷排查化解和风险防控工作。继续开展危难困境儿童救急行动、关爱女性健康助力巾帼脱贫行动、送温暖献爱心活动等妇女儿童民生项目。</w:t>
      </w:r>
    </w:p>
    <w:p>
      <w:pPr>
        <w:pStyle w:val="22"/>
      </w:pPr>
      <w:r>
        <w:t>4、围绕落实乡村振兴战略，继续推进美丽庭院创建。紧扣县委、县政府把美丽庭院创建纳入农村人居环境整治三年行动契机，在人居环境整治重点村抓庭院整洁，在美丽乡村重点村抓庭院品质，组织讲师团在全县妇女讲习所开展培训，制作各类宣传品，培树美丽庭院示范户、中心户并挂牌，推动我县人居环境持续改善。</w:t>
      </w:r>
    </w:p>
    <w:p>
      <w:pPr>
        <w:pStyle w:val="22"/>
      </w:pPr>
      <w:r>
        <w:t>5、开展寻找最美家庭系列活动。将家庭文明建设的重点放在寻找最美家庭活动成果的宣传上，利用传统媒体和新媒体平台不断推出家庭文明建设方面的先进集体和个人事迹，完善石家庄市家庭教育指导服务中心，推动社会主义核心价值观融入家庭、家教、家风建设。</w:t>
      </w:r>
    </w:p>
    <w:p>
      <w:pPr>
        <w:pStyle w:val="22"/>
      </w:pPr>
      <w:r>
        <w:t>6、继续深化妇联基层组织建设，高标准打造妇女之家,争取创建省级示范妇女之家1个，示范性儿童友好家园1所。推进网上妇联建设，实施妇联上网工程, 推动工作上网、活动上网、服务上网，打造网上正能量传播新平台。推动妇联各类评选活动线上线下同步进行，提高群众参与率，建立一呼百应的网上妇女群众工作新格局。</w:t>
      </w:r>
    </w:p>
    <w:p>
      <w:pPr>
        <w:spacing w:line="500" w:lineRule="exact"/>
        <w:ind w:firstLine="560"/>
      </w:pPr>
      <w:r>
        <w:rPr>
          <w:rFonts w:eastAsia="方正仿宋_GBK"/>
          <w:color w:val="000000"/>
          <w:sz w:val="28"/>
        </w:rPr>
        <w:t>（二）分项绩效目标</w:t>
      </w:r>
    </w:p>
    <w:p>
      <w:pPr>
        <w:pStyle w:val="23"/>
      </w:pPr>
      <w:r>
        <w:rPr>
          <w:rFonts w:hint="eastAsia"/>
          <w:lang w:val="en-US" w:eastAsia="zh-CN"/>
        </w:rPr>
        <w:t>1、</w:t>
      </w:r>
      <w:r>
        <w:t>团结动员妇女积极参与“五个文明”建设</w:t>
      </w:r>
    </w:p>
    <w:p>
      <w:pPr>
        <w:pStyle w:val="23"/>
      </w:pPr>
      <w:r>
        <w:t>绩效目标：引导全县妇女听党话、跟党走，发扬“四自”精神，积极投身改革开放和社会主义经济、政治、文化、社会和生态文明建设，全面提高妇女素质，团结动员广大妇女为建设天蓝、地绿、水清、民富、县强的新无极贡献巾帼力量。支持创建和培育巧手脱贫示范基地、巾帼现代农业科技示范基地，开展美丽庭院创建活动，组织讲师团在全县妇女讲习所开展培训。深化寻找“最美家庭”工作，形成了树典型、评典型、学典型、做典型、帮典型的良好社会风尚。</w:t>
      </w:r>
    </w:p>
    <w:p>
      <w:pPr>
        <w:pStyle w:val="23"/>
      </w:pPr>
      <w:r>
        <w:t>绩效指标：支持创建和培育巧手脱贫示范基地1个、巾帼现代农业科技示范基地1个；组织讲师团在全县妇女讲习所开展培训10次。美丽庭院达标5000户，农村家庭卫生环境95%得到根本改善，建设好家庭、培育好家风培树典型户不低于10户。</w:t>
      </w:r>
    </w:p>
    <w:p>
      <w:pPr>
        <w:pStyle w:val="23"/>
      </w:pPr>
      <w:r>
        <w:rPr>
          <w:rFonts w:hint="eastAsia"/>
          <w:lang w:val="en-US" w:eastAsia="zh-CN"/>
        </w:rPr>
        <w:t>2、</w:t>
      </w:r>
      <w:r>
        <w:t>维护妇女儿童合法权益促进妇女儿童发展</w:t>
      </w:r>
    </w:p>
    <w:p>
      <w:pPr>
        <w:pStyle w:val="23"/>
      </w:pPr>
      <w:r>
        <w:t>绩效目标：切实维护妇女儿童合法权益。举办“三八”维权周、法制宣传、基层妇联干部维权培训等主题活动，提高广大妇女儿童的维权意识和维权能力。对来电来访妇女维权及时答复，帮助权益受到侵害的妇女儿童解决困难和问题，规范妇女信访秩序，促进社会和谐稳定。实施妇女素质及技能培训，开展妇女科技文化、生产劳动技能培训和家庭、家教、家风教育；关爱妇女儿童工作生活，慰问帮扶困境妇女儿童，为党分忧，为妇女儿童解难。</w:t>
      </w:r>
    </w:p>
    <w:p>
      <w:pPr>
        <w:pStyle w:val="23"/>
      </w:pPr>
      <w:r>
        <w:t>绩效指标：举办法制宣传活动3场次，来电来访妇女答复率不低于90%，通过宣传95%妇女儿童的维权意识和维权能力明显提高，家庭矛盾纠纷率下降10%,组织创业培训讲座活动5次，慰问帮扶困境妇女儿童不少于100人，培树优秀妇女典型15名以上。</w:t>
      </w:r>
    </w:p>
    <w:p>
      <w:pPr>
        <w:pStyle w:val="23"/>
      </w:pPr>
      <w:r>
        <w:rPr>
          <w:rFonts w:hint="eastAsia"/>
          <w:lang w:val="en-US" w:eastAsia="zh-CN"/>
        </w:rPr>
        <w:t>3、</w:t>
      </w:r>
      <w:r>
        <w:t>妇联综合业务管理</w:t>
      </w:r>
    </w:p>
    <w:p>
      <w:pPr>
        <w:pStyle w:val="23"/>
      </w:pPr>
      <w:r>
        <w:t>绩效目标：加强妇联基层组织建设和机关党建，做好机关基础设施建设与维护，推进机关信息化建设，为妇女儿童事业发展提供有力保障，加强妇女之家基层阵地建设。做好妇儿工委办公室工作，继续实施新生儿出生缺陷干预工程，推进“两规”指标落实。</w:t>
      </w:r>
    </w:p>
    <w:p>
      <w:pPr>
        <w:pStyle w:val="23"/>
      </w:pPr>
      <w:r>
        <w:t>绩效指标：提升基层妇联干部理论思维能力，组织乡村两级妇联主席理论培训不低于2次，争取打造省级示范妇女之家1个，石家庄市级示范儿童之家1个，创建儿童示范友好家园达到7个。</w:t>
      </w:r>
    </w:p>
    <w:p>
      <w:pPr>
        <w:spacing w:line="500" w:lineRule="exact"/>
        <w:ind w:firstLine="560"/>
      </w:pPr>
      <w:r>
        <w:rPr>
          <w:rFonts w:eastAsia="方正仿宋_GBK"/>
          <w:color w:val="000000"/>
          <w:sz w:val="28"/>
        </w:rPr>
        <w:t>（三）工作保障措施</w:t>
      </w:r>
    </w:p>
    <w:p>
      <w:pPr>
        <w:pStyle w:val="24"/>
      </w:pPr>
      <w:r>
        <w:t>2025年，无极县妇联为实现年度绩效目标制定了各项保障措施：</w:t>
      </w:r>
    </w:p>
    <w:p>
      <w:pPr>
        <w:pStyle w:val="24"/>
      </w:pPr>
      <w:r>
        <w:t>1、完善制度建设，加强制定管理。制定了完善的预算绩效管理制度、资金管理办法、工作保障制度，为全年预算绩效目标的实现奠定制度基础。</w:t>
      </w:r>
    </w:p>
    <w:p>
      <w:pPr>
        <w:pStyle w:val="24"/>
      </w:pPr>
      <w:r>
        <w:t>2、加强支出管理。通过优化支出结构、编细编实预算、尽快启动项目、及时支付资金、确保支出进度达标。</w:t>
      </w:r>
    </w:p>
    <w:p>
      <w:pPr>
        <w:pStyle w:val="24"/>
      </w:pPr>
      <w:r>
        <w:t>3、加强绩效运行监控。按要求开展绩效运行监控，发现问题及时采取措施，确保绩效目标如期保质实现。</w:t>
      </w:r>
    </w:p>
    <w:p>
      <w:pPr>
        <w:pStyle w:val="24"/>
      </w:pPr>
      <w:r>
        <w:t>4、做好绩效自评。按要求开展了上年度部门预算绩效自评和重点评价工作，对评价中发现的问题及时整改，调整优化支出结构，提高财政资金使用效益。</w:t>
      </w:r>
    </w:p>
    <w:p>
      <w:pPr>
        <w:pStyle w:val="24"/>
      </w:pPr>
      <w:r>
        <w:t>5、规范财务资产管理。完善财务管理制度，严格审批程序，加强固定资产登记、使用和报废处置管理，做到支出合理，物尽其用。</w:t>
      </w:r>
    </w:p>
    <w:p>
      <w:pPr>
        <w:pStyle w:val="24"/>
      </w:pPr>
      <w:r>
        <w:t>6、加强内部监督。加强内部监督制度建设，对绩效运行情况、重大支出决策、资产处置及其他重要经济业务事项的决策和执行进行督导，对会计资料进行内部审计，并配合做好审计、财政监督等外部监督工作，确保财政资金安全有效。</w:t>
      </w:r>
    </w:p>
    <w:p>
      <w:pPr>
        <w:pStyle w:val="24"/>
        <w:sectPr>
          <w:pgSz w:w="16840" w:h="11900" w:orient="landscape"/>
          <w:pgMar w:top="1361" w:right="1020" w:bottom="1361" w:left="1020" w:header="720" w:footer="720" w:gutter="0"/>
          <w:cols w:space="720" w:num="1"/>
        </w:sectPr>
      </w:pPr>
      <w:r>
        <w:t>7、加强宣传培训调研等。加强人员培训，提高本部门职工业务素质；加强调研，提出优化财政资金配置、提高资金使用效益的意见建议；加大宣传力度，强化预算绩效管理意识，促进预算绩效管理水平进一步提升。</w:t>
      </w:r>
    </w:p>
    <w:p>
      <w:pPr>
        <w:spacing w:before="10" w:after="10" w:line="360" w:lineRule="auto"/>
        <w:ind w:firstLine="640"/>
        <w:outlineLvl w:val="2"/>
        <w:rPr>
          <w:rFonts w:hint="eastAsia" w:ascii="黑体" w:hAnsi="黑体" w:eastAsia="黑体" w:cs="黑体"/>
          <w:color w:val="000000"/>
          <w:sz w:val="32"/>
          <w:lang w:eastAsia="zh-CN"/>
        </w:rPr>
      </w:pPr>
      <w:bookmarkStart w:id="14" w:name="_Toc_3_3_0000000015"/>
      <w:r>
        <w:rPr>
          <w:rFonts w:ascii="黑体" w:hAnsi="黑体" w:eastAsia="黑体" w:cs="黑体"/>
          <w:color w:val="000000"/>
          <w:sz w:val="32"/>
        </w:rPr>
        <w:t>六、部门主管专项资金预算安排情况及绩效目标</w:t>
      </w:r>
      <w:bookmarkEnd w:id="14"/>
    </w:p>
    <w:p>
      <w:pPr>
        <w:spacing w:before="10" w:after="10" w:line="360" w:lineRule="auto"/>
        <w:ind w:firstLine="640"/>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line="360" w:lineRule="auto"/>
        <w:ind w:firstLine="640"/>
        <w:outlineLvl w:val="2"/>
        <w:rPr>
          <w:rFonts w:hint="eastAsia" w:ascii="黑体" w:hAnsi="黑体" w:eastAsia="黑体" w:cs="黑体"/>
          <w:color w:val="000000"/>
          <w:sz w:val="32"/>
          <w:lang w:eastAsia="zh-CN"/>
        </w:rPr>
      </w:pPr>
      <w:bookmarkStart w:id="15" w:name="_Toc_3_3_0000000016"/>
      <w:r>
        <w:rPr>
          <w:rFonts w:ascii="黑体" w:hAnsi="黑体" w:eastAsia="黑体" w:cs="黑体"/>
          <w:color w:val="000000"/>
          <w:sz w:val="32"/>
        </w:rPr>
        <w:t>七、部门项目预算安排情况及绩效目标</w:t>
      </w:r>
      <w:bookmarkEnd w:id="15"/>
    </w:p>
    <w:p>
      <w:pPr>
        <w:spacing w:before="10" w:after="10" w:line="360" w:lineRule="auto"/>
        <w:ind w:firstLine="640"/>
        <w:outlineLvl w:val="2"/>
        <w:rPr>
          <w:rFonts w:hint="eastAsia" w:ascii="Times New Roman" w:hAnsi="Times New Roman" w:eastAsia="方正仿宋_GBK" w:cs="Times New Roman"/>
          <w:sz w:val="28"/>
          <w:szCs w:val="24"/>
          <w:lang w:val="en-US" w:eastAsia="zh-CN" w:bidi="ar-SA"/>
        </w:rPr>
        <w:sectPr>
          <w:pgSz w:w="16840" w:h="11900" w:orient="landscape"/>
          <w:pgMar w:top="1361" w:right="1020" w:bottom="1134" w:left="1020" w:header="720" w:footer="720" w:gutter="0"/>
          <w:cols w:space="720" w:num="1"/>
        </w:sectPr>
      </w:pPr>
      <w:r>
        <w:rPr>
          <w:rFonts w:hint="eastAsia" w:ascii="Times New Roman" w:hAnsi="Times New Roman" w:eastAsia="方正仿宋_GBK" w:cs="Times New Roman"/>
          <w:sz w:val="28"/>
          <w:szCs w:val="24"/>
          <w:lang w:val="en-US" w:eastAsia="zh-CN" w:bidi="ar-SA"/>
        </w:rPr>
        <w:t>无</w:t>
      </w:r>
    </w:p>
    <w:p>
      <w:pPr>
        <w:spacing w:before="10" w:after="10"/>
        <w:ind w:firstLine="640"/>
        <w:outlineLvl w:val="2"/>
      </w:pPr>
      <w:bookmarkStart w:id="16" w:name="_Toc_3_3_0000000017"/>
      <w:r>
        <w:rPr>
          <w:rFonts w:ascii="黑体" w:hAnsi="黑体" w:eastAsia="黑体" w:cs="黑体"/>
          <w:color w:val="000000"/>
          <w:sz w:val="32"/>
        </w:rPr>
        <w:t>八、政府采购预算情况</w:t>
      </w:r>
      <w:bookmarkEnd w:id="16"/>
    </w:p>
    <w:p>
      <w:pPr>
        <w:jc w:val="center"/>
      </w:pPr>
      <w:r>
        <w:rPr>
          <w:rFonts w:ascii="方正小标宋_GBK" w:hAnsi="方正小标宋_GBK" w:eastAsia="方正小标宋_GBK" w:cs="方正小标宋_GBK"/>
          <w:color w:val="000000"/>
          <w:sz w:val="36"/>
        </w:rPr>
        <w:t>部门政府采购预算</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1701"/>
        <w:gridCol w:w="964"/>
        <w:gridCol w:w="1134"/>
        <w:gridCol w:w="1134"/>
        <w:gridCol w:w="709"/>
        <w:gridCol w:w="850"/>
        <w:gridCol w:w="850"/>
        <w:gridCol w:w="964"/>
        <w:gridCol w:w="964"/>
        <w:gridCol w:w="964"/>
        <w:gridCol w:w="964"/>
        <w:gridCol w:w="964"/>
        <w:gridCol w:w="964"/>
        <w:gridCol w:w="964"/>
        <w:gridCol w:w="964"/>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7342" w:type="dxa"/>
            <w:gridSpan w:val="7"/>
            <w:tcBorders>
              <w:top w:val="single" w:color="FFFFFF" w:sz="6" w:space="0"/>
              <w:left w:val="single" w:color="FFFFFF" w:sz="6" w:space="0"/>
              <w:right w:val="single" w:color="FFFFFF" w:sz="6" w:space="0"/>
            </w:tcBorders>
            <w:vAlign w:val="center"/>
          </w:tcPr>
          <w:p>
            <w:pPr>
              <w:pStyle w:val="10"/>
            </w:pPr>
            <w:r>
              <w:t>713无极县妇女联合会</w:t>
            </w:r>
          </w:p>
        </w:tc>
        <w:tc>
          <w:tcPr>
            <w:tcW w:w="7712" w:type="dxa"/>
            <w:gridSpan w:val="8"/>
            <w:tcBorders>
              <w:top w:val="single" w:color="FFFFFF" w:sz="6" w:space="0"/>
              <w:left w:val="single" w:color="FFFFFF" w:sz="6" w:space="0"/>
              <w:right w:val="single" w:color="FFFFFF" w:sz="6" w:space="0"/>
            </w:tcBorders>
            <w:vAlign w:val="center"/>
          </w:tcPr>
          <w:p>
            <w:pPr>
              <w:pStyle w:val="25"/>
            </w:pPr>
            <w:r>
              <w:t>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2665" w:type="dxa"/>
            <w:gridSpan w:val="2"/>
            <w:vAlign w:val="center"/>
          </w:tcPr>
          <w:p>
            <w:pPr>
              <w:pStyle w:val="11"/>
            </w:pPr>
            <w:r>
              <w:t>政府采购项目来源</w:t>
            </w:r>
          </w:p>
        </w:tc>
        <w:tc>
          <w:tcPr>
            <w:tcW w:w="1134" w:type="dxa"/>
            <w:vMerge w:val="restart"/>
            <w:vAlign w:val="center"/>
          </w:tcPr>
          <w:p>
            <w:pPr>
              <w:pStyle w:val="11"/>
            </w:pPr>
            <w:r>
              <w:t>采购物品名称</w:t>
            </w:r>
          </w:p>
        </w:tc>
        <w:tc>
          <w:tcPr>
            <w:tcW w:w="1134" w:type="dxa"/>
            <w:vMerge w:val="restart"/>
            <w:vAlign w:val="center"/>
          </w:tcPr>
          <w:p>
            <w:pPr>
              <w:pStyle w:val="11"/>
            </w:pPr>
            <w:r>
              <w:t>政府采购目录序号</w:t>
            </w:r>
          </w:p>
        </w:tc>
        <w:tc>
          <w:tcPr>
            <w:tcW w:w="709" w:type="dxa"/>
            <w:vMerge w:val="restart"/>
            <w:vAlign w:val="center"/>
          </w:tcPr>
          <w:p>
            <w:pPr>
              <w:pStyle w:val="11"/>
            </w:pPr>
            <w:r>
              <w:t>计量  单位</w:t>
            </w:r>
          </w:p>
        </w:tc>
        <w:tc>
          <w:tcPr>
            <w:tcW w:w="850" w:type="dxa"/>
            <w:vMerge w:val="restart"/>
            <w:vAlign w:val="center"/>
          </w:tcPr>
          <w:p>
            <w:pPr>
              <w:pStyle w:val="11"/>
            </w:pPr>
            <w:r>
              <w:t>数量</w:t>
            </w:r>
          </w:p>
        </w:tc>
        <w:tc>
          <w:tcPr>
            <w:tcW w:w="850" w:type="dxa"/>
            <w:vMerge w:val="restart"/>
            <w:vAlign w:val="center"/>
          </w:tcPr>
          <w:p>
            <w:pPr>
              <w:pStyle w:val="11"/>
            </w:pPr>
            <w:r>
              <w:t>单价</w:t>
            </w:r>
          </w:p>
        </w:tc>
        <w:tc>
          <w:tcPr>
            <w:tcW w:w="6748" w:type="dxa"/>
            <w:gridSpan w:val="7"/>
            <w:vAlign w:val="center"/>
          </w:tcPr>
          <w:p>
            <w:pPr>
              <w:pStyle w:val="11"/>
            </w:pPr>
            <w:r>
              <w:t>政府采购金额（当年部门预算安排资金）</w:t>
            </w:r>
          </w:p>
        </w:tc>
        <w:tc>
          <w:tcPr>
            <w:tcW w:w="964" w:type="dxa"/>
            <w:vMerge w:val="restart"/>
            <w:vAlign w:val="center"/>
          </w:tcPr>
          <w:p>
            <w:pPr>
              <w:pStyle w:val="11"/>
            </w:pPr>
            <w:r>
              <w:t>2025年  预留中  小微企  业份额</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tblHeader/>
          <w:jc w:val="center"/>
        </w:trPr>
        <w:tc>
          <w:tcPr>
            <w:tcW w:w="1701" w:type="dxa"/>
            <w:vAlign w:val="center"/>
          </w:tcPr>
          <w:p>
            <w:pPr>
              <w:pStyle w:val="11"/>
            </w:pPr>
            <w:r>
              <w:t>项目名称</w:t>
            </w:r>
          </w:p>
        </w:tc>
        <w:tc>
          <w:tcPr>
            <w:tcW w:w="964" w:type="dxa"/>
            <w:vAlign w:val="center"/>
          </w:tcPr>
          <w:p>
            <w:pPr>
              <w:pStyle w:val="11"/>
            </w:pPr>
            <w:r>
              <w:t>预算    资金</w:t>
            </w:r>
          </w:p>
        </w:tc>
        <w:tc>
          <w:tcPr>
            <w:tcW w:w="1134" w:type="dxa"/>
            <w:vMerge w:val="continue"/>
          </w:tcPr>
          <w:p/>
        </w:tc>
        <w:tc>
          <w:tcPr>
            <w:tcW w:w="1134" w:type="dxa"/>
            <w:vMerge w:val="continue"/>
          </w:tcPr>
          <w:p/>
        </w:tc>
        <w:tc>
          <w:tcPr>
            <w:tcW w:w="709" w:type="dxa"/>
            <w:vMerge w:val="continue"/>
          </w:tcPr>
          <w:p/>
        </w:tc>
        <w:tc>
          <w:tcPr>
            <w:tcW w:w="850" w:type="dxa"/>
            <w:vMerge w:val="continue"/>
          </w:tcPr>
          <w:p/>
        </w:tc>
        <w:tc>
          <w:tcPr>
            <w:tcW w:w="850" w:type="dxa"/>
            <w:vMerge w:val="continue"/>
          </w:tcPr>
          <w:p/>
        </w:tc>
        <w:tc>
          <w:tcPr>
            <w:tcW w:w="964" w:type="dxa"/>
            <w:vAlign w:val="center"/>
          </w:tcPr>
          <w:p>
            <w:pPr>
              <w:pStyle w:val="11"/>
            </w:pPr>
            <w:r>
              <w:t>合计</w:t>
            </w:r>
          </w:p>
        </w:tc>
        <w:tc>
          <w:tcPr>
            <w:tcW w:w="964" w:type="dxa"/>
            <w:vAlign w:val="center"/>
          </w:tcPr>
          <w:p>
            <w:pPr>
              <w:pStyle w:val="11"/>
            </w:pPr>
            <w:r>
              <w:t>一般公共预算拨款</w:t>
            </w:r>
          </w:p>
        </w:tc>
        <w:tc>
          <w:tcPr>
            <w:tcW w:w="964" w:type="dxa"/>
            <w:vAlign w:val="center"/>
          </w:tcPr>
          <w:p>
            <w:pPr>
              <w:pStyle w:val="11"/>
            </w:pPr>
            <w:r>
              <w:t>基金预算拨款</w:t>
            </w:r>
          </w:p>
        </w:tc>
        <w:tc>
          <w:tcPr>
            <w:tcW w:w="964" w:type="dxa"/>
            <w:vAlign w:val="center"/>
          </w:tcPr>
          <w:p>
            <w:pPr>
              <w:pStyle w:val="11"/>
            </w:pPr>
            <w:r>
              <w:t>国有资本经营预算拨款</w:t>
            </w:r>
          </w:p>
        </w:tc>
        <w:tc>
          <w:tcPr>
            <w:tcW w:w="964" w:type="dxa"/>
            <w:vAlign w:val="center"/>
          </w:tcPr>
          <w:p>
            <w:pPr>
              <w:pStyle w:val="11"/>
            </w:pPr>
            <w:r>
              <w:t>财政专户核拨</w:t>
            </w:r>
          </w:p>
        </w:tc>
        <w:tc>
          <w:tcPr>
            <w:tcW w:w="964" w:type="dxa"/>
            <w:vAlign w:val="center"/>
          </w:tcPr>
          <w:p>
            <w:pPr>
              <w:pStyle w:val="11"/>
            </w:pPr>
            <w:r>
              <w:t>单位    资金</w:t>
            </w:r>
          </w:p>
        </w:tc>
        <w:tc>
          <w:tcPr>
            <w:tcW w:w="964" w:type="dxa"/>
            <w:vAlign w:val="center"/>
          </w:tcPr>
          <w:p>
            <w:pPr>
              <w:pStyle w:val="11"/>
            </w:pPr>
            <w:r>
              <w:t>上年结转结余</w:t>
            </w:r>
          </w:p>
        </w:tc>
        <w:tc>
          <w:tcPr>
            <w:tcW w:w="964" w:type="dxa"/>
            <w:vMerge w:val="continue"/>
          </w:tc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cantSplit/>
          <w:jc w:val="center"/>
        </w:trPr>
        <w:tc>
          <w:tcPr>
            <w:tcW w:w="1701" w:type="dxa"/>
            <w:vAlign w:val="center"/>
          </w:tcPr>
          <w:p>
            <w:pPr>
              <w:pStyle w:val="13"/>
            </w:pPr>
          </w:p>
        </w:tc>
        <w:tc>
          <w:tcPr>
            <w:tcW w:w="964" w:type="dxa"/>
            <w:vAlign w:val="center"/>
          </w:tcPr>
          <w:p>
            <w:pPr>
              <w:pStyle w:val="12"/>
            </w:pPr>
          </w:p>
        </w:tc>
        <w:tc>
          <w:tcPr>
            <w:tcW w:w="1134" w:type="dxa"/>
            <w:vAlign w:val="center"/>
          </w:tcPr>
          <w:p>
            <w:pPr>
              <w:pStyle w:val="13"/>
            </w:pPr>
          </w:p>
        </w:tc>
        <w:tc>
          <w:tcPr>
            <w:tcW w:w="1134" w:type="dxa"/>
            <w:vAlign w:val="center"/>
          </w:tcPr>
          <w:p>
            <w:pPr>
              <w:pStyle w:val="13"/>
            </w:pPr>
          </w:p>
        </w:tc>
        <w:tc>
          <w:tcPr>
            <w:tcW w:w="709" w:type="dxa"/>
            <w:vAlign w:val="center"/>
          </w:tcPr>
          <w:p>
            <w:pPr>
              <w:pStyle w:val="14"/>
            </w:pPr>
          </w:p>
        </w:tc>
        <w:tc>
          <w:tcPr>
            <w:tcW w:w="850" w:type="dxa"/>
            <w:vAlign w:val="center"/>
          </w:tcPr>
          <w:p>
            <w:pPr>
              <w:pStyle w:val="12"/>
            </w:pPr>
          </w:p>
        </w:tc>
        <w:tc>
          <w:tcPr>
            <w:tcW w:w="850"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c>
          <w:tcPr>
            <w:tcW w:w="964" w:type="dxa"/>
            <w:vAlign w:val="center"/>
          </w:tcPr>
          <w:p>
            <w:pPr>
              <w:pStyle w:val="12"/>
            </w:pPr>
          </w:p>
        </w:tc>
      </w:tr>
    </w:tbl>
    <w:p>
      <w:pPr>
        <w:spacing w:line="500" w:lineRule="exact"/>
        <w:ind w:firstLine="420"/>
      </w:pPr>
      <w:r>
        <w:rPr>
          <w:rFonts w:ascii="方正书宋_GBK" w:hAnsi="方正书宋_GBK" w:eastAsia="方正书宋_GBK" w:cs="方正书宋_GBK"/>
          <w:color w:val="000000"/>
          <w:sz w:val="21"/>
        </w:rPr>
        <w:t>注：同一采购目录序号的物品，其单价会因配置规格不同而变动，均符合资产配置标准。涉密采购事项按照相关规定执行。</w:t>
      </w:r>
    </w:p>
    <w:p>
      <w:pPr>
        <w:ind w:firstLine="420"/>
      </w:pPr>
      <w:r>
        <w:rPr>
          <w:rFonts w:ascii="方正书宋_GBK" w:hAnsi="方正书宋_GBK" w:eastAsia="方正书宋_GBK" w:cs="方正书宋_GBK"/>
          <w:color w:val="000000"/>
          <w:sz w:val="21"/>
        </w:rPr>
        <w:t>注：无政府采购预算，空表列示。</w:t>
      </w:r>
    </w:p>
    <w:p>
      <w:pPr>
        <w:ind w:firstLine="640"/>
      </w:pPr>
      <w:r>
        <w:rPr>
          <w:rFonts w:eastAsia="方正仿宋_GBK"/>
          <w:color w:val="000000"/>
          <w:sz w:val="32"/>
        </w:rPr>
        <w:t xml:space="preserve"> </w:t>
      </w:r>
    </w:p>
    <w:p>
      <w:pPr>
        <w:spacing w:before="10" w:after="10"/>
        <w:ind w:firstLine="640"/>
        <w:outlineLvl w:val="2"/>
      </w:pPr>
      <w:bookmarkStart w:id="17" w:name="_Toc_3_3_0000000018"/>
      <w:r>
        <w:rPr>
          <w:rFonts w:ascii="黑体" w:hAnsi="黑体" w:eastAsia="黑体" w:cs="黑体"/>
          <w:color w:val="000000"/>
          <w:sz w:val="32"/>
        </w:rPr>
        <w:t>九、国有资产信息</w:t>
      </w:r>
      <w:bookmarkEnd w:id="17"/>
    </w:p>
    <w:p>
      <w:pPr>
        <w:spacing w:line="500" w:lineRule="exact"/>
        <w:ind w:firstLine="560"/>
      </w:pPr>
      <w:r>
        <w:rPr>
          <w:rFonts w:eastAsia="方正仿宋_GBK"/>
          <w:color w:val="000000"/>
          <w:sz w:val="28"/>
        </w:rPr>
        <w:t>无极县妇女联合会（含所属单位）上年末固定资产金额为8.11万元（详见下表）。本年度拟购置固定资产总额为0.00万元，已按要求列入政府采购预算，详见政府采购预算表。</w:t>
      </w:r>
    </w:p>
    <w:p>
      <w:pPr>
        <w:jc w:val="center"/>
      </w:pPr>
      <w:r>
        <w:rPr>
          <w:rFonts w:ascii="方正小标宋_GBK" w:hAnsi="方正小标宋_GBK" w:eastAsia="方正小标宋_GBK" w:cs="方正小标宋_GBK"/>
          <w:color w:val="000000"/>
          <w:sz w:val="36"/>
        </w:rPr>
        <w:t>部门固定资产占用情况表</w:t>
      </w:r>
    </w:p>
    <w:tbl>
      <w:tblPr>
        <w:tblStyle w:val="5"/>
        <w:tblW w:w="0" w:type="auto"/>
        <w:jc w:val="center"/>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Layout w:type="fixed"/>
        <w:tblCellMar>
          <w:top w:w="0" w:type="dxa"/>
          <w:left w:w="108" w:type="dxa"/>
          <w:bottom w:w="0" w:type="dxa"/>
          <w:right w:w="108" w:type="dxa"/>
        </w:tblCellMar>
      </w:tblPr>
      <w:tblGrid>
        <w:gridCol w:w="7370"/>
        <w:gridCol w:w="2835"/>
        <w:gridCol w:w="2835"/>
      </w:tblGrid>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tcBorders>
              <w:top w:val="single" w:color="FFFFFF" w:sz="6" w:space="0"/>
              <w:left w:val="single" w:color="FFFFFF" w:sz="6" w:space="0"/>
              <w:right w:val="single" w:color="FFFFFF" w:sz="6" w:space="0"/>
            </w:tcBorders>
            <w:vAlign w:val="center"/>
          </w:tcPr>
          <w:p>
            <w:pPr>
              <w:pStyle w:val="10"/>
            </w:pPr>
            <w:r>
              <w:t>713无极县妇女联合会</w:t>
            </w:r>
          </w:p>
        </w:tc>
        <w:tc>
          <w:tcPr>
            <w:tcW w:w="5670" w:type="dxa"/>
            <w:gridSpan w:val="2"/>
            <w:tcBorders>
              <w:top w:val="single" w:color="FFFFFF" w:sz="6" w:space="0"/>
              <w:left w:val="single" w:color="FFFFFF" w:sz="6" w:space="0"/>
              <w:right w:val="single" w:color="FFFFFF" w:sz="6" w:space="0"/>
            </w:tcBorders>
            <w:vAlign w:val="center"/>
          </w:tcPr>
          <w:p>
            <w:pPr>
              <w:pStyle w:val="8"/>
            </w:pPr>
            <w:r>
              <w:t>截止时间：2024-12-31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tblHeader/>
          <w:jc w:val="center"/>
        </w:trPr>
        <w:tc>
          <w:tcPr>
            <w:tcW w:w="7370" w:type="dxa"/>
            <w:vAlign w:val="center"/>
          </w:tcPr>
          <w:p>
            <w:pPr>
              <w:pStyle w:val="11"/>
            </w:pPr>
            <w:r>
              <w:t>项   目</w:t>
            </w:r>
          </w:p>
        </w:tc>
        <w:tc>
          <w:tcPr>
            <w:tcW w:w="2835" w:type="dxa"/>
            <w:vAlign w:val="center"/>
          </w:tcPr>
          <w:p>
            <w:pPr>
              <w:pStyle w:val="11"/>
            </w:pPr>
            <w:r>
              <w:t>数量</w:t>
            </w:r>
          </w:p>
        </w:tc>
        <w:tc>
          <w:tcPr>
            <w:tcW w:w="2835" w:type="dxa"/>
            <w:vAlign w:val="center"/>
          </w:tcPr>
          <w:p>
            <w:pPr>
              <w:pStyle w:val="11"/>
            </w:pPr>
            <w:r>
              <w:t>价值（金额单位：万元）</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资产总额</w:t>
            </w:r>
          </w:p>
        </w:tc>
        <w:tc>
          <w:tcPr>
            <w:tcW w:w="2835" w:type="dxa"/>
            <w:vAlign w:val="center"/>
          </w:tcPr>
          <w:p>
            <w:pPr>
              <w:pStyle w:val="14"/>
            </w:pPr>
          </w:p>
        </w:tc>
        <w:tc>
          <w:tcPr>
            <w:tcW w:w="2835" w:type="dxa"/>
            <w:vAlign w:val="center"/>
          </w:tcPr>
          <w:p>
            <w:pPr>
              <w:pStyle w:val="12"/>
            </w:pPr>
            <w:r>
              <w:t>8.11</w:t>
            </w: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1、房屋（平方米）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　　其中：办公用房（平方米）</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2、车辆（台、辆）</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3、单价在20万元以上的设备</w:t>
            </w:r>
          </w:p>
        </w:tc>
        <w:tc>
          <w:tcPr>
            <w:tcW w:w="2835" w:type="dxa"/>
            <w:vAlign w:val="center"/>
          </w:tcPr>
          <w:p>
            <w:pPr>
              <w:pStyle w:val="14"/>
            </w:pPr>
          </w:p>
        </w:tc>
        <w:tc>
          <w:tcPr>
            <w:tcW w:w="2835" w:type="dxa"/>
            <w:vAlign w:val="center"/>
          </w:tcPr>
          <w:p>
            <w:pPr>
              <w:pStyle w:val="12"/>
            </w:pPr>
          </w:p>
        </w:tc>
      </w:tr>
      <w:tr>
        <w:tblPrEx>
          <w:tblBorders>
            <w:top w:val="single" w:color="auto" w:sz="6" w:space="0"/>
            <w:left w:val="single" w:color="auto" w:sz="6" w:space="0"/>
            <w:bottom w:val="single" w:color="auto" w:sz="6" w:space="0"/>
            <w:right w:val="single" w:color="auto" w:sz="6" w:space="0"/>
            <w:insideH w:val="single" w:color="auto" w:sz="6" w:space="0"/>
            <w:insideV w:val="single" w:color="auto" w:sz="6" w:space="0"/>
          </w:tblBorders>
          <w:tblCellMar>
            <w:top w:w="0" w:type="dxa"/>
            <w:left w:w="108" w:type="dxa"/>
            <w:bottom w:w="0" w:type="dxa"/>
            <w:right w:w="108" w:type="dxa"/>
          </w:tblCellMar>
        </w:tblPrEx>
        <w:trPr>
          <w:jc w:val="center"/>
        </w:trPr>
        <w:tc>
          <w:tcPr>
            <w:tcW w:w="7370" w:type="dxa"/>
            <w:vAlign w:val="center"/>
          </w:tcPr>
          <w:p>
            <w:pPr>
              <w:pStyle w:val="13"/>
            </w:pPr>
            <w:r>
              <w:t>4、其他固定资产</w:t>
            </w:r>
          </w:p>
        </w:tc>
        <w:tc>
          <w:tcPr>
            <w:tcW w:w="2835" w:type="dxa"/>
            <w:vAlign w:val="center"/>
          </w:tcPr>
          <w:p>
            <w:pPr>
              <w:pStyle w:val="14"/>
            </w:pPr>
            <w:r>
              <w:t>29</w:t>
            </w:r>
          </w:p>
        </w:tc>
        <w:tc>
          <w:tcPr>
            <w:tcW w:w="2835" w:type="dxa"/>
            <w:vAlign w:val="center"/>
          </w:tcPr>
          <w:p>
            <w:pPr>
              <w:pStyle w:val="12"/>
            </w:pPr>
            <w:r>
              <w:t>8.11</w:t>
            </w:r>
          </w:p>
        </w:tc>
      </w:tr>
    </w:tbl>
    <w:p>
      <w:pPr>
        <w:ind w:firstLine="640"/>
      </w:pPr>
      <w:r>
        <w:rPr>
          <w:rFonts w:eastAsia="方正仿宋_GBK"/>
          <w:color w:val="000000"/>
          <w:sz w:val="32"/>
        </w:rPr>
        <w:t xml:space="preserve"> </w:t>
      </w:r>
    </w:p>
    <w:p>
      <w:pPr>
        <w:spacing w:before="10" w:after="10"/>
        <w:ind w:firstLine="640"/>
        <w:outlineLvl w:val="2"/>
      </w:pPr>
      <w:bookmarkStart w:id="18" w:name="_Toc_3_3_0000000019"/>
      <w:r>
        <w:rPr>
          <w:rFonts w:ascii="黑体" w:hAnsi="黑体" w:eastAsia="黑体" w:cs="黑体"/>
          <w:color w:val="000000"/>
          <w:sz w:val="32"/>
        </w:rPr>
        <w:t>十、名词解释</w:t>
      </w:r>
      <w:bookmarkEnd w:id="18"/>
    </w:p>
    <w:p>
      <w:pPr>
        <w:spacing w:line="500" w:lineRule="exact"/>
        <w:ind w:firstLine="560"/>
      </w:pPr>
      <w:r>
        <w:rPr>
          <w:rFonts w:eastAsia="方正仿宋_GBK"/>
          <w:color w:val="000000"/>
          <w:sz w:val="28"/>
        </w:rPr>
        <w:t>1、</w:t>
      </w:r>
      <w:r>
        <w:rPr>
          <w:rFonts w:eastAsia="方正仿宋_GBK"/>
          <w:b/>
          <w:color w:val="000000"/>
          <w:sz w:val="28"/>
        </w:rPr>
        <w:t>财政拨款收入：</w:t>
      </w:r>
      <w:r>
        <w:rPr>
          <w:rFonts w:eastAsia="方正仿宋_GBK"/>
          <w:color w:val="000000"/>
          <w:sz w:val="28"/>
        </w:rPr>
        <w:t>指本级财政当年拨付的资金，包括一般公共预算拨款、政府性基金预算拨款、国有资本经营预算拨款。</w:t>
      </w:r>
    </w:p>
    <w:p>
      <w:pPr>
        <w:spacing w:line="500" w:lineRule="exact"/>
        <w:ind w:firstLine="560"/>
      </w:pPr>
      <w:r>
        <w:rPr>
          <w:rFonts w:eastAsia="方正仿宋_GBK"/>
          <w:color w:val="000000"/>
          <w:sz w:val="28"/>
        </w:rPr>
        <w:t>2、</w:t>
      </w:r>
      <w:r>
        <w:rPr>
          <w:rFonts w:eastAsia="方正仿宋_GBK"/>
          <w:b/>
          <w:color w:val="000000"/>
          <w:sz w:val="28"/>
        </w:rPr>
        <w:t>财政专户管理资金收入：</w:t>
      </w:r>
      <w:r>
        <w:rPr>
          <w:rFonts w:eastAsia="方正仿宋_GBK"/>
          <w:color w:val="000000"/>
          <w:sz w:val="28"/>
        </w:rPr>
        <w:t>缴入财政专户、实行专项管理的教育收费收入。</w:t>
      </w:r>
    </w:p>
    <w:p>
      <w:pPr>
        <w:spacing w:line="500" w:lineRule="exact"/>
        <w:ind w:firstLine="560"/>
      </w:pPr>
      <w:r>
        <w:rPr>
          <w:rFonts w:eastAsia="方正仿宋_GBK"/>
          <w:color w:val="000000"/>
          <w:sz w:val="28"/>
        </w:rPr>
        <w:t>3、</w:t>
      </w:r>
      <w:r>
        <w:rPr>
          <w:rFonts w:eastAsia="方正仿宋_GBK"/>
          <w:b/>
          <w:color w:val="000000"/>
          <w:sz w:val="28"/>
        </w:rPr>
        <w:t>单位资金收入：</w:t>
      </w:r>
      <w:r>
        <w:rPr>
          <w:rFonts w:eastAsia="方正仿宋_GBK"/>
          <w:color w:val="000000"/>
          <w:sz w:val="28"/>
        </w:rPr>
        <w:t>指除财政拨款收入和财政专户管理资金以外的收入，包括事业收入（不含教育收费）、上级补助收入、附属单位上缴收入、事业单位经营收入及其他收入，其中，其他收入主要包括债务收入、投资收益等。</w:t>
      </w:r>
    </w:p>
    <w:p>
      <w:pPr>
        <w:spacing w:line="500" w:lineRule="exact"/>
        <w:ind w:firstLine="560"/>
      </w:pPr>
      <w:r>
        <w:rPr>
          <w:rFonts w:eastAsia="方正仿宋_GBK"/>
          <w:color w:val="000000"/>
          <w:sz w:val="28"/>
        </w:rPr>
        <w:t>4、</w:t>
      </w:r>
      <w:r>
        <w:rPr>
          <w:rFonts w:eastAsia="方正仿宋_GBK"/>
          <w:b/>
          <w:color w:val="000000"/>
          <w:sz w:val="28"/>
        </w:rPr>
        <w:t>事业收入：</w:t>
      </w:r>
      <w:r>
        <w:rPr>
          <w:rFonts w:eastAsia="方正仿宋_GBK"/>
          <w:color w:val="000000"/>
          <w:sz w:val="28"/>
        </w:rPr>
        <w:t>指事业单位开展专业业务活动及辅助活动所取得的收入。</w:t>
      </w:r>
    </w:p>
    <w:p>
      <w:pPr>
        <w:spacing w:line="500" w:lineRule="exact"/>
        <w:ind w:firstLine="560"/>
      </w:pPr>
      <w:r>
        <w:rPr>
          <w:rFonts w:eastAsia="方正仿宋_GBK"/>
          <w:color w:val="000000"/>
          <w:sz w:val="28"/>
        </w:rPr>
        <w:t>5、</w:t>
      </w:r>
      <w:r>
        <w:rPr>
          <w:rFonts w:eastAsia="方正仿宋_GBK"/>
          <w:b/>
          <w:color w:val="000000"/>
          <w:sz w:val="28"/>
        </w:rPr>
        <w:t>事业单位经营收入：</w:t>
      </w:r>
      <w:r>
        <w:rPr>
          <w:rFonts w:eastAsia="方正仿宋_GBK"/>
          <w:color w:val="000000"/>
          <w:sz w:val="28"/>
        </w:rPr>
        <w:t>指事业单位在专业业务活动及其辅助活动之外开展非独立核算经营活动取得的收入。</w:t>
      </w:r>
    </w:p>
    <w:p>
      <w:pPr>
        <w:spacing w:line="500" w:lineRule="exact"/>
        <w:ind w:firstLine="560"/>
      </w:pPr>
      <w:r>
        <w:rPr>
          <w:rFonts w:eastAsia="方正仿宋_GBK"/>
          <w:color w:val="000000"/>
          <w:sz w:val="28"/>
        </w:rPr>
        <w:t>6、</w:t>
      </w:r>
      <w:r>
        <w:rPr>
          <w:rFonts w:eastAsia="方正仿宋_GBK"/>
          <w:b/>
          <w:color w:val="000000"/>
          <w:sz w:val="28"/>
        </w:rPr>
        <w:t>上年结转：</w:t>
      </w:r>
      <w:r>
        <w:rPr>
          <w:rFonts w:eastAsia="方正仿宋_GBK"/>
          <w:color w:val="000000"/>
          <w:sz w:val="28"/>
        </w:rPr>
        <w:t>指以前年度安排、结转到本年仍按原规定用途继续使用的资金。</w:t>
      </w:r>
    </w:p>
    <w:p>
      <w:pPr>
        <w:spacing w:line="500" w:lineRule="exact"/>
        <w:ind w:firstLine="560"/>
      </w:pPr>
      <w:r>
        <w:rPr>
          <w:rFonts w:eastAsia="方正仿宋_GBK"/>
          <w:color w:val="000000"/>
          <w:sz w:val="28"/>
        </w:rPr>
        <w:t>7、</w:t>
      </w:r>
      <w:r>
        <w:rPr>
          <w:rFonts w:eastAsia="方正仿宋_GBK"/>
          <w:b/>
          <w:color w:val="000000"/>
          <w:sz w:val="28"/>
        </w:rPr>
        <w:t>部门预算支出：</w:t>
      </w:r>
      <w:r>
        <w:rPr>
          <w:rFonts w:eastAsia="方正仿宋_GBK"/>
          <w:color w:val="000000"/>
          <w:sz w:val="28"/>
        </w:rPr>
        <w:t>包括人员类项目支出、运转类项目支出和特定目标类项目支出。其中：人员类项目支出和运转类项目中的公用经费项目支出对应部门预算中的基本支出；运转类项目中的其他运转类项目支出和特定目标类项目支出对应部门预算中的项目支出，以及经营支出和往来支出。</w:t>
      </w:r>
    </w:p>
    <w:p>
      <w:pPr>
        <w:spacing w:line="500" w:lineRule="exact"/>
        <w:ind w:firstLine="560"/>
      </w:pPr>
      <w:r>
        <w:rPr>
          <w:rFonts w:eastAsia="方正仿宋_GBK"/>
          <w:color w:val="000000"/>
          <w:sz w:val="28"/>
        </w:rPr>
        <w:t>8、</w:t>
      </w:r>
      <w:r>
        <w:rPr>
          <w:rFonts w:eastAsia="方正仿宋_GBK"/>
          <w:b/>
          <w:color w:val="000000"/>
          <w:sz w:val="28"/>
        </w:rPr>
        <w:t>事业单位经营支出：</w:t>
      </w:r>
      <w:r>
        <w:rPr>
          <w:rFonts w:eastAsia="方正仿宋_GBK"/>
          <w:color w:val="000000"/>
          <w:sz w:val="28"/>
        </w:rPr>
        <w:t>指事业单位在专业业务活动及其辅助活动之外开展非独立核算经营活动发生的支出。</w:t>
      </w:r>
    </w:p>
    <w:p>
      <w:pPr>
        <w:spacing w:line="500" w:lineRule="exact"/>
        <w:ind w:firstLine="560"/>
      </w:pPr>
      <w:r>
        <w:rPr>
          <w:rFonts w:eastAsia="方正仿宋_GBK"/>
          <w:color w:val="000000"/>
          <w:sz w:val="28"/>
        </w:rPr>
        <w:t>9、</w:t>
      </w:r>
      <w:r>
        <w:rPr>
          <w:rFonts w:eastAsia="方正仿宋_GBK"/>
          <w:b/>
          <w:color w:val="000000"/>
          <w:sz w:val="28"/>
        </w:rPr>
        <w:t>“三公”经费：</w:t>
      </w:r>
      <w:r>
        <w:rPr>
          <w:rFonts w:eastAsia="方正仿宋_GBK"/>
          <w:color w:val="000000"/>
          <w:sz w:val="28"/>
        </w:rPr>
        <w:t>纳入财政预算管理的“三公”经费，是指预算部门（单位）用财政拨款安排的因公出国（境）费、公务用车购置及运维费和公务接待费。其中，因公出国（境）费反映单位公务出国（境）的住宿费、旅费、伙食补助费、杂费、培训费等支出；公务用车购置及运维费反映单位公务用车购置支出（含车辆购置税、牌照费）及按规定保留的公务用车燃料费、维修费、过路过桥费、保险费、安全奖励费用等支出；公务接待费反映单位按规定开支的各类公务接待（含外宾接待）支出。</w:t>
      </w:r>
    </w:p>
    <w:p>
      <w:pPr>
        <w:spacing w:line="500" w:lineRule="exact"/>
        <w:ind w:firstLine="560"/>
      </w:pPr>
      <w:r>
        <w:rPr>
          <w:rFonts w:eastAsia="方正仿宋_GBK"/>
          <w:color w:val="000000"/>
          <w:sz w:val="28"/>
        </w:rPr>
        <w:t>10、</w:t>
      </w:r>
      <w:r>
        <w:rPr>
          <w:rFonts w:eastAsia="方正仿宋_GBK"/>
          <w:b/>
          <w:color w:val="000000"/>
          <w:sz w:val="28"/>
        </w:rPr>
        <w:t>机关运行经费：</w:t>
      </w:r>
      <w:r>
        <w:rPr>
          <w:rFonts w:eastAsia="方正仿宋_GBK"/>
          <w:color w:val="000000"/>
          <w:sz w:val="28"/>
        </w:rPr>
        <w:t>是指各部门（单位）的公用经费，包括办公及印刷费、邮电费、差旅费、会议费、福利费、日常维修费、专用材料及一般设备购置费、办公用房水电费、办公用房取暖费、办公用房物业管理费、公务用车运行维护费以及其他费用。</w:t>
      </w:r>
    </w:p>
    <w:p>
      <w:pPr>
        <w:spacing w:before="10" w:after="10"/>
        <w:ind w:firstLine="640"/>
        <w:outlineLvl w:val="2"/>
      </w:pPr>
      <w:bookmarkStart w:id="19" w:name="_Toc_3_3_0000000020"/>
      <w:r>
        <w:rPr>
          <w:rFonts w:ascii="黑体" w:hAnsi="黑体" w:eastAsia="黑体" w:cs="黑体"/>
          <w:color w:val="000000"/>
          <w:sz w:val="32"/>
        </w:rPr>
        <w:t>十一、其他需要说明的事项</w:t>
      </w:r>
      <w:bookmarkEnd w:id="19"/>
    </w:p>
    <w:p>
      <w:pPr>
        <w:spacing w:line="500" w:lineRule="exact"/>
        <w:ind w:firstLine="560"/>
      </w:pPr>
      <w:r>
        <w:rPr>
          <w:rFonts w:eastAsia="方正仿宋_GBK"/>
          <w:color w:val="000000"/>
          <w:sz w:val="28"/>
        </w:rPr>
        <w:t>我部门无其他需要说明的事项。</w:t>
      </w:r>
    </w:p>
    <w:sectPr>
      <w:pgSz w:w="16840" w:h="11900" w:orient="landscape"/>
      <w:pgMar w:top="1361" w:right="1020" w:bottom="1134" w:left="1020" w:header="720" w:footer="720" w:gutter="0"/>
      <w:cols w:space="720" w:num="1"/>
    </w:sectPr>
  </w:body>
</w:document>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mc:Ignorable="w14">
  <w:font w:name="Times New Roman">
    <w:panose1 w:val="02020603050405020304"/>
    <w:charset w:val="00"/>
    <w:family w:val="roman"/>
    <w:pitch w:val="variable"/>
    <w:sig w:usb0="20007A87" w:usb1="80000000" w:usb2="00000008" w:usb3="00000000" w:csb0="000001FF" w:csb1="00000000"/>
  </w:font>
  <w:font w:name="宋体">
    <w:panose1 w:val="02010600030101010101"/>
    <w:charset w:val="86"/>
    <w:family w:val="auto"/>
    <w:pitch w:val="default"/>
    <w:sig w:usb0="00000003" w:usb1="288F0000" w:usb2="00000006" w:usb3="00000000" w:csb0="00040001" w:csb1="00000000"/>
  </w:font>
  <w:font w:name="Wingdings">
    <w:panose1 w:val="05000000000000000000"/>
    <w:charset w:val="02"/>
    <w:family w:val="auto"/>
    <w:pitch w:val="default"/>
    <w:sig w:usb0="00000000" w:usb1="00000000" w:usb2="00000000" w:usb3="00000000" w:csb0="80000000" w:csb1="00000000"/>
  </w:font>
  <w:font w:name="Arial">
    <w:panose1 w:val="020B0604020202020204"/>
    <w:charset w:val="01"/>
    <w:family w:val="swiss"/>
    <w:pitch w:val="default"/>
    <w:sig w:usb0="E0002EFF" w:usb1="C000785B" w:usb2="00000009" w:usb3="00000000" w:csb0="400001FF" w:csb1="FFFF0000"/>
  </w:font>
  <w:font w:name="黑体">
    <w:panose1 w:val="02010609060101010101"/>
    <w:charset w:val="86"/>
    <w:family w:val="auto"/>
    <w:pitch w:val="default"/>
    <w:sig w:usb0="800002BF" w:usb1="38CF7CFA" w:usb2="00000016" w:usb3="00000000" w:csb0="00040001" w:csb1="00000000"/>
  </w:font>
  <w:font w:name="Courier New">
    <w:panose1 w:val="02070309020205020404"/>
    <w:charset w:val="01"/>
    <w:family w:val="modern"/>
    <w:pitch w:val="default"/>
    <w:sig w:usb0="E0002EFF" w:usb1="C0007843" w:usb2="00000009" w:usb3="00000000" w:csb0="400001FF" w:csb1="FFFF0000"/>
  </w:font>
  <w:font w:name="Symbol">
    <w:panose1 w:val="05050102010706020507"/>
    <w:charset w:val="02"/>
    <w:family w:val="roman"/>
    <w:pitch w:val="default"/>
    <w:sig w:usb0="00000000" w:usb1="00000000" w:usb2="00000000" w:usb3="00000000" w:csb0="80000000" w:csb1="00000000"/>
  </w:font>
  <w:font w:name="Calibri">
    <w:panose1 w:val="020F0502020204030204"/>
    <w:charset w:val="00"/>
    <w:family w:val="swiss"/>
    <w:pitch w:val="default"/>
    <w:sig w:usb0="E4002EFF" w:usb1="C000247B" w:usb2="00000009" w:usb3="00000000" w:csb0="200001FF" w:csb1="00000000"/>
  </w:font>
  <w:font w:name="方正仿宋_GBK">
    <w:panose1 w:val="02000000000000000000"/>
    <w:charset w:val="86"/>
    <w:family w:val="roman"/>
    <w:pitch w:val="default"/>
    <w:sig w:usb0="A00002BF" w:usb1="38CF7CFA" w:usb2="00082016" w:usb3="00000000" w:csb0="00040001" w:csb1="00000000"/>
  </w:font>
  <w:font w:name="方正小标宋_GBK">
    <w:panose1 w:val="02000000000000000000"/>
    <w:charset w:val="86"/>
    <w:family w:val="roman"/>
    <w:pitch w:val="default"/>
    <w:sig w:usb0="A00002BF" w:usb1="38CF7CFA" w:usb2="00082016" w:usb3="00000000" w:csb0="00040001" w:csb1="00000000"/>
  </w:font>
  <w:font w:name="方正书宋_GBK">
    <w:panose1 w:val="02000000000000000000"/>
    <w:charset w:val="86"/>
    <w:family w:val="roman"/>
    <w:pitch w:val="default"/>
    <w:sig w:usb0="A00002BF" w:usb1="38CF7CFA" w:usb2="00082016" w:usb3="00000000" w:csb0="00040001" w:csb1="00000000"/>
  </w:font>
  <w:font w:name="方正楷体_GBK">
    <w:panose1 w:val="02000000000000000000"/>
    <w:charset w:val="86"/>
    <w:family w:val="roman"/>
    <w:pitch w:val="default"/>
    <w:sig w:usb0="A00002BF" w:usb1="38CF7CFA" w:usb2="00082016" w:usb3="00000000" w:csb0="00040001" w:csb1="00000000"/>
  </w:font>
</w:fonts>
</file>

<file path=word/footer1.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pPr>
      <w:jc w:val="right"/>
    </w:pPr>
    <w:r>
      <w:fldChar w:fldCharType="begin"/>
    </w:r>
    <w:r>
      <w:instrText xml:space="preserve">PAGE "page number"</w:instrText>
    </w:r>
    <w:r>
      <w:fldChar w:fldCharType="separate"/>
    </w:r>
    <w:r>
      <w:t>23</w:t>
    </w:r>
    <w:r>
      <w:fldChar w:fldCharType="end"/>
    </w:r>
  </w:p>
</w:ftr>
</file>

<file path=word/footer2.xml><?xml version="1.0" encoding="utf-8"?>
<w:ftr xmlns:wpc="http://schemas.microsoft.com/office/word/2010/wordprocessingCanvas" xmlns:mc="http://schemas.openxmlformats.org/markup-compatibility/2006"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pg="http://schemas.microsoft.com/office/word/2010/wordprocessingGroup" xmlns:wpi="http://schemas.microsoft.com/office/word/2010/wordprocessingInk" xmlns:wne="http://schemas.microsoft.com/office/word/2006/wordml" xmlns:wps="http://schemas.microsoft.com/office/word/2010/wordprocessingShape" xmlns:wpsCustomData="http://www.wps.cn/officeDocument/2013/wpsCustomData" mc:Ignorable="w14 w15 wp14">
  <w:p>
    <w:r>
      <w:fldChar w:fldCharType="begin"/>
    </w:r>
    <w:r>
      <w:instrText xml:space="preserve">PAGE "page number"</w:instrText>
    </w:r>
    <w:r>
      <w:fldChar w:fldCharType="separate"/>
    </w:r>
    <w:r>
      <w:t>22</w:t>
    </w:r>
    <w:r>
      <w:fldChar w:fldCharType="end"/>
    </w:r>
  </w:p>
</w:ftr>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sl="http://schemas.openxmlformats.org/schemaLibrary/2006/main" xmlns:wpsCustomData="http://www.wps.cn/officeDocument/2013/wpsCustomData" mc:Ignorable="w14">
  <w:zoom w:percent="80"/>
  <w:bordersDoNotSurroundHeader w:val="1"/>
  <w:bordersDoNotSurroundFooter w:val="1"/>
  <w:documentProtection w:enforcement="0"/>
  <w:defaultTabStop w:val="720"/>
  <w:evenAndOddHeaders w:val="1"/>
  <w:characterSpacingControl w:val="doNotCompress"/>
  <w:compat>
    <w:doNotLeaveBackslashAlone/>
    <w:doNotExpandShiftReturn/>
    <w:adjustLineHeightInTable/>
    <w:useFELayout/>
    <w:compatSetting w:name="compatibilityMode" w:uri="http://schemas.microsoft.com/office/word" w:val="14"/>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
  <w:rsids>
    <w:rsidRoot w:val="00BB1908"/>
    <w:rsid w:val="00217F56"/>
    <w:rsid w:val="003346B4"/>
    <w:rsid w:val="008D0C4B"/>
    <w:rsid w:val="00BB1908"/>
    <w:rsid w:val="00F52039"/>
    <w:rsid w:val="283B501A"/>
    <w:rsid w:val="40E67B0E"/>
    <w:rsid w:val="633D5481"/>
    <w:rsid w:val="7615090D"/>
  </w:rsids>
  <m:mathPr>
    <m:mathFont m:val="Cambria Math"/>
    <m:brkBin m:val="before"/>
    <m:brkBinSub m:val="--"/>
    <m:smallFrac m:val="0"/>
    <m:dispDef/>
    <m:lMargin m:val="0"/>
    <m:rMargin m:val="0"/>
    <m:defJc m:val="centerGroup"/>
    <m:wrapIndent m:val="1440"/>
    <m:intLim m:val="subSup"/>
    <m:naryLim m:val="undOvr"/>
  </m:mathPr>
  <w:themeFontLang w:val="en-US" w:eastAsia="zh-CN" w:bidi="ar-SA"/>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http://schemas.openxmlformats.org/wordprocessingml/2006/main" xmlns:w14="http://schemas.microsoft.com/office/word/2010/wordml" xmlns:w10="urn:schemas-microsoft-com:office:word" xmlns:sl="http://schemas.openxmlformats.org/schemaLibrary/2006/main" xmlns:wpsCustomData="http://www.wps.cn/officeDocument/2013/wpsCustomData" mc:Ignorable="w14">
  <w:docDefaults>
    <w:rPrDefault>
      <w:rPr>
        <w:rFonts w:ascii="Times New Roman" w:hAnsi="Times New Roman" w:eastAsiaTheme="minorEastAsia" w:cs="Times New Roman"/>
      </w:rPr>
    </w:rPrDefault>
    <w:pPrDefault/>
  </w:docDefaults>
  <w:latentStyles w:count="260" w:defQFormat="0" w:defUnhideWhenUsed="1" w:defSemiHidden="1" w:defUIPriority="99" w:defLockedState="0">
    <w:lsdException w:qFormat="1" w:unhideWhenUsed="0" w:uiPriority="0" w:semiHidden="0" w:name="Normal"/>
    <w:lsdException w:qFormat="1" w:unhideWhenUsed="0" w:uiPriority="9" w:semiHidden="0" w:name="heading 1"/>
    <w:lsdException w:qFormat="1" w:uiPriority="9" w:name="heading 2"/>
    <w:lsdException w:qFormat="1" w:uiPriority="9" w:name="heading 3"/>
    <w:lsdException w:qFormat="1" w:uiPriority="9" w:name="heading 4"/>
    <w:lsdException w:qFormat="1" w:uiPriority="9" w:name="heading 5"/>
    <w:lsdException w:qFormat="1" w:uiPriority="9" w:name="heading 6"/>
    <w:lsdException w:qFormat="1" w:uiPriority="9" w:name="heading 7"/>
    <w:lsdException w:qFormat="1" w:uiPriority="9" w:name="heading 8"/>
    <w:lsdException w:qFormat="1" w:uiPriority="9" w:name="heading 9"/>
    <w:lsdException w:uiPriority="99" w:name="index 1"/>
    <w:lsdException w:uiPriority="99" w:name="index 2"/>
    <w:lsdException w:uiPriority="99" w:name="index 3"/>
    <w:lsdException w:uiPriority="99" w:name="index 4"/>
    <w:lsdException w:uiPriority="99" w:name="index 5"/>
    <w:lsdException w:uiPriority="99" w:name="index 6"/>
    <w:lsdException w:uiPriority="99" w:name="index 7"/>
    <w:lsdException w:uiPriority="99" w:name="index 8"/>
    <w:lsdException w:uiPriority="99" w:name="index 9"/>
    <w:lsdException w:qFormat="1" w:unhideWhenUsed="0" w:uiPriority="0" w:semiHidden="0" w:name="toc 1"/>
    <w:lsdException w:qFormat="1" w:unhideWhenUsed="0" w:uiPriority="0" w:semiHidden="0" w:name="toc 2"/>
    <w:lsdException w:qFormat="1" w:unhideWhenUsed="0" w:uiPriority="0" w:semiHidden="0" w:name="toc 3"/>
    <w:lsdException w:uiPriority="39" w:name="toc 4"/>
    <w:lsdException w:uiPriority="39" w:name="toc 5"/>
    <w:lsdException w:uiPriority="39" w:name="toc 6"/>
    <w:lsdException w:uiPriority="39" w:name="toc 7"/>
    <w:lsdException w:uiPriority="39" w:name="toc 8"/>
    <w:lsdException w:uiPriority="39" w:name="toc 9"/>
    <w:lsdException w:uiPriority="99" w:name="Normal Indent"/>
    <w:lsdException w:uiPriority="99" w:name="footnote text"/>
    <w:lsdException w:uiPriority="99" w:name="annotation text"/>
    <w:lsdException w:uiPriority="99" w:name="header"/>
    <w:lsdException w:uiPriority="99" w:name="footer"/>
    <w:lsdException w:uiPriority="99" w:name="index heading"/>
    <w:lsdException w:qFormat="1" w:uiPriority="35" w:name="caption"/>
    <w:lsdException w:uiPriority="99" w:name="table of figures"/>
    <w:lsdException w:uiPriority="99" w:name="envelope address"/>
    <w:lsdException w:uiPriority="99" w:name="envelope return"/>
    <w:lsdException w:uiPriority="99" w:name="footnote reference"/>
    <w:lsdException w:uiPriority="99" w:name="annotation reference"/>
    <w:lsdException w:uiPriority="99" w:name="line number"/>
    <w:lsdException w:uiPriority="99" w:name="page number"/>
    <w:lsdException w:uiPriority="99" w:name="endnote reference"/>
    <w:lsdException w:uiPriority="99" w:name="endnote text"/>
    <w:lsdException w:uiPriority="99" w:name="table of authorities"/>
    <w:lsdException w:uiPriority="99" w:name="macro"/>
    <w:lsdException w:uiPriority="99" w:name="toa heading"/>
    <w:lsdException w:uiPriority="99" w:name="List"/>
    <w:lsdException w:uiPriority="99" w:name="List Bullet"/>
    <w:lsdException w:uiPriority="99" w:name="List Number"/>
    <w:lsdException w:uiPriority="99" w:name="List 2"/>
    <w:lsdException w:uiPriority="99" w:name="List 3"/>
    <w:lsdException w:uiPriority="99" w:name="List 4"/>
    <w:lsdException w:uiPriority="99" w:name="List 5"/>
    <w:lsdException w:uiPriority="99" w:name="List Bullet 2"/>
    <w:lsdException w:uiPriority="99" w:name="List Bullet 3"/>
    <w:lsdException w:uiPriority="99" w:name="List Bullet 4"/>
    <w:lsdException w:uiPriority="99" w:name="List Bullet 5"/>
    <w:lsdException w:uiPriority="99" w:name="List Number 2"/>
    <w:lsdException w:uiPriority="99" w:name="List Number 3"/>
    <w:lsdException w:uiPriority="99" w:name="List Number 4"/>
    <w:lsdException w:uiPriority="99" w:name="List Number 5"/>
    <w:lsdException w:qFormat="1" w:unhideWhenUsed="0" w:uiPriority="10" w:semiHidden="0" w:name="Title"/>
    <w:lsdException w:uiPriority="99" w:name="Closing"/>
    <w:lsdException w:uiPriority="99" w:name="Signature"/>
    <w:lsdException w:uiPriority="1" w:name="Default Paragraph Font"/>
    <w:lsdException w:uiPriority="99" w:name="Body Text"/>
    <w:lsdException w:uiPriority="99" w:name="Body Text Indent"/>
    <w:lsdException w:uiPriority="99" w:name="List Continue"/>
    <w:lsdException w:uiPriority="99" w:name="List Continue 2"/>
    <w:lsdException w:uiPriority="99" w:name="List Continue 3"/>
    <w:lsdException w:uiPriority="99" w:name="List Continue 4"/>
    <w:lsdException w:uiPriority="99" w:name="List Continue 5"/>
    <w:lsdException w:uiPriority="99" w:name="Message Header"/>
    <w:lsdException w:qFormat="1" w:unhideWhenUsed="0" w:uiPriority="11" w:semiHidden="0" w:name="Subtitle"/>
    <w:lsdException w:uiPriority="99" w:name="Salutation"/>
    <w:lsdException w:uiPriority="99" w:name="Date"/>
    <w:lsdException w:uiPriority="99" w:name="Body Text First Indent"/>
    <w:lsdException w:uiPriority="99" w:name="Body Text First Indent 2"/>
    <w:lsdException w:uiPriority="99" w:name="Note Heading"/>
    <w:lsdException w:uiPriority="99" w:name="Body Text 2"/>
    <w:lsdException w:uiPriority="99" w:name="Body Text 3"/>
    <w:lsdException w:uiPriority="99" w:name="Body Text Indent 2"/>
    <w:lsdException w:uiPriority="99" w:name="Body Text Indent 3"/>
    <w:lsdException w:uiPriority="99" w:name="Block Text"/>
    <w:lsdException w:uiPriority="99" w:name="Hyperlink"/>
    <w:lsdException w:uiPriority="99" w:name="FollowedHyperlink"/>
    <w:lsdException w:qFormat="1" w:unhideWhenUsed="0" w:uiPriority="22" w:semiHidden="0" w:name="Strong"/>
    <w:lsdException w:qFormat="1" w:unhideWhenUsed="0" w:uiPriority="20" w:semiHidden="0" w:name="Emphasis"/>
    <w:lsdException w:uiPriority="99" w:name="Document Map"/>
    <w:lsdException w:uiPriority="99" w:name="Plain Text"/>
    <w:lsdException w:uiPriority="99" w:name="E-mail Signature"/>
    <w:lsdException w:uiPriority="99" w:name="Normal (Web)"/>
    <w:lsdException w:uiPriority="99" w:name="HTML Acronym"/>
    <w:lsdException w:uiPriority="99" w:name="HTML Address"/>
    <w:lsdException w:uiPriority="99" w:name="HTML Cite"/>
    <w:lsdException w:uiPriority="99" w:name="HTML Code"/>
    <w:lsdException w:uiPriority="99" w:name="HTML Definition"/>
    <w:lsdException w:uiPriority="99" w:name="HTML Keyboard"/>
    <w:lsdException w:uiPriority="99" w:name="HTML Preformatted"/>
    <w:lsdException w:uiPriority="99" w:name="HTML Sample"/>
    <w:lsdException w:uiPriority="99" w:name="HTML Typewriter"/>
    <w:lsdException w:uiPriority="99" w:name="HTML Variable"/>
    <w:lsdException w:qFormat="1" w:uiPriority="99" w:name="Normal Table"/>
    <w:lsdException w:uiPriority="99" w:name="annotation subject"/>
    <w:lsdException w:uiPriority="99" w:name="Table Simple 1"/>
    <w:lsdException w:uiPriority="99" w:name="Table Simple 2"/>
    <w:lsdException w:uiPriority="99" w:name="Table Simple 3"/>
    <w:lsdException w:uiPriority="99" w:name="Table Classic 1"/>
    <w:lsdException w:uiPriority="99" w:name="Table Classic 2"/>
    <w:lsdException w:uiPriority="99" w:name="Table Classic 3"/>
    <w:lsdException w:uiPriority="99" w:name="Table Classic 4"/>
    <w:lsdException w:uiPriority="99" w:name="Table Colorful 1"/>
    <w:lsdException w:uiPriority="99" w:name="Table Colorful 2"/>
    <w:lsdException w:uiPriority="99" w:name="Table Colorful 3"/>
    <w:lsdException w:uiPriority="99" w:name="Table Columns 1"/>
    <w:lsdException w:uiPriority="99" w:name="Table Columns 2"/>
    <w:lsdException w:uiPriority="99" w:name="Table Columns 3"/>
    <w:lsdException w:uiPriority="99" w:name="Table Columns 4"/>
    <w:lsdException w:uiPriority="99" w:name="Table Columns 5"/>
    <w:lsdException w:uiPriority="99" w:name="Table Grid 1"/>
    <w:lsdException w:uiPriority="99" w:name="Table Grid 2"/>
    <w:lsdException w:uiPriority="99" w:name="Table Grid 3"/>
    <w:lsdException w:uiPriority="99" w:name="Table Grid 4"/>
    <w:lsdException w:uiPriority="99" w:name="Table Grid 5"/>
    <w:lsdException w:uiPriority="99" w:name="Table Grid 6"/>
    <w:lsdException w:uiPriority="99" w:name="Table Grid 7"/>
    <w:lsdException w:uiPriority="99" w:name="Table Grid 8"/>
    <w:lsdException w:uiPriority="99" w:name="Table List 1"/>
    <w:lsdException w:uiPriority="99" w:name="Table List 2"/>
    <w:lsdException w:uiPriority="99" w:name="Table List 3"/>
    <w:lsdException w:uiPriority="99" w:name="Table List 4"/>
    <w:lsdException w:uiPriority="99" w:name="Table List 5"/>
    <w:lsdException w:uiPriority="99" w:name="Table List 6"/>
    <w:lsdException w:uiPriority="99" w:name="Table List 7"/>
    <w:lsdException w:uiPriority="99" w:name="Table List 8"/>
    <w:lsdException w:uiPriority="99" w:name="Table 3D effects 1"/>
    <w:lsdException w:uiPriority="99" w:name="Table 3D effects 2"/>
    <w:lsdException w:uiPriority="99" w:name="Table 3D effects 3"/>
    <w:lsdException w:uiPriority="99" w:name="Table Contemporary"/>
    <w:lsdException w:uiPriority="99" w:name="Table Elegant"/>
    <w:lsdException w:uiPriority="99" w:name="Table Professional"/>
    <w:lsdException w:uiPriority="99" w:name="Table Subtle 1"/>
    <w:lsdException w:uiPriority="99" w:name="Table Subtle 2"/>
    <w:lsdException w:uiPriority="99" w:name="Table Web 1"/>
    <w:lsdException w:uiPriority="99" w:name="Table Web 2"/>
    <w:lsdException w:uiPriority="99" w:name="Table Web 3"/>
    <w:lsdException w:uiPriority="99" w:name="Balloon Text"/>
    <w:lsdException w:qFormat="1" w:unhideWhenUsed="0" w:uiPriority="0" w:semiHidden="0" w:name="Table Grid"/>
    <w:lsdException w:uiPriority="99" w:name="Table Theme"/>
    <w:lsdException w:unhideWhenUsed="0" w:uiPriority="60" w:semiHidden="0" w:name="Light Shading"/>
    <w:lsdException w:unhideWhenUsed="0" w:uiPriority="61" w:semiHidden="0" w:name="Light List"/>
    <w:lsdException w:unhideWhenUsed="0" w:uiPriority="62" w:semiHidden="0" w:name="Light Grid"/>
    <w:lsdException w:unhideWhenUsed="0" w:uiPriority="63" w:semiHidden="0" w:name="Medium Shading 1"/>
    <w:lsdException w:unhideWhenUsed="0" w:uiPriority="64" w:semiHidden="0" w:name="Medium Shading 2"/>
    <w:lsdException w:unhideWhenUsed="0" w:uiPriority="65" w:semiHidden="0" w:name="Medium List 1"/>
    <w:lsdException w:unhideWhenUsed="0" w:uiPriority="66" w:semiHidden="0" w:name="Medium List 2"/>
    <w:lsdException w:unhideWhenUsed="0" w:uiPriority="67" w:semiHidden="0" w:name="Medium Grid 1"/>
    <w:lsdException w:unhideWhenUsed="0" w:uiPriority="68" w:semiHidden="0" w:name="Medium Grid 2"/>
    <w:lsdException w:unhideWhenUsed="0" w:uiPriority="69" w:semiHidden="0" w:name="Medium Grid 3"/>
    <w:lsdException w:unhideWhenUsed="0" w:uiPriority="70" w:semiHidden="0" w:name="Dark List"/>
    <w:lsdException w:unhideWhenUsed="0" w:uiPriority="71" w:semiHidden="0" w:name="Colorful Shading"/>
    <w:lsdException w:unhideWhenUsed="0" w:uiPriority="72" w:semiHidden="0" w:name="Colorful List"/>
    <w:lsdException w:unhideWhenUsed="0" w:uiPriority="73" w:semiHidden="0" w:name="Colorful Grid"/>
    <w:lsdException w:unhideWhenUsed="0" w:uiPriority="60" w:semiHidden="0" w:name="Light Shading Accent 1"/>
    <w:lsdException w:unhideWhenUsed="0" w:uiPriority="61" w:semiHidden="0" w:name="Light List Accent 1"/>
    <w:lsdException w:unhideWhenUsed="0" w:uiPriority="62" w:semiHidden="0" w:name="Light Grid Accent 1"/>
    <w:lsdException w:unhideWhenUsed="0" w:uiPriority="63" w:semiHidden="0" w:name="Medium Shading 1 Accent 1"/>
    <w:lsdException w:unhideWhenUsed="0" w:uiPriority="64" w:semiHidden="0" w:name="Medium Shading 2 Accent 1"/>
    <w:lsdException w:unhideWhenUsed="0" w:uiPriority="65" w:semiHidden="0" w:name="Medium List 1 Accent 1"/>
    <w:lsdException w:unhideWhenUsed="0" w:uiPriority="66" w:semiHidden="0" w:name="Medium List 2 Accent 1"/>
    <w:lsdException w:unhideWhenUsed="0" w:uiPriority="67" w:semiHidden="0" w:name="Medium Grid 1 Accent 1"/>
    <w:lsdException w:unhideWhenUsed="0" w:uiPriority="68" w:semiHidden="0" w:name="Medium Grid 2 Accent 1"/>
    <w:lsdException w:unhideWhenUsed="0" w:uiPriority="69" w:semiHidden="0" w:name="Medium Grid 3 Accent 1"/>
    <w:lsdException w:unhideWhenUsed="0" w:uiPriority="70" w:semiHidden="0" w:name="Dark List Accent 1"/>
    <w:lsdException w:unhideWhenUsed="0" w:uiPriority="71" w:semiHidden="0" w:name="Colorful Shading Accent 1"/>
    <w:lsdException w:unhideWhenUsed="0" w:uiPriority="72" w:semiHidden="0" w:name="Colorful List Accent 1"/>
    <w:lsdException w:unhideWhenUsed="0" w:uiPriority="73" w:semiHidden="0" w:name="Colorful Grid Accent 1"/>
    <w:lsdException w:unhideWhenUsed="0" w:uiPriority="60" w:semiHidden="0" w:name="Light Shading Accent 2"/>
    <w:lsdException w:unhideWhenUsed="0" w:uiPriority="61" w:semiHidden="0" w:name="Light List Accent 2"/>
    <w:lsdException w:unhideWhenUsed="0" w:uiPriority="62" w:semiHidden="0" w:name="Light Grid Accent 2"/>
    <w:lsdException w:unhideWhenUsed="0" w:uiPriority="63" w:semiHidden="0" w:name="Medium Shading 1 Accent 2"/>
    <w:lsdException w:unhideWhenUsed="0" w:uiPriority="64" w:semiHidden="0" w:name="Medium Shading 2 Accent 2"/>
    <w:lsdException w:unhideWhenUsed="0" w:uiPriority="65" w:semiHidden="0" w:name="Medium List 1 Accent 2"/>
    <w:lsdException w:unhideWhenUsed="0" w:uiPriority="66" w:semiHidden="0" w:name="Medium List 2 Accent 2"/>
    <w:lsdException w:unhideWhenUsed="0" w:uiPriority="67" w:semiHidden="0" w:name="Medium Grid 1 Accent 2"/>
    <w:lsdException w:unhideWhenUsed="0" w:uiPriority="68" w:semiHidden="0" w:name="Medium Grid 2 Accent 2"/>
    <w:lsdException w:unhideWhenUsed="0" w:uiPriority="69" w:semiHidden="0" w:name="Medium Grid 3 Accent 2"/>
    <w:lsdException w:unhideWhenUsed="0" w:uiPriority="70" w:semiHidden="0" w:name="Dark List Accent 2"/>
    <w:lsdException w:unhideWhenUsed="0" w:uiPriority="71" w:semiHidden="0" w:name="Colorful Shading Accent 2"/>
    <w:lsdException w:unhideWhenUsed="0" w:uiPriority="72" w:semiHidden="0" w:name="Colorful List Accent 2"/>
    <w:lsdException w:unhideWhenUsed="0" w:uiPriority="73" w:semiHidden="0" w:name="Colorful Grid Accent 2"/>
    <w:lsdException w:unhideWhenUsed="0" w:uiPriority="60" w:semiHidden="0" w:name="Light Shading Accent 3"/>
    <w:lsdException w:unhideWhenUsed="0" w:uiPriority="61" w:semiHidden="0" w:name="Light List Accent 3"/>
    <w:lsdException w:unhideWhenUsed="0" w:uiPriority="62" w:semiHidden="0" w:name="Light Grid Accent 3"/>
    <w:lsdException w:unhideWhenUsed="0" w:uiPriority="63" w:semiHidden="0" w:name="Medium Shading 1 Accent 3"/>
    <w:lsdException w:unhideWhenUsed="0" w:uiPriority="64" w:semiHidden="0" w:name="Medium Shading 2 Accent 3"/>
    <w:lsdException w:unhideWhenUsed="0" w:uiPriority="65" w:semiHidden="0" w:name="Medium List 1 Accent 3"/>
    <w:lsdException w:unhideWhenUsed="0" w:uiPriority="66" w:semiHidden="0" w:name="Medium List 2 Accent 3"/>
    <w:lsdException w:unhideWhenUsed="0" w:uiPriority="67" w:semiHidden="0" w:name="Medium Grid 1 Accent 3"/>
    <w:lsdException w:unhideWhenUsed="0" w:uiPriority="68" w:semiHidden="0" w:name="Medium Grid 2 Accent 3"/>
    <w:lsdException w:unhideWhenUsed="0" w:uiPriority="69" w:semiHidden="0" w:name="Medium Grid 3 Accent 3"/>
    <w:lsdException w:unhideWhenUsed="0" w:uiPriority="70" w:semiHidden="0" w:name="Dark List Accent 3"/>
    <w:lsdException w:unhideWhenUsed="0" w:uiPriority="71" w:semiHidden="0" w:name="Colorful Shading Accent 3"/>
    <w:lsdException w:unhideWhenUsed="0" w:uiPriority="72" w:semiHidden="0" w:name="Colorful List Accent 3"/>
    <w:lsdException w:unhideWhenUsed="0" w:uiPriority="73" w:semiHidden="0" w:name="Colorful Grid Accent 3"/>
    <w:lsdException w:unhideWhenUsed="0" w:uiPriority="60" w:semiHidden="0" w:name="Light Shading Accent 4"/>
    <w:lsdException w:unhideWhenUsed="0" w:uiPriority="61" w:semiHidden="0" w:name="Light List Accent 4"/>
    <w:lsdException w:unhideWhenUsed="0" w:uiPriority="62" w:semiHidden="0" w:name="Light Grid Accent 4"/>
    <w:lsdException w:unhideWhenUsed="0" w:uiPriority="63" w:semiHidden="0" w:name="Medium Shading 1 Accent 4"/>
    <w:lsdException w:unhideWhenUsed="0" w:uiPriority="64" w:semiHidden="0" w:name="Medium Shading 2 Accent 4"/>
    <w:lsdException w:unhideWhenUsed="0" w:uiPriority="65" w:semiHidden="0" w:name="Medium List 1 Accent 4"/>
    <w:lsdException w:unhideWhenUsed="0" w:uiPriority="66" w:semiHidden="0" w:name="Medium List 2 Accent 4"/>
    <w:lsdException w:unhideWhenUsed="0" w:uiPriority="67" w:semiHidden="0" w:name="Medium Grid 1 Accent 4"/>
    <w:lsdException w:unhideWhenUsed="0" w:uiPriority="68" w:semiHidden="0" w:name="Medium Grid 2 Accent 4"/>
    <w:lsdException w:unhideWhenUsed="0" w:uiPriority="69" w:semiHidden="0" w:name="Medium Grid 3 Accent 4"/>
    <w:lsdException w:unhideWhenUsed="0" w:uiPriority="70" w:semiHidden="0" w:name="Dark List Accent 4"/>
    <w:lsdException w:unhideWhenUsed="0" w:uiPriority="71" w:semiHidden="0" w:name="Colorful Shading Accent 4"/>
    <w:lsdException w:unhideWhenUsed="0" w:uiPriority="72" w:semiHidden="0" w:name="Colorful List Accent 4"/>
    <w:lsdException w:unhideWhenUsed="0" w:uiPriority="73" w:semiHidden="0" w:name="Colorful Grid Accent 4"/>
    <w:lsdException w:unhideWhenUsed="0" w:uiPriority="60" w:semiHidden="0" w:name="Light Shading Accent 5"/>
    <w:lsdException w:unhideWhenUsed="0" w:uiPriority="61" w:semiHidden="0" w:name="Light List Accent 5"/>
    <w:lsdException w:unhideWhenUsed="0" w:uiPriority="62" w:semiHidden="0" w:name="Light Grid Accent 5"/>
    <w:lsdException w:unhideWhenUsed="0" w:uiPriority="63" w:semiHidden="0" w:name="Medium Shading 1 Accent 5"/>
    <w:lsdException w:unhideWhenUsed="0" w:uiPriority="64" w:semiHidden="0" w:name="Medium Shading 2 Accent 5"/>
    <w:lsdException w:unhideWhenUsed="0" w:uiPriority="65" w:semiHidden="0" w:name="Medium List 1 Accent 5"/>
    <w:lsdException w:unhideWhenUsed="0" w:uiPriority="66" w:semiHidden="0" w:name="Medium List 2 Accent 5"/>
    <w:lsdException w:unhideWhenUsed="0" w:uiPriority="67" w:semiHidden="0" w:name="Medium Grid 1 Accent 5"/>
    <w:lsdException w:unhideWhenUsed="0" w:uiPriority="68" w:semiHidden="0" w:name="Medium Grid 2 Accent 5"/>
    <w:lsdException w:unhideWhenUsed="0" w:uiPriority="69" w:semiHidden="0" w:name="Medium Grid 3 Accent 5"/>
    <w:lsdException w:unhideWhenUsed="0" w:uiPriority="70" w:semiHidden="0" w:name="Dark List Accent 5"/>
    <w:lsdException w:unhideWhenUsed="0" w:uiPriority="71" w:semiHidden="0" w:name="Colorful Shading Accent 5"/>
    <w:lsdException w:unhideWhenUsed="0" w:uiPriority="72" w:semiHidden="0" w:name="Colorful List Accent 5"/>
    <w:lsdException w:unhideWhenUsed="0" w:uiPriority="73" w:semiHidden="0" w:name="Colorful Grid Accent 5"/>
    <w:lsdException w:unhideWhenUsed="0" w:uiPriority="60" w:semiHidden="0" w:name="Light Shading Accent 6"/>
    <w:lsdException w:unhideWhenUsed="0" w:uiPriority="61" w:semiHidden="0" w:name="Light List Accent 6"/>
    <w:lsdException w:unhideWhenUsed="0" w:uiPriority="62" w:semiHidden="0" w:name="Light Grid Accent 6"/>
    <w:lsdException w:unhideWhenUsed="0" w:uiPriority="63" w:semiHidden="0" w:name="Medium Shading 1 Accent 6"/>
    <w:lsdException w:unhideWhenUsed="0" w:uiPriority="64" w:semiHidden="0" w:name="Medium Shading 2 Accent 6"/>
    <w:lsdException w:unhideWhenUsed="0" w:uiPriority="65" w:semiHidden="0" w:name="Medium List 1 Accent 6"/>
    <w:lsdException w:unhideWhenUsed="0" w:uiPriority="66" w:semiHidden="0" w:name="Medium List 2 Accent 6"/>
    <w:lsdException w:unhideWhenUsed="0" w:uiPriority="67" w:semiHidden="0" w:name="Medium Grid 1 Accent 6"/>
    <w:lsdException w:unhideWhenUsed="0" w:uiPriority="68" w:semiHidden="0" w:name="Medium Grid 2 Accent 6"/>
    <w:lsdException w:unhideWhenUsed="0" w:uiPriority="69" w:semiHidden="0" w:name="Medium Grid 3 Accent 6"/>
    <w:lsdException w:unhideWhenUsed="0" w:uiPriority="70" w:semiHidden="0" w:name="Dark List Accent 6"/>
    <w:lsdException w:unhideWhenUsed="0" w:uiPriority="71" w:semiHidden="0" w:name="Colorful Shading Accent 6"/>
    <w:lsdException w:unhideWhenUsed="0" w:uiPriority="72" w:semiHidden="0" w:name="Colorful List Accent 6"/>
    <w:lsdException w:unhideWhenUsed="0" w:uiPriority="73" w:semiHidden="0" w:name="Colorful Grid Accent 6"/>
  </w:latentStyles>
  <w:style w:type="paragraph" w:default="1" w:styleId="1">
    <w:name w:val="Normal"/>
    <w:qFormat/>
    <w:uiPriority w:val="0"/>
    <w:rPr>
      <w:rFonts w:ascii="Times New Roman" w:hAnsi="Times New Roman" w:eastAsia="Times New Roman" w:cs="Times New Roman"/>
      <w:sz w:val="24"/>
      <w:szCs w:val="24"/>
      <w:lang w:val="en-US" w:eastAsia="uk-UA" w:bidi="ar-SA"/>
    </w:rPr>
  </w:style>
  <w:style w:type="character" w:default="1" w:styleId="7">
    <w:name w:val="Default Paragraph Font"/>
    <w:semiHidden/>
    <w:unhideWhenUsed/>
    <w:uiPriority w:val="1"/>
  </w:style>
  <w:style w:type="table" w:default="1" w:styleId="5">
    <w:name w:val="Normal Table"/>
    <w:semiHidden/>
    <w:unhideWhenUsed/>
    <w:qFormat/>
    <w:uiPriority w:val="99"/>
    <w:tblPr>
      <w:tblCellMar>
        <w:top w:w="0" w:type="dxa"/>
        <w:left w:w="108" w:type="dxa"/>
        <w:bottom w:w="0" w:type="dxa"/>
        <w:right w:w="108" w:type="dxa"/>
      </w:tblCellMar>
    </w:tblPr>
  </w:style>
  <w:style w:type="paragraph" w:styleId="2">
    <w:name w:val="toc 3"/>
    <w:basedOn w:val="1"/>
    <w:next w:val="1"/>
    <w:qFormat/>
    <w:uiPriority w:val="0"/>
    <w:pPr>
      <w:ind w:left="480"/>
    </w:pPr>
  </w:style>
  <w:style w:type="paragraph" w:styleId="3">
    <w:name w:val="toc 1"/>
    <w:basedOn w:val="1"/>
    <w:next w:val="1"/>
    <w:qFormat/>
    <w:uiPriority w:val="0"/>
    <w:pPr>
      <w:spacing w:before="120"/>
      <w:ind w:firstLine="560"/>
    </w:pPr>
    <w:rPr>
      <w:rFonts w:eastAsia="方正仿宋_GBK"/>
      <w:color w:val="000000"/>
      <w:sz w:val="28"/>
    </w:rPr>
  </w:style>
  <w:style w:type="paragraph" w:styleId="4">
    <w:name w:val="toc 2"/>
    <w:basedOn w:val="1"/>
    <w:next w:val="1"/>
    <w:qFormat/>
    <w:uiPriority w:val="0"/>
    <w:pPr>
      <w:ind w:left="240"/>
    </w:pPr>
  </w:style>
  <w:style w:type="table" w:styleId="6">
    <w:name w:val="Table Grid"/>
    <w:basedOn w:val="5"/>
    <w:qFormat/>
    <w:uiPriority w:val="0"/>
    <w:tblPr>
      <w:tblBorders>
        <w:top w:val="single" w:color="auto" w:sz="4" w:space="0"/>
        <w:left w:val="single" w:color="auto" w:sz="4" w:space="0"/>
        <w:bottom w:val="single" w:color="auto" w:sz="4" w:space="0"/>
        <w:right w:val="single" w:color="auto" w:sz="4" w:space="0"/>
        <w:insideH w:val="single" w:color="auto" w:sz="4" w:space="0"/>
        <w:insideV w:val="single" w:color="auto" w:sz="4" w:space="0"/>
      </w:tblBorders>
      <w:tblCellMar>
        <w:top w:w="0" w:type="dxa"/>
        <w:left w:w="108" w:type="dxa"/>
        <w:bottom w:w="0" w:type="dxa"/>
        <w:right w:w="108" w:type="dxa"/>
      </w:tblCellMar>
    </w:tblPr>
  </w:style>
  <w:style w:type="paragraph" w:customStyle="1" w:styleId="8">
    <w:name w:val="单元格样式22"/>
    <w:basedOn w:val="1"/>
    <w:qFormat/>
    <w:uiPriority w:val="0"/>
    <w:pPr>
      <w:jc w:val="right"/>
    </w:pPr>
    <w:rPr>
      <w:rFonts w:ascii="方正小标宋_GBK" w:hAnsi="方正小标宋_GBK" w:eastAsia="方正小标宋_GBK" w:cs="方正小标宋_GBK"/>
    </w:rPr>
  </w:style>
  <w:style w:type="paragraph" w:customStyle="1" w:styleId="9">
    <w:name w:val="单元格样式21"/>
    <w:basedOn w:val="1"/>
    <w:qFormat/>
    <w:uiPriority w:val="0"/>
    <w:pPr>
      <w:jc w:val="center"/>
    </w:pPr>
    <w:rPr>
      <w:rFonts w:ascii="方正小标宋_GBK" w:hAnsi="方正小标宋_GBK" w:eastAsia="方正小标宋_GBK" w:cs="方正小标宋_GBK"/>
    </w:rPr>
  </w:style>
  <w:style w:type="paragraph" w:customStyle="1" w:styleId="10">
    <w:name w:val="单元格样式20"/>
    <w:basedOn w:val="1"/>
    <w:qFormat/>
    <w:uiPriority w:val="0"/>
    <w:rPr>
      <w:rFonts w:ascii="方正小标宋_GBK" w:hAnsi="方正小标宋_GBK" w:eastAsia="方正小标宋_GBK" w:cs="方正小标宋_GBK"/>
    </w:rPr>
  </w:style>
  <w:style w:type="paragraph" w:customStyle="1" w:styleId="11">
    <w:name w:val="单元格样式1"/>
    <w:basedOn w:val="1"/>
    <w:qFormat/>
    <w:uiPriority w:val="0"/>
    <w:pPr>
      <w:jc w:val="center"/>
    </w:pPr>
    <w:rPr>
      <w:rFonts w:ascii="方正书宋_GBK" w:hAnsi="方正书宋_GBK" w:eastAsia="方正书宋_GBK" w:cs="方正书宋_GBK"/>
      <w:b/>
      <w:sz w:val="21"/>
    </w:rPr>
  </w:style>
  <w:style w:type="paragraph" w:customStyle="1" w:styleId="12">
    <w:name w:val="单元格样式4"/>
    <w:basedOn w:val="1"/>
    <w:qFormat/>
    <w:uiPriority w:val="0"/>
    <w:pPr>
      <w:jc w:val="right"/>
    </w:pPr>
    <w:rPr>
      <w:rFonts w:ascii="方正书宋_GBK" w:hAnsi="方正书宋_GBK" w:eastAsia="方正书宋_GBK" w:cs="方正书宋_GBK"/>
      <w:sz w:val="21"/>
    </w:rPr>
  </w:style>
  <w:style w:type="paragraph" w:customStyle="1" w:styleId="13">
    <w:name w:val="单元格样式2"/>
    <w:basedOn w:val="1"/>
    <w:qFormat/>
    <w:uiPriority w:val="0"/>
    <w:rPr>
      <w:rFonts w:ascii="方正书宋_GBK" w:hAnsi="方正书宋_GBK" w:eastAsia="方正书宋_GBK" w:cs="方正书宋_GBK"/>
      <w:sz w:val="21"/>
    </w:rPr>
  </w:style>
  <w:style w:type="paragraph" w:customStyle="1" w:styleId="14">
    <w:name w:val="单元格样式3"/>
    <w:basedOn w:val="1"/>
    <w:qFormat/>
    <w:uiPriority w:val="0"/>
    <w:pPr>
      <w:jc w:val="center"/>
    </w:pPr>
    <w:rPr>
      <w:rFonts w:ascii="方正书宋_GBK" w:hAnsi="方正书宋_GBK" w:eastAsia="方正书宋_GBK" w:cs="方正书宋_GBK"/>
      <w:sz w:val="21"/>
    </w:rPr>
  </w:style>
  <w:style w:type="paragraph" w:customStyle="1" w:styleId="15">
    <w:name w:val="单元格样式6"/>
    <w:basedOn w:val="1"/>
    <w:qFormat/>
    <w:uiPriority w:val="0"/>
    <w:pPr>
      <w:jc w:val="center"/>
    </w:pPr>
    <w:rPr>
      <w:rFonts w:ascii="方正书宋_GBK" w:hAnsi="方正书宋_GBK" w:eastAsia="方正书宋_GBK" w:cs="方正书宋_GBK"/>
      <w:b/>
      <w:sz w:val="21"/>
    </w:rPr>
  </w:style>
  <w:style w:type="paragraph" w:customStyle="1" w:styleId="16">
    <w:name w:val="单元格样式7"/>
    <w:basedOn w:val="1"/>
    <w:qFormat/>
    <w:uiPriority w:val="0"/>
    <w:pPr>
      <w:jc w:val="right"/>
    </w:pPr>
    <w:rPr>
      <w:rFonts w:ascii="方正书宋_GBK" w:hAnsi="方正书宋_GBK" w:eastAsia="方正书宋_GBK" w:cs="方正书宋_GBK"/>
      <w:b/>
      <w:sz w:val="21"/>
    </w:rPr>
  </w:style>
  <w:style w:type="paragraph" w:customStyle="1" w:styleId="17">
    <w:name w:val="单元格样式5"/>
    <w:basedOn w:val="1"/>
    <w:qFormat/>
    <w:uiPriority w:val="0"/>
    <w:rPr>
      <w:rFonts w:ascii="方正书宋_GBK" w:hAnsi="方正书宋_GBK" w:eastAsia="方正书宋_GBK" w:cs="方正书宋_GBK"/>
      <w:b/>
      <w:sz w:val="21"/>
    </w:rPr>
  </w:style>
  <w:style w:type="paragraph" w:customStyle="1" w:styleId="18">
    <w:name w:val="插入文本样式-插入预算公开部门职责文件"/>
    <w:basedOn w:val="1"/>
    <w:qFormat/>
    <w:uiPriority w:val="0"/>
    <w:pPr>
      <w:spacing w:line="500" w:lineRule="exact"/>
      <w:ind w:firstLine="560"/>
    </w:pPr>
    <w:rPr>
      <w:rFonts w:eastAsia="方正仿宋_GBK"/>
      <w:sz w:val="28"/>
    </w:rPr>
  </w:style>
  <w:style w:type="paragraph" w:customStyle="1" w:styleId="19">
    <w:name w:val="插入文本样式-插入预算公开部门预算安排的总体情况文件"/>
    <w:basedOn w:val="1"/>
    <w:qFormat/>
    <w:uiPriority w:val="0"/>
    <w:pPr>
      <w:spacing w:line="500" w:lineRule="exact"/>
      <w:ind w:firstLine="560"/>
    </w:pPr>
    <w:rPr>
      <w:rFonts w:eastAsia="方正仿宋_GBK"/>
      <w:sz w:val="28"/>
    </w:rPr>
  </w:style>
  <w:style w:type="paragraph" w:customStyle="1" w:styleId="20">
    <w:name w:val="插入文本样式-插入预算公开部门机关运行经费安排情况文件"/>
    <w:basedOn w:val="1"/>
    <w:qFormat/>
    <w:uiPriority w:val="0"/>
    <w:pPr>
      <w:spacing w:line="500" w:lineRule="exact"/>
      <w:ind w:firstLine="560"/>
    </w:pPr>
    <w:rPr>
      <w:rFonts w:eastAsia="方正仿宋_GBK"/>
      <w:sz w:val="28"/>
    </w:rPr>
  </w:style>
  <w:style w:type="paragraph" w:customStyle="1" w:styleId="21">
    <w:name w:val="插入文本样式-插入预算公开部门财政拨款三公经费预算情况及增减变化原因文件"/>
    <w:basedOn w:val="1"/>
    <w:qFormat/>
    <w:uiPriority w:val="0"/>
    <w:pPr>
      <w:spacing w:line="500" w:lineRule="exact"/>
      <w:ind w:firstLine="560"/>
    </w:pPr>
    <w:rPr>
      <w:rFonts w:eastAsia="方正仿宋_GBK"/>
      <w:sz w:val="28"/>
    </w:rPr>
  </w:style>
  <w:style w:type="paragraph" w:customStyle="1" w:styleId="22">
    <w:name w:val="插入文本样式-插入总体目标文件"/>
    <w:basedOn w:val="1"/>
    <w:qFormat/>
    <w:uiPriority w:val="0"/>
    <w:pPr>
      <w:spacing w:line="500" w:lineRule="exact"/>
      <w:ind w:firstLine="560"/>
    </w:pPr>
    <w:rPr>
      <w:rFonts w:eastAsia="方正仿宋_GBK"/>
      <w:sz w:val="28"/>
    </w:rPr>
  </w:style>
  <w:style w:type="paragraph" w:customStyle="1" w:styleId="23">
    <w:name w:val="插入文本样式-插入职责分类绩效目标文件"/>
    <w:basedOn w:val="1"/>
    <w:qFormat/>
    <w:uiPriority w:val="0"/>
    <w:pPr>
      <w:spacing w:line="500" w:lineRule="exact"/>
      <w:ind w:firstLine="560"/>
    </w:pPr>
    <w:rPr>
      <w:rFonts w:eastAsia="方正仿宋_GBK"/>
      <w:sz w:val="28"/>
    </w:rPr>
  </w:style>
  <w:style w:type="paragraph" w:customStyle="1" w:styleId="24">
    <w:name w:val="插入文本样式-插入实现年度发展规划目标的保障措施文件"/>
    <w:basedOn w:val="1"/>
    <w:qFormat/>
    <w:uiPriority w:val="0"/>
    <w:pPr>
      <w:spacing w:line="500" w:lineRule="exact"/>
      <w:ind w:firstLine="560"/>
    </w:pPr>
    <w:rPr>
      <w:rFonts w:eastAsia="方正仿宋_GBK"/>
      <w:sz w:val="28"/>
    </w:rPr>
  </w:style>
  <w:style w:type="paragraph" w:customStyle="1" w:styleId="25">
    <w:name w:val="单元格样式23"/>
    <w:qFormat/>
    <w:uiPriority w:val="0"/>
    <w:pPr>
      <w:jc w:val="right"/>
    </w:pPr>
    <w:rPr>
      <w:rFonts w:ascii="方正书宋_GBK" w:hAnsi="方正书宋_GBK" w:eastAsia="方正书宋_GBK" w:cs="方正书宋_GBK"/>
      <w:sz w:val="24"/>
      <w:lang w:val="en-US" w:eastAsia="zh-CN" w:bidi="ar-SA"/>
    </w:rPr>
  </w:style>
  <w:style w:type="paragraph" w:customStyle="1" w:styleId="26">
    <w:name w:val="插入文本样式-插入单位职责文件"/>
    <w:qFormat/>
    <w:uiPriority w:val="0"/>
    <w:pPr>
      <w:spacing w:line="500" w:lineRule="exact"/>
      <w:ind w:firstLine="560"/>
    </w:pPr>
    <w:rPr>
      <w:rFonts w:ascii="Times New Roman" w:hAnsi="Times New Roman" w:eastAsia="方正仿宋_GBK" w:cs="Times New Roman"/>
      <w:sz w:val="28"/>
      <w:lang w:val="en-US" w:eastAsia="zh-CN" w:bidi="ar-SA"/>
    </w:rPr>
  </w:style>
</w:styles>
</file>

<file path=word/_rels/document.xml.rels><?xml version="1.0" encoding="UTF-8" standalone="yes"?>
<Relationships xmlns="http://schemas.openxmlformats.org/package/2006/relationships"><Relationship Id="rId6" Type="http://schemas.openxmlformats.org/officeDocument/2006/relationships/fontTable" Target="fontTable.xml"/><Relationship Id="rId5" Type="http://schemas.openxmlformats.org/officeDocument/2006/relationships/theme" Target="theme/theme1.xml"/><Relationship Id="rId4" Type="http://schemas.openxmlformats.org/officeDocument/2006/relationships/footer" Target="footer2.xml"/><Relationship Id="rId3" Type="http://schemas.openxmlformats.org/officeDocument/2006/relationships/footer" Target="footer1.xml"/><Relationship Id="rId2" Type="http://schemas.openxmlformats.org/officeDocument/2006/relationships/settings" Target="settings.xml"/><Relationship Id="rId1" Type="http://schemas.openxmlformats.org/officeDocument/2006/relationships/styles" Target="styles.xml"/></Relationships>
</file>

<file path=word/theme/theme1.xml><?xml version="1.0" encoding="utf-8"?>
<a:theme xmlns:a="http://schemas.openxmlformats.org/drawingml/2006/main" name="Office 主题​​">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mbria"/>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shade val="51000"/>
                <a:satMod val="130000"/>
              </a:schemeClr>
            </a:gs>
            <a:gs pos="80000">
              <a:schemeClr val="phClr">
                <a:shade val="93000"/>
                <a:satMod val="130000"/>
              </a:schemeClr>
            </a:gs>
            <a:gs pos="100000">
              <a:schemeClr val="phClr">
                <a:shade val="94000"/>
                <a:satMod val="135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theme>
</file>

<file path=docProps/app.xml><?xml version="1.0" encoding="utf-8"?>
<Properties xmlns="http://schemas.openxmlformats.org/officeDocument/2006/extended-properties" xmlns:vt="http://schemas.openxmlformats.org/officeDocument/2006/docPropsVTypes">
  <Template>Normal</Template>
  <Pages>25</Pages>
  <Words>1736</Words>
  <Characters>9897</Characters>
  <Lines>82</Lines>
  <Paragraphs>23</Paragraphs>
  <TotalTime>2</TotalTime>
  <ScaleCrop>false</ScaleCrop>
  <LinksUpToDate>false</LinksUpToDate>
  <CharactersWithSpaces>11610</CharactersWithSpaces>
  <Application>WPS Office_11.8.2.11813_F1E327BC-269C-435d-A152-05C5408002CA</Application>
  <DocSecurity>0</DocSecurity>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2025-02-06T07:39:00Z</dcterms:created>
  <dc:creator>Administrator</dc:creator>
  <cp:lastModifiedBy>浮生</cp:lastModifiedBy>
  <dcterms:modified xsi:type="dcterms:W3CDTF">2025-04-22T07:47:24Z</dcterms:modified>
  <cp:revision>3</cp:revision>
</cp:coreProperties>
</file>

<file path=docProps/custom.xml><?xml version="1.0" encoding="utf-8"?>
<Properties xmlns="http://schemas.openxmlformats.org/officeDocument/2006/custom-properties" xmlns:vt="http://schemas.openxmlformats.org/officeDocument/2006/docPropsVTypes">
  <property fmtid="{D5CDD505-2E9C-101B-9397-08002B2CF9AE}" pid="2" name="KSOProductBuildVer">
    <vt:lpwstr>2052-11.8.2.11813</vt:lpwstr>
  </property>
  <property fmtid="{D5CDD505-2E9C-101B-9397-08002B2CF9AE}" pid="3" name="ICV">
    <vt:lpwstr>0689EAA2D23D4474A600F88AA718D4CC</vt:lpwstr>
  </property>
</Properties>
</file>