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一、无极县审计局本级收支预算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一、无极县审计局本级收支预算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319001无极县审计局本级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462.60</w:t>
            </w:r>
          </w:p>
        </w:tc>
        <w:tc>
          <w:tcPr>
            <w:tcW w:w="4535" w:type="dxa"/>
            <w:vAlign w:val="center"/>
          </w:tcPr>
          <w:p>
            <w:pPr>
              <w:pStyle w:val="12"/>
            </w:pPr>
            <w:r>
              <w:t>一、一般公共服务支出</w:t>
            </w:r>
          </w:p>
        </w:tc>
        <w:tc>
          <w:tcPr>
            <w:tcW w:w="2126" w:type="dxa"/>
            <w:vAlign w:val="center"/>
          </w:tcPr>
          <w:p>
            <w:pPr>
              <w:pStyle w:val="11"/>
            </w:pPr>
            <w:r>
              <w:t>383.60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462.60</w:t>
            </w:r>
          </w:p>
        </w:tc>
        <w:tc>
          <w:tcPr>
            <w:tcW w:w="4535" w:type="dxa"/>
            <w:vAlign w:val="center"/>
          </w:tcPr>
          <w:p>
            <w:pPr>
              <w:pStyle w:val="14"/>
            </w:pPr>
            <w:r>
              <w:t>本年支出合计</w:t>
            </w:r>
          </w:p>
        </w:tc>
        <w:tc>
          <w:tcPr>
            <w:tcW w:w="2126" w:type="dxa"/>
            <w:vAlign w:val="center"/>
          </w:tcPr>
          <w:p>
            <w:pPr>
              <w:pStyle w:val="15"/>
            </w:pPr>
            <w:r>
              <w:t>462.60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462.60</w:t>
            </w:r>
          </w:p>
        </w:tc>
        <w:tc>
          <w:tcPr>
            <w:tcW w:w="4535" w:type="dxa"/>
            <w:vAlign w:val="center"/>
          </w:tcPr>
          <w:p>
            <w:pPr>
              <w:pStyle w:val="14"/>
            </w:pPr>
            <w:r>
              <w:t>支出总计</w:t>
            </w:r>
          </w:p>
        </w:tc>
        <w:tc>
          <w:tcPr>
            <w:tcW w:w="2126" w:type="dxa"/>
            <w:vAlign w:val="center"/>
          </w:tcPr>
          <w:p>
            <w:pPr>
              <w:pStyle w:val="15"/>
            </w:pPr>
            <w:r>
              <w:t>462.60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319001无极县审计局本级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462.60</w:t>
            </w:r>
          </w:p>
        </w:tc>
        <w:tc>
          <w:tcPr>
            <w:tcW w:w="1134" w:type="dxa"/>
            <w:vAlign w:val="center"/>
          </w:tcPr>
          <w:p>
            <w:pPr>
              <w:pStyle w:val="15"/>
            </w:pPr>
            <w:r>
              <w:t>462.60</w:t>
            </w:r>
          </w:p>
        </w:tc>
        <w:tc>
          <w:tcPr>
            <w:tcW w:w="1134" w:type="dxa"/>
            <w:vAlign w:val="center"/>
          </w:tcPr>
          <w:p>
            <w:pPr>
              <w:pStyle w:val="15"/>
            </w:pPr>
            <w:r>
              <w:t>462.60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383.60</w:t>
            </w:r>
          </w:p>
        </w:tc>
        <w:tc>
          <w:tcPr>
            <w:tcW w:w="1134" w:type="dxa"/>
            <w:vAlign w:val="center"/>
          </w:tcPr>
          <w:p>
            <w:pPr>
              <w:pStyle w:val="11"/>
            </w:pPr>
            <w:r>
              <w:t>383.60</w:t>
            </w:r>
          </w:p>
        </w:tc>
        <w:tc>
          <w:tcPr>
            <w:tcW w:w="1134" w:type="dxa"/>
            <w:vAlign w:val="center"/>
          </w:tcPr>
          <w:p>
            <w:pPr>
              <w:pStyle w:val="11"/>
            </w:pPr>
            <w:r>
              <w:t>383.60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20108</w:t>
            </w:r>
          </w:p>
        </w:tc>
        <w:tc>
          <w:tcPr>
            <w:tcW w:w="1559" w:type="dxa"/>
            <w:vAlign w:val="center"/>
          </w:tcPr>
          <w:p>
            <w:pPr>
              <w:pStyle w:val="12"/>
            </w:pPr>
            <w:r>
              <w:t>审计事务</w:t>
            </w:r>
          </w:p>
        </w:tc>
        <w:tc>
          <w:tcPr>
            <w:tcW w:w="1134" w:type="dxa"/>
            <w:vAlign w:val="center"/>
          </w:tcPr>
          <w:p>
            <w:pPr>
              <w:pStyle w:val="11"/>
            </w:pPr>
            <w:r>
              <w:t>383.60</w:t>
            </w:r>
          </w:p>
        </w:tc>
        <w:tc>
          <w:tcPr>
            <w:tcW w:w="1134" w:type="dxa"/>
            <w:vAlign w:val="center"/>
          </w:tcPr>
          <w:p>
            <w:pPr>
              <w:pStyle w:val="11"/>
            </w:pPr>
            <w:r>
              <w:t>383.60</w:t>
            </w:r>
          </w:p>
        </w:tc>
        <w:tc>
          <w:tcPr>
            <w:tcW w:w="1134" w:type="dxa"/>
            <w:vAlign w:val="center"/>
          </w:tcPr>
          <w:p>
            <w:pPr>
              <w:pStyle w:val="11"/>
            </w:pPr>
            <w:r>
              <w:t>383.60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2010801</w:t>
            </w:r>
          </w:p>
        </w:tc>
        <w:tc>
          <w:tcPr>
            <w:tcW w:w="1559" w:type="dxa"/>
            <w:vAlign w:val="center"/>
          </w:tcPr>
          <w:p>
            <w:pPr>
              <w:pStyle w:val="12"/>
            </w:pPr>
            <w:r>
              <w:t>行政运行</w:t>
            </w:r>
          </w:p>
        </w:tc>
        <w:tc>
          <w:tcPr>
            <w:tcW w:w="1134" w:type="dxa"/>
            <w:vAlign w:val="center"/>
          </w:tcPr>
          <w:p>
            <w:pPr>
              <w:pStyle w:val="11"/>
            </w:pPr>
            <w:r>
              <w:t>363.60</w:t>
            </w:r>
          </w:p>
        </w:tc>
        <w:tc>
          <w:tcPr>
            <w:tcW w:w="1134" w:type="dxa"/>
            <w:vAlign w:val="center"/>
          </w:tcPr>
          <w:p>
            <w:pPr>
              <w:pStyle w:val="11"/>
            </w:pPr>
            <w:r>
              <w:t>363.60</w:t>
            </w:r>
          </w:p>
        </w:tc>
        <w:tc>
          <w:tcPr>
            <w:tcW w:w="1134" w:type="dxa"/>
            <w:vAlign w:val="center"/>
          </w:tcPr>
          <w:p>
            <w:pPr>
              <w:pStyle w:val="11"/>
            </w:pPr>
            <w:r>
              <w:t>363.60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2010899</w:t>
            </w:r>
          </w:p>
        </w:tc>
        <w:tc>
          <w:tcPr>
            <w:tcW w:w="1559" w:type="dxa"/>
            <w:vAlign w:val="center"/>
          </w:tcPr>
          <w:p>
            <w:pPr>
              <w:pStyle w:val="12"/>
            </w:pPr>
            <w:r>
              <w:t>其他审计事务支出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462.60</w:t>
            </w:r>
          </w:p>
        </w:tc>
        <w:tc>
          <w:tcPr>
            <w:tcW w:w="1361" w:type="dxa"/>
            <w:vAlign w:val="center"/>
          </w:tcPr>
          <w:p>
            <w:pPr>
              <w:pStyle w:val="15"/>
            </w:pPr>
            <w:r>
              <w:t>442.60</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383.60</w:t>
            </w:r>
          </w:p>
        </w:tc>
        <w:tc>
          <w:tcPr>
            <w:tcW w:w="1361" w:type="dxa"/>
            <w:vAlign w:val="center"/>
          </w:tcPr>
          <w:p>
            <w:pPr>
              <w:pStyle w:val="11"/>
            </w:pPr>
            <w:r>
              <w:t>363.60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20108</w:t>
            </w:r>
          </w:p>
        </w:tc>
        <w:tc>
          <w:tcPr>
            <w:tcW w:w="4535" w:type="dxa"/>
            <w:vAlign w:val="center"/>
          </w:tcPr>
          <w:p>
            <w:pPr>
              <w:pStyle w:val="12"/>
            </w:pPr>
            <w:r>
              <w:t>审计事务</w:t>
            </w:r>
          </w:p>
        </w:tc>
        <w:tc>
          <w:tcPr>
            <w:tcW w:w="1361" w:type="dxa"/>
            <w:vAlign w:val="center"/>
          </w:tcPr>
          <w:p>
            <w:pPr>
              <w:pStyle w:val="11"/>
            </w:pPr>
            <w:r>
              <w:t>383.60</w:t>
            </w:r>
          </w:p>
        </w:tc>
        <w:tc>
          <w:tcPr>
            <w:tcW w:w="1361" w:type="dxa"/>
            <w:vAlign w:val="center"/>
          </w:tcPr>
          <w:p>
            <w:pPr>
              <w:pStyle w:val="11"/>
            </w:pPr>
            <w:r>
              <w:t>363.60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2010801</w:t>
            </w:r>
          </w:p>
        </w:tc>
        <w:tc>
          <w:tcPr>
            <w:tcW w:w="4535" w:type="dxa"/>
            <w:vAlign w:val="center"/>
          </w:tcPr>
          <w:p>
            <w:pPr>
              <w:pStyle w:val="12"/>
            </w:pPr>
            <w:r>
              <w:t>行政运行</w:t>
            </w:r>
          </w:p>
        </w:tc>
        <w:tc>
          <w:tcPr>
            <w:tcW w:w="1361" w:type="dxa"/>
            <w:vAlign w:val="center"/>
          </w:tcPr>
          <w:p>
            <w:pPr>
              <w:pStyle w:val="11"/>
            </w:pPr>
            <w:r>
              <w:t>363.60</w:t>
            </w:r>
          </w:p>
        </w:tc>
        <w:tc>
          <w:tcPr>
            <w:tcW w:w="1361" w:type="dxa"/>
            <w:vAlign w:val="center"/>
          </w:tcPr>
          <w:p>
            <w:pPr>
              <w:pStyle w:val="11"/>
            </w:pPr>
            <w:r>
              <w:t>363.60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2010899</w:t>
            </w:r>
          </w:p>
        </w:tc>
        <w:tc>
          <w:tcPr>
            <w:tcW w:w="4535" w:type="dxa"/>
            <w:vAlign w:val="center"/>
          </w:tcPr>
          <w:p>
            <w:pPr>
              <w:pStyle w:val="12"/>
            </w:pPr>
            <w:r>
              <w:t>其他审计事务支出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59.00</w:t>
            </w:r>
          </w:p>
        </w:tc>
        <w:tc>
          <w:tcPr>
            <w:tcW w:w="1361" w:type="dxa"/>
            <w:vAlign w:val="center"/>
          </w:tcPr>
          <w:p>
            <w:pPr>
              <w:pStyle w:val="11"/>
            </w:pPr>
            <w:r>
              <w:t>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55.00</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10.00</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462.60</w:t>
            </w:r>
          </w:p>
        </w:tc>
        <w:tc>
          <w:tcPr>
            <w:tcW w:w="3402" w:type="dxa"/>
            <w:vAlign w:val="center"/>
          </w:tcPr>
          <w:p>
            <w:pPr>
              <w:pStyle w:val="12"/>
            </w:pPr>
            <w:r>
              <w:t>一、一般公共服务支出</w:t>
            </w:r>
          </w:p>
        </w:tc>
        <w:tc>
          <w:tcPr>
            <w:tcW w:w="1474" w:type="dxa"/>
            <w:vAlign w:val="center"/>
          </w:tcPr>
          <w:p>
            <w:pPr>
              <w:pStyle w:val="11"/>
            </w:pPr>
            <w:r>
              <w:t>383.60</w:t>
            </w:r>
          </w:p>
        </w:tc>
        <w:tc>
          <w:tcPr>
            <w:tcW w:w="1474" w:type="dxa"/>
            <w:vAlign w:val="center"/>
          </w:tcPr>
          <w:p>
            <w:pPr>
              <w:pStyle w:val="11"/>
            </w:pPr>
            <w:r>
              <w:t>383.60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59.00</w:t>
            </w:r>
          </w:p>
        </w:tc>
        <w:tc>
          <w:tcPr>
            <w:tcW w:w="1474" w:type="dxa"/>
            <w:vAlign w:val="center"/>
          </w:tcPr>
          <w:p>
            <w:pPr>
              <w:pStyle w:val="11"/>
            </w:pPr>
            <w:r>
              <w:t>59.00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20.00</w:t>
            </w:r>
          </w:p>
        </w:tc>
        <w:tc>
          <w:tcPr>
            <w:tcW w:w="1474" w:type="dxa"/>
            <w:vAlign w:val="center"/>
          </w:tcPr>
          <w:p>
            <w:pPr>
              <w:pStyle w:val="11"/>
            </w:pPr>
            <w:r>
              <w:t>20.00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462.60</w:t>
            </w:r>
          </w:p>
        </w:tc>
        <w:tc>
          <w:tcPr>
            <w:tcW w:w="3402" w:type="dxa"/>
            <w:vAlign w:val="center"/>
          </w:tcPr>
          <w:p>
            <w:pPr>
              <w:pStyle w:val="14"/>
            </w:pPr>
            <w:r>
              <w:t>本年支出合计</w:t>
            </w:r>
          </w:p>
        </w:tc>
        <w:tc>
          <w:tcPr>
            <w:tcW w:w="1474" w:type="dxa"/>
            <w:vAlign w:val="center"/>
          </w:tcPr>
          <w:p>
            <w:pPr>
              <w:pStyle w:val="15"/>
            </w:pPr>
            <w:r>
              <w:t>462.60</w:t>
            </w:r>
          </w:p>
        </w:tc>
        <w:tc>
          <w:tcPr>
            <w:tcW w:w="1474" w:type="dxa"/>
            <w:vAlign w:val="center"/>
          </w:tcPr>
          <w:p>
            <w:pPr>
              <w:pStyle w:val="15"/>
            </w:pPr>
            <w:r>
              <w:t>462.60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462.60</w:t>
            </w:r>
          </w:p>
        </w:tc>
        <w:tc>
          <w:tcPr>
            <w:tcW w:w="3402" w:type="dxa"/>
            <w:vAlign w:val="center"/>
          </w:tcPr>
          <w:p>
            <w:pPr>
              <w:pStyle w:val="14"/>
            </w:pPr>
            <w:r>
              <w:t>支出总计</w:t>
            </w:r>
          </w:p>
        </w:tc>
        <w:tc>
          <w:tcPr>
            <w:tcW w:w="1474" w:type="dxa"/>
            <w:vAlign w:val="center"/>
          </w:tcPr>
          <w:p>
            <w:pPr>
              <w:pStyle w:val="15"/>
            </w:pPr>
            <w:r>
              <w:t>462.60</w:t>
            </w:r>
          </w:p>
        </w:tc>
        <w:tc>
          <w:tcPr>
            <w:tcW w:w="1474" w:type="dxa"/>
            <w:vAlign w:val="center"/>
          </w:tcPr>
          <w:p>
            <w:pPr>
              <w:pStyle w:val="15"/>
            </w:pPr>
            <w:r>
              <w:t>462.60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462.60</w:t>
            </w:r>
          </w:p>
        </w:tc>
        <w:tc>
          <w:tcPr>
            <w:tcW w:w="2551" w:type="dxa"/>
            <w:vAlign w:val="center"/>
          </w:tcPr>
          <w:p>
            <w:pPr>
              <w:pStyle w:val="15"/>
            </w:pPr>
            <w:r>
              <w:t>442.60</w:t>
            </w:r>
          </w:p>
        </w:tc>
        <w:tc>
          <w:tcPr>
            <w:tcW w:w="2551" w:type="dxa"/>
            <w:vAlign w:val="center"/>
          </w:tcPr>
          <w:p>
            <w:pPr>
              <w:pStyle w:val="15"/>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383.60</w:t>
            </w:r>
          </w:p>
        </w:tc>
        <w:tc>
          <w:tcPr>
            <w:tcW w:w="2551" w:type="dxa"/>
            <w:vAlign w:val="center"/>
          </w:tcPr>
          <w:p>
            <w:pPr>
              <w:pStyle w:val="11"/>
            </w:pPr>
            <w:r>
              <w:t>363.60</w:t>
            </w: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20108</w:t>
            </w:r>
          </w:p>
        </w:tc>
        <w:tc>
          <w:tcPr>
            <w:tcW w:w="4535" w:type="dxa"/>
            <w:vAlign w:val="center"/>
          </w:tcPr>
          <w:p>
            <w:pPr>
              <w:pStyle w:val="12"/>
            </w:pPr>
            <w:r>
              <w:t>审计事务</w:t>
            </w:r>
          </w:p>
        </w:tc>
        <w:tc>
          <w:tcPr>
            <w:tcW w:w="2551" w:type="dxa"/>
            <w:vAlign w:val="center"/>
          </w:tcPr>
          <w:p>
            <w:pPr>
              <w:pStyle w:val="11"/>
            </w:pPr>
            <w:r>
              <w:t>383.60</w:t>
            </w:r>
          </w:p>
        </w:tc>
        <w:tc>
          <w:tcPr>
            <w:tcW w:w="2551" w:type="dxa"/>
            <w:vAlign w:val="center"/>
          </w:tcPr>
          <w:p>
            <w:pPr>
              <w:pStyle w:val="11"/>
            </w:pPr>
            <w:r>
              <w:t>363.60</w:t>
            </w: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2010801</w:t>
            </w:r>
          </w:p>
        </w:tc>
        <w:tc>
          <w:tcPr>
            <w:tcW w:w="4535" w:type="dxa"/>
            <w:vAlign w:val="center"/>
          </w:tcPr>
          <w:p>
            <w:pPr>
              <w:pStyle w:val="12"/>
            </w:pPr>
            <w:r>
              <w:t>行政运行</w:t>
            </w:r>
          </w:p>
        </w:tc>
        <w:tc>
          <w:tcPr>
            <w:tcW w:w="2551" w:type="dxa"/>
            <w:vAlign w:val="center"/>
          </w:tcPr>
          <w:p>
            <w:pPr>
              <w:pStyle w:val="11"/>
            </w:pPr>
            <w:r>
              <w:t>363.60</w:t>
            </w:r>
          </w:p>
        </w:tc>
        <w:tc>
          <w:tcPr>
            <w:tcW w:w="2551" w:type="dxa"/>
            <w:vAlign w:val="center"/>
          </w:tcPr>
          <w:p>
            <w:pPr>
              <w:pStyle w:val="11"/>
            </w:pPr>
            <w:r>
              <w:t>363.60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2010899</w:t>
            </w:r>
          </w:p>
        </w:tc>
        <w:tc>
          <w:tcPr>
            <w:tcW w:w="4535" w:type="dxa"/>
            <w:vAlign w:val="center"/>
          </w:tcPr>
          <w:p>
            <w:pPr>
              <w:pStyle w:val="12"/>
            </w:pPr>
            <w:r>
              <w:t>其他审计事务支出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442.60</w:t>
            </w:r>
          </w:p>
        </w:tc>
        <w:tc>
          <w:tcPr>
            <w:tcW w:w="2551" w:type="dxa"/>
            <w:vAlign w:val="center"/>
          </w:tcPr>
          <w:p>
            <w:pPr>
              <w:pStyle w:val="15"/>
            </w:pPr>
            <w:r>
              <w:t>411.10</w:t>
            </w:r>
          </w:p>
        </w:tc>
        <w:tc>
          <w:tcPr>
            <w:tcW w:w="2551" w:type="dxa"/>
            <w:vAlign w:val="center"/>
          </w:tcPr>
          <w:p>
            <w:pPr>
              <w:pStyle w:val="15"/>
            </w:pPr>
            <w:r>
              <w:t>31.50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365.60</w:t>
            </w:r>
          </w:p>
        </w:tc>
        <w:tc>
          <w:tcPr>
            <w:tcW w:w="2551" w:type="dxa"/>
            <w:vAlign w:val="center"/>
          </w:tcPr>
          <w:p>
            <w:pPr>
              <w:pStyle w:val="11"/>
            </w:pPr>
            <w:r>
              <w:t>365.60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180.00</w:t>
            </w:r>
          </w:p>
        </w:tc>
        <w:tc>
          <w:tcPr>
            <w:tcW w:w="2551" w:type="dxa"/>
            <w:vAlign w:val="center"/>
          </w:tcPr>
          <w:p>
            <w:pPr>
              <w:pStyle w:val="11"/>
            </w:pPr>
            <w:r>
              <w:t>180.00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39.00</w:t>
            </w:r>
          </w:p>
        </w:tc>
        <w:tc>
          <w:tcPr>
            <w:tcW w:w="2551" w:type="dxa"/>
            <w:vAlign w:val="center"/>
          </w:tcPr>
          <w:p>
            <w:pPr>
              <w:pStyle w:val="11"/>
            </w:pPr>
            <w:r>
              <w:t>39.00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25.60</w:t>
            </w:r>
          </w:p>
        </w:tc>
        <w:tc>
          <w:tcPr>
            <w:tcW w:w="2551" w:type="dxa"/>
            <w:vAlign w:val="center"/>
          </w:tcPr>
          <w:p>
            <w:pPr>
              <w:pStyle w:val="11"/>
            </w:pPr>
            <w:r>
              <w:t>25.60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31.50</w:t>
            </w:r>
          </w:p>
        </w:tc>
        <w:tc>
          <w:tcPr>
            <w:tcW w:w="2551" w:type="dxa"/>
            <w:vAlign w:val="center"/>
          </w:tcPr>
          <w:p>
            <w:pPr>
              <w:pStyle w:val="11"/>
            </w:pPr>
          </w:p>
        </w:tc>
        <w:tc>
          <w:tcPr>
            <w:tcW w:w="2551" w:type="dxa"/>
            <w:vAlign w:val="center"/>
          </w:tcPr>
          <w:p>
            <w:pPr>
              <w:pStyle w:val="11"/>
            </w:pPr>
            <w:r>
              <w:t>31.50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14.50</w:t>
            </w:r>
          </w:p>
        </w:tc>
        <w:tc>
          <w:tcPr>
            <w:tcW w:w="2551" w:type="dxa"/>
            <w:vAlign w:val="center"/>
          </w:tcPr>
          <w:p>
            <w:pPr>
              <w:pStyle w:val="11"/>
            </w:pPr>
          </w:p>
        </w:tc>
        <w:tc>
          <w:tcPr>
            <w:tcW w:w="2551" w:type="dxa"/>
            <w:vAlign w:val="center"/>
          </w:tcPr>
          <w:p>
            <w:pPr>
              <w:pStyle w:val="11"/>
            </w:pPr>
            <w:r>
              <w:t>14.50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45.50</w:t>
            </w:r>
          </w:p>
        </w:tc>
        <w:tc>
          <w:tcPr>
            <w:tcW w:w="2551" w:type="dxa"/>
            <w:vAlign w:val="center"/>
          </w:tcPr>
          <w:p>
            <w:pPr>
              <w:pStyle w:val="11"/>
            </w:pPr>
            <w:r>
              <w:t>45.50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45.50</w:t>
            </w:r>
          </w:p>
        </w:tc>
        <w:tc>
          <w:tcPr>
            <w:tcW w:w="2551" w:type="dxa"/>
            <w:vAlign w:val="center"/>
          </w:tcPr>
          <w:p>
            <w:pPr>
              <w:pStyle w:val="11"/>
            </w:pPr>
            <w:r>
              <w:t>45.50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无极县审计局本级2025年单位预算信息公开情况说明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按照《中华人民共和国预算法》、《地方预决算公开操作规程》和《关于进一步推进预算公开工作的实施意见》规定，现将无极县审计局本级2025年单位预算公开如下：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（一）对县直各部门（含直属单位）和乡镇政府预算执行情况和决算以及预算外资金的管理和使用情况进行审计监督。</w:t>
      </w:r>
    </w:p>
    <w:p>
      <w:pPr>
        <w:pStyle w:val="17"/>
      </w:pPr>
      <w:r>
        <w:t>（二）对县级财政预算执行情况进行审计，并代表县政府向人大常委会提交审计工作报告。</w:t>
      </w:r>
    </w:p>
    <w:p>
      <w:pPr>
        <w:pStyle w:val="17"/>
      </w:pPr>
      <w:r>
        <w:t>（三）对全县国有企业的资产、负债、损益情况进行审计。</w:t>
      </w:r>
    </w:p>
    <w:p>
      <w:pPr>
        <w:pStyle w:val="17"/>
      </w:pPr>
      <w:r>
        <w:t>（四）对全县国有事业组织的财务收支进行审计监督。</w:t>
      </w:r>
    </w:p>
    <w:p>
      <w:pPr>
        <w:pStyle w:val="17"/>
      </w:pPr>
      <w:r>
        <w:t>（五）对全县基建项目预算的执行情况和决算进行审计监督。</w:t>
      </w:r>
    </w:p>
    <w:p>
      <w:pPr>
        <w:pStyle w:val="17"/>
      </w:pPr>
      <w:r>
        <w:t>（六）对政府部门管理和社会团体受政府委托管理的社会保障基金以及其他有关基金、资金的财务收支进行审计监督。</w:t>
      </w:r>
    </w:p>
    <w:p>
      <w:pPr>
        <w:pStyle w:val="17"/>
      </w:pPr>
      <w:r>
        <w:t>（七）对全县国际组织和外国政府援助、贷款项目的财务收支进行审计监督。</w:t>
      </w:r>
    </w:p>
    <w:p>
      <w:pPr>
        <w:pStyle w:val="17"/>
      </w:pPr>
      <w:r>
        <w:t>（八）受政府委托，对地方非银行金融机构的财务收支及资产、负债、损益情况进行审计监督。</w:t>
      </w:r>
    </w:p>
    <w:p>
      <w:pPr>
        <w:pStyle w:val="17"/>
      </w:pPr>
      <w:r>
        <w:t>（九）受县委、县政府、纪检、组织部门委托进行领导干部任期经济责任审计。</w:t>
      </w:r>
    </w:p>
    <w:p>
      <w:pPr>
        <w:pStyle w:val="17"/>
      </w:pPr>
      <w:r>
        <w:t>（十）对社会审计组织进行审计质量执业检查。</w:t>
      </w:r>
    </w:p>
    <w:p>
      <w:pPr>
        <w:pStyle w:val="17"/>
      </w:pPr>
      <w:r>
        <w:t>　（十一）指导和监督内部审计工作。</w:t>
      </w:r>
    </w:p>
    <w:p>
      <w:pPr>
        <w:pStyle w:val="17"/>
      </w:pPr>
      <w:r>
        <w:t>　（十二）对其他法律、法规规定应当进行审计的事项进行审计监督。</w:t>
      </w:r>
    </w:p>
    <w:p>
      <w:pPr>
        <w:pStyle w:val="17"/>
      </w:pPr>
      <w:r>
        <w:t>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无极县审计局本级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462.60万元，其中：一般公共预算收入462.60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审计局本级年度单位预算中支出预算的总体情况。2025年支出预算462.60万元，其中基本支出442.60万元，包括人员经费411.10万元和日常公用经费31.50万元；项目支出20.00万元，主要为提前下达2025年中央对地方审计专项补助经费</w:t>
      </w:r>
    </w:p>
    <w:p>
      <w:pPr>
        <w:pStyle w:val="18"/>
      </w:pPr>
      <w:r>
        <w:t>3、比上年增减情况</w:t>
      </w:r>
    </w:p>
    <w:p>
      <w:pPr>
        <w:pStyle w:val="18"/>
      </w:pPr>
      <w:r>
        <w:t>2025年预算收支安排462.60万元，较2024年预算减少260.40万元，其中：基本支出减少80.40万元，主要为项目减少，人员经费减少项目支出减少180.00万元，主要为本年度年初预算减少两个主要项目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无新项目增加，按政策</w:t>
      </w:r>
      <w:r>
        <w:rPr>
          <w:rFonts w:hint="eastAsia"/>
          <w:lang w:eastAsia="zh-CN"/>
        </w:rPr>
        <w:t>厉行节约</w:t>
      </w:r>
      <w:r>
        <w:t>。</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1、提前下达2025年中央对地方审计专项补助经费绩效目标表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13013025P000002100116</w:t>
            </w:r>
          </w:p>
        </w:tc>
        <w:tc>
          <w:tcPr>
            <w:tcW w:w="2835" w:type="dxa"/>
            <w:vAlign w:val="center"/>
          </w:tcPr>
          <w:p>
            <w:pPr>
              <w:pStyle w:val="10"/>
            </w:pPr>
            <w:r>
              <w:t>项目名称</w:t>
            </w:r>
          </w:p>
        </w:tc>
        <w:tc>
          <w:tcPr>
            <w:tcW w:w="6095" w:type="dxa"/>
            <w:gridSpan w:val="3"/>
            <w:vAlign w:val="center"/>
          </w:tcPr>
          <w:p>
            <w:pPr>
              <w:pStyle w:val="12"/>
            </w:pPr>
            <w:r>
              <w:t>提前下达2025年中央对地方审计专项补助经费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审计机关困难补助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10000000%</w:t>
            </w:r>
          </w:p>
        </w:tc>
        <w:tc>
          <w:tcPr>
            <w:tcW w:w="2835" w:type="dxa"/>
            <w:vAlign w:val="center"/>
          </w:tcPr>
          <w:p>
            <w:pPr>
              <w:pStyle w:val="13"/>
            </w:pPr>
            <w:r>
              <w:t>15000000%</w:t>
            </w:r>
          </w:p>
        </w:tc>
        <w:tc>
          <w:tcPr>
            <w:tcW w:w="2551" w:type="dxa"/>
            <w:vAlign w:val="center"/>
          </w:tcPr>
          <w:p>
            <w:pPr>
              <w:pStyle w:val="13"/>
            </w:pPr>
            <w:r>
              <w:t>20000000%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1.保障困难地区审计机关能正常开展审计工作，全面独立地履行监督职责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补助单位数</w:t>
            </w:r>
          </w:p>
        </w:tc>
        <w:tc>
          <w:tcPr>
            <w:tcW w:w="5386" w:type="dxa"/>
            <w:vAlign w:val="center"/>
          </w:tcPr>
          <w:p>
            <w:pPr>
              <w:pStyle w:val="12"/>
            </w:pPr>
            <w:r>
              <w:t>补助单位数</w:t>
            </w:r>
          </w:p>
        </w:tc>
        <w:tc>
          <w:tcPr>
            <w:tcW w:w="2268" w:type="dxa"/>
            <w:vAlign w:val="center"/>
          </w:tcPr>
          <w:p>
            <w:pPr>
              <w:pStyle w:val="12"/>
            </w:pPr>
            <w:r>
              <w:t>1个</w:t>
            </w:r>
          </w:p>
        </w:tc>
        <w:tc>
          <w:tcPr>
            <w:tcW w:w="1276" w:type="dxa"/>
            <w:vAlign w:val="center"/>
          </w:tcPr>
          <w:p>
            <w:pPr>
              <w:pStyle w:val="12"/>
            </w:pPr>
            <w:r>
              <w:t>资金补助到位情况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审计计划完成率</w:t>
            </w:r>
          </w:p>
        </w:tc>
        <w:tc>
          <w:tcPr>
            <w:tcW w:w="5386" w:type="dxa"/>
            <w:vAlign w:val="center"/>
          </w:tcPr>
          <w:p>
            <w:pPr>
              <w:pStyle w:val="12"/>
            </w:pPr>
            <w:r>
              <w:t>审计计划完成率</w:t>
            </w:r>
          </w:p>
        </w:tc>
        <w:tc>
          <w:tcPr>
            <w:tcW w:w="2268" w:type="dxa"/>
            <w:vAlign w:val="center"/>
          </w:tcPr>
          <w:p>
            <w:pPr>
              <w:pStyle w:val="12"/>
            </w:pPr>
            <w:r>
              <w:t>100%</w:t>
            </w:r>
          </w:p>
        </w:tc>
        <w:tc>
          <w:tcPr>
            <w:tcW w:w="1276" w:type="dxa"/>
            <w:vAlign w:val="center"/>
          </w:tcPr>
          <w:p>
            <w:pPr>
              <w:pStyle w:val="12"/>
            </w:pPr>
            <w:r>
              <w:t>年终总结报告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审计项目按时归档率</w:t>
            </w:r>
          </w:p>
        </w:tc>
        <w:tc>
          <w:tcPr>
            <w:tcW w:w="5386" w:type="dxa"/>
            <w:vAlign w:val="center"/>
          </w:tcPr>
          <w:p>
            <w:pPr>
              <w:pStyle w:val="12"/>
            </w:pPr>
            <w:r>
              <w:t>审计项目按时归档率</w:t>
            </w:r>
          </w:p>
        </w:tc>
        <w:tc>
          <w:tcPr>
            <w:tcW w:w="2268" w:type="dxa"/>
            <w:vAlign w:val="center"/>
          </w:tcPr>
          <w:p>
            <w:pPr>
              <w:pStyle w:val="12"/>
            </w:pPr>
            <w:r>
              <w:t>100%</w:t>
            </w:r>
          </w:p>
        </w:tc>
        <w:tc>
          <w:tcPr>
            <w:tcW w:w="1276" w:type="dxa"/>
            <w:vAlign w:val="center"/>
          </w:tcPr>
          <w:p>
            <w:pPr>
              <w:pStyle w:val="12"/>
            </w:pPr>
            <w:r>
              <w:t>年终总结报告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审计项目按时完成率</w:t>
            </w:r>
          </w:p>
        </w:tc>
        <w:tc>
          <w:tcPr>
            <w:tcW w:w="5386" w:type="dxa"/>
            <w:vAlign w:val="center"/>
          </w:tcPr>
          <w:p>
            <w:pPr>
              <w:pStyle w:val="12"/>
            </w:pPr>
            <w:r>
              <w:t>审计项目按时完成率</w:t>
            </w:r>
          </w:p>
        </w:tc>
        <w:tc>
          <w:tcPr>
            <w:tcW w:w="2268" w:type="dxa"/>
            <w:vAlign w:val="center"/>
          </w:tcPr>
          <w:p>
            <w:pPr>
              <w:pStyle w:val="12"/>
            </w:pPr>
            <w:r>
              <w:t>100%</w:t>
            </w:r>
          </w:p>
        </w:tc>
        <w:tc>
          <w:tcPr>
            <w:tcW w:w="1276" w:type="dxa"/>
            <w:vAlign w:val="center"/>
          </w:tcPr>
          <w:p>
            <w:pPr>
              <w:pStyle w:val="12"/>
            </w:pPr>
            <w:r>
              <w:t>年终总结报告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≤20</w:t>
            </w:r>
          </w:p>
        </w:tc>
        <w:tc>
          <w:tcPr>
            <w:tcW w:w="1276" w:type="dxa"/>
            <w:vAlign w:val="center"/>
          </w:tcPr>
          <w:p>
            <w:pPr>
              <w:pStyle w:val="12"/>
            </w:pPr>
            <w:r>
              <w:t>年终决算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保障审计机关正常开展审计工作</w:t>
            </w:r>
          </w:p>
        </w:tc>
        <w:tc>
          <w:tcPr>
            <w:tcW w:w="5386" w:type="dxa"/>
            <w:vAlign w:val="center"/>
          </w:tcPr>
          <w:p>
            <w:pPr>
              <w:pStyle w:val="12"/>
            </w:pPr>
            <w:r>
              <w:t>能保障审计机关正常开展审计工作</w:t>
            </w:r>
          </w:p>
        </w:tc>
        <w:tc>
          <w:tcPr>
            <w:tcW w:w="2268" w:type="dxa"/>
            <w:vAlign w:val="center"/>
          </w:tcPr>
          <w:p>
            <w:pPr>
              <w:pStyle w:val="12"/>
            </w:pPr>
            <w:r>
              <w:t>100能保障审计机关正常开展审计工作</w:t>
            </w:r>
          </w:p>
        </w:tc>
        <w:tc>
          <w:tcPr>
            <w:tcW w:w="1276" w:type="dxa"/>
            <w:vAlign w:val="center"/>
          </w:tcPr>
          <w:p>
            <w:pPr>
              <w:pStyle w:val="12"/>
            </w:pPr>
            <w:r>
              <w:t>能保障审计机关正常开展审计工作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审计违纪投诉率</w:t>
            </w:r>
          </w:p>
        </w:tc>
        <w:tc>
          <w:tcPr>
            <w:tcW w:w="5386" w:type="dxa"/>
            <w:vAlign w:val="center"/>
          </w:tcPr>
          <w:p>
            <w:pPr>
              <w:pStyle w:val="12"/>
            </w:pPr>
            <w:r>
              <w:t>审计违纪投诉率</w:t>
            </w:r>
          </w:p>
        </w:tc>
        <w:tc>
          <w:tcPr>
            <w:tcW w:w="2268" w:type="dxa"/>
            <w:vAlign w:val="center"/>
          </w:tcPr>
          <w:p>
            <w:pPr>
              <w:pStyle w:val="12"/>
            </w:pPr>
            <w:r>
              <w:t>≤5%</w:t>
            </w:r>
          </w:p>
        </w:tc>
        <w:tc>
          <w:tcPr>
            <w:tcW w:w="1276" w:type="dxa"/>
            <w:vAlign w:val="center"/>
          </w:tcPr>
          <w:p>
            <w:pPr>
              <w:pStyle w:val="12"/>
            </w:pPr>
            <w:r>
              <w:t>年终考核</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319001无极县审计局本级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无极县审计局本级上年末固定资产金额为88.18万元（详见下表）。本年度拟购置固定资产总额为10.00万元，已按要求列入政府采购预算，详见政府采购预算表。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319001无极县审计局本级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88.18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6.97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170</w:t>
            </w:r>
          </w:p>
        </w:tc>
        <w:tc>
          <w:tcPr>
            <w:tcW w:w="2835" w:type="dxa"/>
            <w:vAlign w:val="center"/>
          </w:tcPr>
          <w:p>
            <w:pPr>
              <w:pStyle w:val="11"/>
            </w:pPr>
            <w:r>
              <w:t>81.21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3E568A"/>
    <w:rsid w:val="29FD5545"/>
    <w:rsid w:val="473164D1"/>
    <w:rsid w:val="49F7216C"/>
    <w:rsid w:val="66863FF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20</Pages>
  <TotalTime>3</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2025-02-06T10:50:00Z</dcterms:created>
  <dc:creator>Administrator</dc:creator>
  <cp:lastModifiedBy>浮生</cp:lastModifiedBy>
  <dcterms:modified xsi:type="dcterms:W3CDTF">2025-04-22T07:16:30Z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C090FED862BE41DCA4B638328B08B3F0</vt:lpwstr>
  </property>
</Properties>
</file>