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711无极县总工会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208.52</w:t>
            </w:r>
          </w:p>
        </w:tc>
        <w:tc>
          <w:tcPr>
            <w:tcW w:w="4535" w:type="dxa"/>
            <w:vAlign w:val="center"/>
          </w:tcPr>
          <w:p>
            <w:pPr>
              <w:pStyle w:val="13"/>
            </w:pPr>
            <w:r>
              <w:t>一、一般公共服务支出</w:t>
            </w:r>
          </w:p>
        </w:tc>
        <w:tc>
          <w:tcPr>
            <w:tcW w:w="2126" w:type="dxa"/>
            <w:vAlign w:val="center"/>
          </w:tcPr>
          <w:p>
            <w:pPr>
              <w:pStyle w:val="12"/>
            </w:pPr>
            <w:r>
              <w:t>176.52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208.52</w:t>
            </w:r>
          </w:p>
        </w:tc>
        <w:tc>
          <w:tcPr>
            <w:tcW w:w="4535" w:type="dxa"/>
            <w:vAlign w:val="center"/>
          </w:tcPr>
          <w:p>
            <w:pPr>
              <w:pStyle w:val="15"/>
            </w:pPr>
            <w:r>
              <w:t>本年支出合计</w:t>
            </w:r>
          </w:p>
        </w:tc>
        <w:tc>
          <w:tcPr>
            <w:tcW w:w="2126" w:type="dxa"/>
            <w:vAlign w:val="center"/>
          </w:tcPr>
          <w:p>
            <w:pPr>
              <w:pStyle w:val="16"/>
            </w:pPr>
            <w:r>
              <w:t>208.52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208.52</w:t>
            </w:r>
          </w:p>
        </w:tc>
        <w:tc>
          <w:tcPr>
            <w:tcW w:w="4535" w:type="dxa"/>
            <w:vAlign w:val="center"/>
          </w:tcPr>
          <w:p>
            <w:pPr>
              <w:pStyle w:val="15"/>
            </w:pPr>
            <w:r>
              <w:t>支出总计</w:t>
            </w:r>
          </w:p>
        </w:tc>
        <w:tc>
          <w:tcPr>
            <w:tcW w:w="2126" w:type="dxa"/>
            <w:vAlign w:val="center"/>
          </w:tcPr>
          <w:p>
            <w:pPr>
              <w:pStyle w:val="16"/>
            </w:pPr>
            <w:r>
              <w:t>208.52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711无极县总工会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208.52</w:t>
            </w:r>
          </w:p>
        </w:tc>
        <w:tc>
          <w:tcPr>
            <w:tcW w:w="1134" w:type="dxa"/>
            <w:vAlign w:val="center"/>
          </w:tcPr>
          <w:p>
            <w:pPr>
              <w:pStyle w:val="16"/>
            </w:pPr>
            <w:r>
              <w:t>208.52</w:t>
            </w:r>
          </w:p>
        </w:tc>
        <w:tc>
          <w:tcPr>
            <w:tcW w:w="1134" w:type="dxa"/>
            <w:vAlign w:val="center"/>
          </w:tcPr>
          <w:p>
            <w:pPr>
              <w:pStyle w:val="16"/>
            </w:pPr>
            <w:r>
              <w:t>208.52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r>
              <w:t>176.52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24.50</w:t>
            </w:r>
          </w:p>
        </w:tc>
        <w:tc>
          <w:tcPr>
            <w:tcW w:w="1134" w:type="dxa"/>
            <w:vAlign w:val="center"/>
          </w:tcPr>
          <w:p>
            <w:pPr>
              <w:pStyle w:val="12"/>
            </w:pPr>
            <w:r>
              <w:t>24.50</w:t>
            </w:r>
          </w:p>
        </w:tc>
        <w:tc>
          <w:tcPr>
            <w:tcW w:w="1134" w:type="dxa"/>
            <w:vAlign w:val="center"/>
          </w:tcPr>
          <w:p>
            <w:pPr>
              <w:pStyle w:val="12"/>
            </w:pPr>
            <w:r>
              <w:t>24.50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23.50</w:t>
            </w:r>
          </w:p>
        </w:tc>
        <w:tc>
          <w:tcPr>
            <w:tcW w:w="1134" w:type="dxa"/>
            <w:vAlign w:val="center"/>
          </w:tcPr>
          <w:p>
            <w:pPr>
              <w:pStyle w:val="12"/>
            </w:pPr>
            <w:r>
              <w:t>23.50</w:t>
            </w:r>
          </w:p>
        </w:tc>
        <w:tc>
          <w:tcPr>
            <w:tcW w:w="1134" w:type="dxa"/>
            <w:vAlign w:val="center"/>
          </w:tcPr>
          <w:p>
            <w:pPr>
              <w:pStyle w:val="12"/>
            </w:pPr>
            <w:r>
              <w:t>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208.52</w:t>
            </w:r>
          </w:p>
        </w:tc>
        <w:tc>
          <w:tcPr>
            <w:tcW w:w="1361" w:type="dxa"/>
            <w:vAlign w:val="center"/>
          </w:tcPr>
          <w:p>
            <w:pPr>
              <w:pStyle w:val="16"/>
            </w:pPr>
            <w:r>
              <w:t>208.52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176.52</w:t>
            </w:r>
          </w:p>
        </w:tc>
        <w:tc>
          <w:tcPr>
            <w:tcW w:w="1361" w:type="dxa"/>
            <w:vAlign w:val="center"/>
          </w:tcPr>
          <w:p>
            <w:pPr>
              <w:pStyle w:val="12"/>
            </w:pPr>
            <w:r>
              <w:t>176.52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176.52</w:t>
            </w:r>
          </w:p>
        </w:tc>
        <w:tc>
          <w:tcPr>
            <w:tcW w:w="1361" w:type="dxa"/>
            <w:vAlign w:val="center"/>
          </w:tcPr>
          <w:p>
            <w:pPr>
              <w:pStyle w:val="12"/>
            </w:pPr>
            <w:r>
              <w:t>176.52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176.52</w:t>
            </w:r>
          </w:p>
        </w:tc>
        <w:tc>
          <w:tcPr>
            <w:tcW w:w="1361" w:type="dxa"/>
            <w:vAlign w:val="center"/>
          </w:tcPr>
          <w:p>
            <w:pPr>
              <w:pStyle w:val="12"/>
            </w:pPr>
            <w:r>
              <w:t>176.52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24.50</w:t>
            </w:r>
          </w:p>
        </w:tc>
        <w:tc>
          <w:tcPr>
            <w:tcW w:w="1361" w:type="dxa"/>
            <w:vAlign w:val="center"/>
          </w:tcPr>
          <w:p>
            <w:pPr>
              <w:pStyle w:val="12"/>
            </w:pPr>
            <w:r>
              <w:t>24.50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23.50</w:t>
            </w:r>
          </w:p>
        </w:tc>
        <w:tc>
          <w:tcPr>
            <w:tcW w:w="1361" w:type="dxa"/>
            <w:vAlign w:val="center"/>
          </w:tcPr>
          <w:p>
            <w:pPr>
              <w:pStyle w:val="12"/>
            </w:pPr>
            <w:r>
              <w:t>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208.52</w:t>
            </w:r>
          </w:p>
        </w:tc>
        <w:tc>
          <w:tcPr>
            <w:tcW w:w="3402" w:type="dxa"/>
            <w:vAlign w:val="center"/>
          </w:tcPr>
          <w:p>
            <w:pPr>
              <w:pStyle w:val="13"/>
            </w:pPr>
            <w:r>
              <w:t>一、一般公共服务支出</w:t>
            </w:r>
          </w:p>
        </w:tc>
        <w:tc>
          <w:tcPr>
            <w:tcW w:w="1474" w:type="dxa"/>
            <w:vAlign w:val="center"/>
          </w:tcPr>
          <w:p>
            <w:pPr>
              <w:pStyle w:val="12"/>
            </w:pPr>
            <w:r>
              <w:t>176.52</w:t>
            </w:r>
          </w:p>
        </w:tc>
        <w:tc>
          <w:tcPr>
            <w:tcW w:w="1474" w:type="dxa"/>
            <w:vAlign w:val="center"/>
          </w:tcPr>
          <w:p>
            <w:pPr>
              <w:pStyle w:val="12"/>
            </w:pPr>
            <w:r>
              <w:t>176.52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24.50</w:t>
            </w:r>
          </w:p>
        </w:tc>
        <w:tc>
          <w:tcPr>
            <w:tcW w:w="1474" w:type="dxa"/>
            <w:vAlign w:val="center"/>
          </w:tcPr>
          <w:p>
            <w:pPr>
              <w:pStyle w:val="12"/>
            </w:pPr>
            <w:r>
              <w:t>24.50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7.50</w:t>
            </w:r>
          </w:p>
        </w:tc>
        <w:tc>
          <w:tcPr>
            <w:tcW w:w="1474" w:type="dxa"/>
            <w:vAlign w:val="center"/>
          </w:tcPr>
          <w:p>
            <w:pPr>
              <w:pStyle w:val="12"/>
            </w:pPr>
            <w:r>
              <w:t>7.50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208.52</w:t>
            </w:r>
          </w:p>
        </w:tc>
        <w:tc>
          <w:tcPr>
            <w:tcW w:w="3402" w:type="dxa"/>
            <w:vAlign w:val="center"/>
          </w:tcPr>
          <w:p>
            <w:pPr>
              <w:pStyle w:val="15"/>
            </w:pPr>
            <w:r>
              <w:t>本年支出合计</w:t>
            </w:r>
          </w:p>
        </w:tc>
        <w:tc>
          <w:tcPr>
            <w:tcW w:w="1474" w:type="dxa"/>
            <w:vAlign w:val="center"/>
          </w:tcPr>
          <w:p>
            <w:pPr>
              <w:pStyle w:val="16"/>
            </w:pPr>
            <w:r>
              <w:t>208.52</w:t>
            </w:r>
          </w:p>
        </w:tc>
        <w:tc>
          <w:tcPr>
            <w:tcW w:w="1474" w:type="dxa"/>
            <w:vAlign w:val="center"/>
          </w:tcPr>
          <w:p>
            <w:pPr>
              <w:pStyle w:val="16"/>
            </w:pPr>
            <w:r>
              <w:t>208.52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208.52</w:t>
            </w:r>
          </w:p>
        </w:tc>
        <w:tc>
          <w:tcPr>
            <w:tcW w:w="3402" w:type="dxa"/>
            <w:vAlign w:val="center"/>
          </w:tcPr>
          <w:p>
            <w:pPr>
              <w:pStyle w:val="15"/>
            </w:pPr>
            <w:r>
              <w:t>支出总计</w:t>
            </w:r>
          </w:p>
        </w:tc>
        <w:tc>
          <w:tcPr>
            <w:tcW w:w="1474" w:type="dxa"/>
            <w:vAlign w:val="center"/>
          </w:tcPr>
          <w:p>
            <w:pPr>
              <w:pStyle w:val="16"/>
            </w:pPr>
            <w:r>
              <w:t>208.52</w:t>
            </w:r>
          </w:p>
        </w:tc>
        <w:tc>
          <w:tcPr>
            <w:tcW w:w="1474" w:type="dxa"/>
            <w:vAlign w:val="center"/>
          </w:tcPr>
          <w:p>
            <w:pPr>
              <w:pStyle w:val="16"/>
            </w:pPr>
            <w:r>
              <w:t>208.52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208.52</w:t>
            </w:r>
          </w:p>
        </w:tc>
        <w:tc>
          <w:tcPr>
            <w:tcW w:w="2551" w:type="dxa"/>
            <w:vAlign w:val="center"/>
          </w:tcPr>
          <w:p>
            <w:pPr>
              <w:pStyle w:val="16"/>
            </w:pPr>
            <w:r>
              <w:t>208.52</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176.52</w:t>
            </w:r>
          </w:p>
        </w:tc>
        <w:tc>
          <w:tcPr>
            <w:tcW w:w="2551" w:type="dxa"/>
            <w:vAlign w:val="center"/>
          </w:tcPr>
          <w:p>
            <w:pPr>
              <w:pStyle w:val="12"/>
            </w:pPr>
            <w:r>
              <w:t>176.52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176.52</w:t>
            </w:r>
          </w:p>
        </w:tc>
        <w:tc>
          <w:tcPr>
            <w:tcW w:w="2551" w:type="dxa"/>
            <w:vAlign w:val="center"/>
          </w:tcPr>
          <w:p>
            <w:pPr>
              <w:pStyle w:val="12"/>
            </w:pPr>
            <w:r>
              <w:t>176.52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176.52</w:t>
            </w:r>
          </w:p>
        </w:tc>
        <w:tc>
          <w:tcPr>
            <w:tcW w:w="2551" w:type="dxa"/>
            <w:vAlign w:val="center"/>
          </w:tcPr>
          <w:p>
            <w:pPr>
              <w:pStyle w:val="12"/>
            </w:pPr>
            <w:r>
              <w:t>176.52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24.50</w:t>
            </w:r>
          </w:p>
        </w:tc>
        <w:tc>
          <w:tcPr>
            <w:tcW w:w="2551" w:type="dxa"/>
            <w:vAlign w:val="center"/>
          </w:tcPr>
          <w:p>
            <w:pPr>
              <w:pStyle w:val="12"/>
            </w:pPr>
            <w:r>
              <w:t>24.50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23.50</w:t>
            </w:r>
          </w:p>
        </w:tc>
        <w:tc>
          <w:tcPr>
            <w:tcW w:w="2551" w:type="dxa"/>
            <w:vAlign w:val="center"/>
          </w:tcPr>
          <w:p>
            <w:pPr>
              <w:pStyle w:val="12"/>
            </w:pPr>
            <w:r>
              <w:t>23.50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208.52</w:t>
            </w:r>
          </w:p>
        </w:tc>
        <w:tc>
          <w:tcPr>
            <w:tcW w:w="2551" w:type="dxa"/>
            <w:vAlign w:val="center"/>
          </w:tcPr>
          <w:p>
            <w:pPr>
              <w:pStyle w:val="16"/>
            </w:pPr>
            <w:r>
              <w:t>152.20</w:t>
            </w:r>
          </w:p>
        </w:tc>
        <w:tc>
          <w:tcPr>
            <w:tcW w:w="2551" w:type="dxa"/>
            <w:vAlign w:val="center"/>
          </w:tcPr>
          <w:p>
            <w:pPr>
              <w:pStyle w:val="16"/>
            </w:pPr>
            <w:r>
              <w:t>56.32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132.20</w:t>
            </w:r>
          </w:p>
        </w:tc>
        <w:tc>
          <w:tcPr>
            <w:tcW w:w="2551" w:type="dxa"/>
            <w:vAlign w:val="center"/>
          </w:tcPr>
          <w:p>
            <w:pPr>
              <w:pStyle w:val="12"/>
            </w:pPr>
            <w:r>
              <w:t>132.20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11.70</w:t>
            </w:r>
          </w:p>
        </w:tc>
        <w:tc>
          <w:tcPr>
            <w:tcW w:w="2551" w:type="dxa"/>
            <w:vAlign w:val="center"/>
          </w:tcPr>
          <w:p>
            <w:pPr>
              <w:pStyle w:val="12"/>
            </w:pPr>
            <w:r>
              <w:t>11.70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22.50</w:t>
            </w:r>
          </w:p>
        </w:tc>
        <w:tc>
          <w:tcPr>
            <w:tcW w:w="2551" w:type="dxa"/>
            <w:vAlign w:val="center"/>
          </w:tcPr>
          <w:p>
            <w:pPr>
              <w:pStyle w:val="12"/>
            </w:pPr>
            <w:r>
              <w:t>22.50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56.32</w:t>
            </w:r>
          </w:p>
        </w:tc>
        <w:tc>
          <w:tcPr>
            <w:tcW w:w="2551" w:type="dxa"/>
            <w:vAlign w:val="center"/>
          </w:tcPr>
          <w:p>
            <w:pPr>
              <w:pStyle w:val="12"/>
            </w:pPr>
          </w:p>
        </w:tc>
        <w:tc>
          <w:tcPr>
            <w:tcW w:w="2551" w:type="dxa"/>
            <w:vAlign w:val="center"/>
          </w:tcPr>
          <w:p>
            <w:pPr>
              <w:pStyle w:val="12"/>
            </w:pPr>
            <w:r>
              <w:t>56.32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17.80</w:t>
            </w:r>
          </w:p>
        </w:tc>
        <w:tc>
          <w:tcPr>
            <w:tcW w:w="2551" w:type="dxa"/>
            <w:vAlign w:val="center"/>
          </w:tcPr>
          <w:p>
            <w:pPr>
              <w:pStyle w:val="12"/>
            </w:pPr>
          </w:p>
        </w:tc>
        <w:tc>
          <w:tcPr>
            <w:tcW w:w="2551" w:type="dxa"/>
            <w:vAlign w:val="center"/>
          </w:tcPr>
          <w:p>
            <w:pPr>
              <w:pStyle w:val="12"/>
            </w:pPr>
            <w:r>
              <w:t>17.80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3.72</w:t>
            </w:r>
          </w:p>
        </w:tc>
        <w:tc>
          <w:tcPr>
            <w:tcW w:w="2551" w:type="dxa"/>
            <w:vAlign w:val="center"/>
          </w:tcPr>
          <w:p>
            <w:pPr>
              <w:pStyle w:val="12"/>
            </w:pPr>
          </w:p>
        </w:tc>
        <w:tc>
          <w:tcPr>
            <w:tcW w:w="2551" w:type="dxa"/>
            <w:vAlign w:val="center"/>
          </w:tcPr>
          <w:p>
            <w:pPr>
              <w:pStyle w:val="12"/>
            </w:pPr>
            <w:r>
              <w:t>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32.40</w:t>
            </w:r>
          </w:p>
        </w:tc>
        <w:tc>
          <w:tcPr>
            <w:tcW w:w="2551" w:type="dxa"/>
            <w:vAlign w:val="center"/>
          </w:tcPr>
          <w:p>
            <w:pPr>
              <w:pStyle w:val="12"/>
            </w:pPr>
          </w:p>
        </w:tc>
        <w:tc>
          <w:tcPr>
            <w:tcW w:w="2551" w:type="dxa"/>
            <w:vAlign w:val="center"/>
          </w:tcPr>
          <w:p>
            <w:pPr>
              <w:pStyle w:val="12"/>
            </w:pPr>
            <w:r>
              <w:t>32.40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711无极县总工会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无极县总工会2025年部门预算信息公开情况说明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无极县总工会2025年部门预算信息公开情况说明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按照《中华人民共和国预算法》、《地方预决算公开操作规程》和《关于进一步推进预算公开工作的实施意见》规定，现将无极县总工会2025年部门预算公开如下：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(1)、根据党的路线、方针、政策，围绕县委、县政府工作大局和上级工会工作部署，贯彻执行县总工会代表大会和全委会议确定的任务与作出的决议。   (2)、依照法律和《中国工会章程》，组织和指导全县各级工会坚定不移地贯彻党的全心全意依靠工人阶级的根本指导方针，全面履行工会各项职能，进一步突出和履行维护职能。  (3)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8"/>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8"/>
      </w:pPr>
      <w:r>
        <w:t>(5)、指导基层工会组织建设，做好工会干部协管和干部培训教育工作；</w:t>
      </w:r>
    </w:p>
    <w:p>
      <w:pPr>
        <w:pStyle w:val="18"/>
      </w:pPr>
      <w:r>
        <w:t>(6)、根据县政府委托，与有关部门共同做好劳动模范、先进工作者的推荐、评选和管理工作；负责“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无极县总工会本级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按照预算管理有关规定，目前部门预算的编制实行综合预算管理，即全部收入和支出都反映在预算中。无极县总工会机关及所属事业单位的收支包含在部门预算中。</w:t>
      </w:r>
    </w:p>
    <w:p>
      <w:pPr>
        <w:pStyle w:val="19"/>
      </w:pPr>
      <w:r>
        <w:t>1、收入说明</w:t>
      </w:r>
    </w:p>
    <w:p>
      <w:pPr>
        <w:pStyle w:val="19"/>
      </w:pPr>
      <w:r>
        <w:t>反映本部门当年全部收入。2025年预算收入208.52万元，其中：一般公共预算收入208.52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总工会年度部门预算中支出预算的总体情况。2025年支出预算208.52万元，其中基本支出208.52万元，包括人员经费152.20万元和日常公用经费56.32万元；项目支出0.00万元，主要为无项目支出</w:t>
      </w:r>
    </w:p>
    <w:p>
      <w:pPr>
        <w:pStyle w:val="19"/>
      </w:pPr>
      <w:r>
        <w:t>3、比上年增减情况</w:t>
      </w:r>
    </w:p>
    <w:p>
      <w:pPr>
        <w:pStyle w:val="19"/>
      </w:pPr>
      <w:r>
        <w:t>2025年预算收支安排208.52万元，较2024年预算增加20.06万元，其中：基本支出增加188.06万元，主要为今年未安排项目支出，全部为基本支出项目支出减少168.00万元，主要为今年未安排项目支出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6"/>
        <w:keepNext w:val="0"/>
        <w:keepLines w:val="0"/>
        <w:pageBreakBefore w:val="0"/>
        <w:widowControl/>
        <w:kinsoku/>
        <w:wordWrap/>
        <w:overflowPunct/>
        <w:topLinePunct w:val="0"/>
        <w:autoSpaceDE/>
        <w:autoSpaceDN/>
        <w:bidi w:val="0"/>
        <w:adjustRightInd/>
        <w:snapToGrid/>
        <w:spacing w:line="240" w:lineRule="auto"/>
        <w:textAlignment w:val="auto"/>
      </w:pPr>
      <w:r>
        <w:t>202</w:t>
      </w:r>
      <w:r>
        <w:rPr>
          <w:rFonts w:hint="eastAsia"/>
          <w:lang w:val="en-US" w:eastAsia="zh-CN"/>
        </w:rPr>
        <w:t>5</w:t>
      </w:r>
      <w:r>
        <w:t>年，我</w:t>
      </w:r>
      <w:r>
        <w:rPr>
          <w:rFonts w:hint="eastAsia"/>
          <w:lang w:val="en-US" w:eastAsia="zh-CN"/>
        </w:rPr>
        <w:t>部门</w:t>
      </w:r>
      <w:r>
        <w:t>机关运行经费共计安排</w:t>
      </w:r>
      <w:r>
        <w:rPr>
          <w:rFonts w:hint="eastAsia"/>
          <w:lang w:val="en-US" w:eastAsia="zh-CN"/>
        </w:rPr>
        <w:t>56.32</w:t>
      </w:r>
      <w:r>
        <w:t>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rPr>
          <w:rFonts w:hint="eastAsia" w:eastAsia="方正仿宋_GBK"/>
          <w:lang w:eastAsia="zh-CN"/>
        </w:rPr>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三公经费</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2"/>
      </w:pPr>
      <w:r>
        <w:t>我单位的总体绩效目标主要有两项工作。工会经费和困难职工及劳模救助。其中工会经费主要用于工会开展各项活动，根据党在各个时期的中心任务和上级工会的指示精神，确定全市工会工作的指导思想和任务，领导全县广大职工开展工会活动工会；围绕职工合法权益的重大问题进行调查研究，向县委县政府委和上级工会反映职工群众的思想、愿望和要求，提出意见和建议；参与涉及职工切身利益的法律、法规草案和政策、措施、制度的拟定。维护广大职工的切身利益。</w:t>
      </w:r>
    </w:p>
    <w:p>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pPr>
        <w:pStyle w:val="23"/>
        <w:ind w:firstLine="932" w:firstLineChars="333"/>
      </w:pPr>
      <w:r>
        <w:rPr>
          <w:rFonts w:hint="eastAsia"/>
          <w:lang w:val="en-US" w:eastAsia="zh-CN"/>
        </w:rPr>
        <w:t>1、</w:t>
      </w:r>
      <w:r>
        <w:t>工会开展各项活动，根据党的中心任务和上级工会的指示精神，确定全县工会工作的指导思想和任务，领导全县广大职工开展工会活动；围绕职工合法权益的重大问题进行调查研究，向县委县政府和上级工会反映职工群众的思想、愿望和要求，提出意见和建议；参与涉及职工切身利益的法律、法规草案和政策、措施、制度的拟定。</w:t>
      </w:r>
    </w:p>
    <w:p>
      <w:pPr>
        <w:pStyle w:val="23"/>
      </w:pPr>
      <w:r>
        <w:t>绩效目标：体现党对广大职工的关怀，为工会发挥职能提供有力的物质保证</w:t>
      </w:r>
    </w:p>
    <w:p>
      <w:pPr>
        <w:pStyle w:val="23"/>
      </w:pPr>
      <w:r>
        <w:t>绩效指标：对困难职工及时进行救助，救助率达到90%以上；保障相关业务的正常开展。</w:t>
      </w:r>
    </w:p>
    <w:p>
      <w:pPr>
        <w:pStyle w:val="23"/>
        <w:ind w:firstLine="932" w:firstLineChars="333"/>
      </w:pPr>
      <w:r>
        <w:rPr>
          <w:rFonts w:hint="eastAsia"/>
          <w:lang w:val="en-US" w:eastAsia="zh-CN"/>
        </w:rPr>
        <w:t>2、</w:t>
      </w:r>
      <w:r>
        <w:t>体现党和政府对困难职工和劳模的关怀，进一步激发广大职工及劳模的工作积极性，发挥劳模的示范引领作用。</w:t>
      </w:r>
    </w:p>
    <w:p>
      <w:pPr>
        <w:pStyle w:val="23"/>
      </w:pPr>
      <w:r>
        <w:t>绩效目标：能够让困难职工和劳模得到救助和帮扶，让困难职工摆脱贫困，让劳模精神进一步得到弘扬。</w:t>
      </w:r>
    </w:p>
    <w:p>
      <w:pPr>
        <w:pStyle w:val="23"/>
      </w:pPr>
      <w:r>
        <w:t>绩效指标：根据上级指示发放困难职工及困难劳模救助专项资金。</w:t>
      </w:r>
    </w:p>
    <w:p>
      <w:pPr>
        <w:keepNext w:val="0"/>
        <w:keepLines w:val="0"/>
        <w:pageBreakBefore w:val="0"/>
        <w:widowControl/>
        <w:kinsoku/>
        <w:wordWrap/>
        <w:overflowPunct/>
        <w:topLinePunct w:val="0"/>
        <w:autoSpaceDE/>
        <w:autoSpaceDN/>
        <w:bidi w:val="0"/>
        <w:adjustRightInd/>
        <w:snapToGrid/>
        <w:spacing w:before="0" w:after="0" w:line="240" w:lineRule="auto"/>
        <w:ind w:firstLine="561"/>
        <w:jc w:val="left"/>
        <w:textAlignment w:val="auto"/>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spacing w:line="240" w:lineRule="auto"/>
        <w:ind w:firstLine="561"/>
        <w:textAlignment w:val="auto"/>
      </w:pPr>
    </w:p>
    <w:p>
      <w:pPr>
        <w:pStyle w:val="24"/>
        <w:keepNext w:val="0"/>
        <w:keepLines w:val="0"/>
        <w:pageBreakBefore w:val="0"/>
        <w:widowControl/>
        <w:kinsoku/>
        <w:wordWrap/>
        <w:overflowPunct/>
        <w:topLinePunct w:val="0"/>
        <w:autoSpaceDE/>
        <w:autoSpaceDN/>
        <w:bidi w:val="0"/>
        <w:adjustRightInd/>
        <w:snapToGrid/>
        <w:spacing w:line="240" w:lineRule="auto"/>
        <w:ind w:firstLine="561"/>
        <w:textAlignment w:val="auto"/>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4"/>
      </w:pPr>
      <w:r>
        <w:t>加强支出管理，优化支出结构。严格按照预算执行。没预算的坚决不予支出。有预算的项目细化、量化。按照预算执行。</w:t>
      </w:r>
    </w:p>
    <w:p>
      <w:pPr>
        <w:pStyle w:val="24"/>
      </w:pPr>
      <w:r>
        <w:t>加强绩效运行监控。根据预算从拨付、使用、社会效果全程监控。发现问题及时采取措施。全部绩效目标如期保值实现。</w:t>
      </w:r>
    </w:p>
    <w:p>
      <w:pPr>
        <w:pStyle w:val="24"/>
      </w:pPr>
      <w:r>
        <w:t>做好绩效自评。根据上年度预算绩效自评和重点评价工作，在今年的预算执行中及时调整，，优化今年的支出结构，提高202</w:t>
      </w:r>
      <w:r>
        <w:rPr>
          <w:rFonts w:hint="eastAsia"/>
          <w:lang w:val="en-US" w:eastAsia="zh-CN"/>
        </w:rPr>
        <w:t>5</w:t>
      </w:r>
      <w:r>
        <w:t>年度资金使用效益率。</w:t>
      </w:r>
    </w:p>
    <w:p>
      <w:pPr>
        <w:pStyle w:val="24"/>
      </w:pPr>
      <w:r>
        <w:t>规范财务资产管理。通过完善财务管理制度，推行内控制度，严格资金支出审批程序，加强固定资产各项管理工作，确保固定资产登记、使用和报废处置管理。</w:t>
      </w:r>
    </w:p>
    <w:p>
      <w:pPr>
        <w:pStyle w:val="24"/>
      </w:pPr>
      <w:r>
        <w:t>加强内部监督。加强财务管理内部监督制度建设，监控绩效目标的运行情况。对会计资料内部监督和审计。</w:t>
      </w:r>
    </w:p>
    <w:p>
      <w:pPr>
        <w:pStyle w:val="24"/>
      </w:pPr>
      <w:r>
        <w:t>加强培训宣传调研。加强会计人员培训和自我学习，提高财务人员素质。加强优化资金配置，提高资金使用效益。</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无。</w:t>
      </w: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ind w:left="640" w:leftChars="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711无极县总工会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无极县总工会（含所属单位）上年末固定资产金额为222.65万元（详见下表）。本年度拟购置固定资产总额为0.00万元，已按要求列入政府采购预算，详见政府采购预算表。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711无极县总工会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222.65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1299.40</w:t>
            </w:r>
          </w:p>
        </w:tc>
        <w:tc>
          <w:tcPr>
            <w:tcW w:w="2835" w:type="dxa"/>
            <w:vAlign w:val="center"/>
          </w:tcPr>
          <w:p>
            <w:pPr>
              <w:pStyle w:val="12"/>
            </w:pPr>
            <w:r>
              <w:t>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108</w:t>
            </w:r>
          </w:p>
        </w:tc>
        <w:tc>
          <w:tcPr>
            <w:tcW w:w="2835" w:type="dxa"/>
            <w:vAlign w:val="center"/>
          </w:tcPr>
          <w:p>
            <w:pPr>
              <w:pStyle w:val="12"/>
            </w:pPr>
            <w:r>
              <w:t>5.65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93</w:t>
            </w:r>
          </w:p>
        </w:tc>
        <w:tc>
          <w:tcPr>
            <w:tcW w:w="2835" w:type="dxa"/>
            <w:vAlign w:val="center"/>
          </w:tcPr>
          <w:p>
            <w:pPr>
              <w:pStyle w:val="12"/>
            </w:pPr>
            <w:r>
              <w:t>135.29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D38907"/>
    <w:multiLevelType w:val="singleLevel"/>
    <w:tmpl w:val="CCD38907"/>
    <w:lvl w:ilvl="0" w:tentative="0">
      <w:start w:val="2"/>
      <w:numFmt w:val="chineseCounting"/>
      <w:suff w:val="nothing"/>
      <w:lvlText w:val="（%1）"/>
      <w:lvlJc w:val="left"/>
      <w:rPr>
        <w:rFonts w:hint="eastAsia"/>
      </w:rPr>
    </w:lvl>
  </w:abstractNum>
  <w:abstractNum w:abstractNumId="1">
    <w:nsid w:val="5DF7D905"/>
    <w:multiLevelType w:val="singleLevel"/>
    <w:tmpl w:val="5DF7D905"/>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E05289"/>
    <w:rsid w:val="4DEA3AEA"/>
    <w:rsid w:val="53AA2BCF"/>
    <w:rsid w:val="6405664D"/>
    <w:rsid w:val="769B0326"/>
    <w:rsid w:val="7D0934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2025-02-05T16:49:00Z</dcterms:created>
  <dc:creator>Administrator</dc:creator>
  <cp:lastModifiedBy>浮生</cp:lastModifiedBy>
  <dcterms:modified xsi:type="dcterms:W3CDTF">2025-04-22T07:37:46Z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B54F49C816D8401F8979267E7ECED841</vt:lpwstr>
  </property>
</Properties>
</file>