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2025年单位预算信息公开目录</w:t>
      </w:r>
    </w:p>
    <w:p>
      <w:pPr>
        <w:jc w:val="center"/>
      </w:pPr>
      <w:r>
        <w:rPr>
          <w:rFonts w:ascii="黑体" w:hAnsi="黑体" w:eastAsia="黑体" w:cs="黑体"/>
          <w:b/>
          <w:color w:val="000000"/>
          <w:sz w:val="30"/>
        </w:rPr>
        <w:t xml:space="preserve"> </w:t>
      </w:r>
    </w:p>
    <w:p>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一、中国人民政治协商会议无极县委员会办公室本级收支预算</w:t>
      </w:r>
      <w:r>
        <w:tab/>
      </w:r>
      <w:r>
        <w:fldChar w:fldCharType="begin"/>
      </w:r>
      <w:r>
        <w:instrText xml:space="preserve">PAGEREF _Toc_4_4_0000000001 \h</w:instrText>
      </w:r>
      <w:r>
        <w:fldChar w:fldCharType="separate"/>
      </w:r>
      <w:r>
        <w:t>1</w:t>
      </w:r>
      <w:r>
        <w:fldChar w:fldCharType="end"/>
      </w:r>
      <w:r>
        <w:fldChar w:fldCharType="end"/>
      </w:r>
    </w:p>
    <w:p>
      <w:pPr>
        <w:sectPr>
          <w:headerReference r:id="rId3" w:type="default"/>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01"/>
      <w:r>
        <w:rPr>
          <w:rFonts w:ascii="方正小标宋_GBK" w:hAnsi="方正小标宋_GBK" w:eastAsia="方正小标宋_GBK" w:cs="方正小标宋_GBK"/>
          <w:color w:val="000000"/>
          <w:sz w:val="44"/>
        </w:rPr>
        <w:t>一、中国人民政治协商会议无极县委员会办公室本级收支预算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126" w:type="dxa"/>
            <w:tcBorders>
              <w:top w:val="single" w:color="FFFFFF" w:sz="6" w:space="0"/>
              <w:left w:val="single" w:color="FFFFFF" w:sz="6" w:space="0"/>
              <w:right w:val="single" w:color="FFFFFF" w:sz="6" w:space="0"/>
            </w:tcBorders>
            <w:vAlign w:val="center"/>
          </w:tcPr>
          <w:p>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587.30</w:t>
            </w:r>
          </w:p>
        </w:tc>
        <w:tc>
          <w:tcPr>
            <w:tcW w:w="4535" w:type="dxa"/>
            <w:vAlign w:val="center"/>
          </w:tcPr>
          <w:p>
            <w:pPr>
              <w:pStyle w:val="12"/>
            </w:pPr>
            <w:r>
              <w:t>一、一般公共服务支出</w:t>
            </w:r>
          </w:p>
        </w:tc>
        <w:tc>
          <w:tcPr>
            <w:tcW w:w="2126" w:type="dxa"/>
            <w:vAlign w:val="center"/>
          </w:tcPr>
          <w:p>
            <w:pPr>
              <w:pStyle w:val="11"/>
            </w:pPr>
            <w:r>
              <w:t>485.30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77.00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25.00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三十一、人行科目</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4"/>
            </w:pPr>
            <w:r>
              <w:t>本年收入合计</w:t>
            </w:r>
          </w:p>
        </w:tc>
        <w:tc>
          <w:tcPr>
            <w:tcW w:w="2126" w:type="dxa"/>
            <w:vAlign w:val="center"/>
          </w:tcPr>
          <w:p>
            <w:pPr>
              <w:pStyle w:val="15"/>
            </w:pPr>
            <w:r>
              <w:t>587.30</w:t>
            </w:r>
          </w:p>
        </w:tc>
        <w:tc>
          <w:tcPr>
            <w:tcW w:w="4535" w:type="dxa"/>
            <w:vAlign w:val="center"/>
          </w:tcPr>
          <w:p>
            <w:pPr>
              <w:pStyle w:val="14"/>
            </w:pPr>
            <w:r>
              <w:t>本年支出合计</w:t>
            </w:r>
          </w:p>
        </w:tc>
        <w:tc>
          <w:tcPr>
            <w:tcW w:w="2126" w:type="dxa"/>
            <w:vAlign w:val="center"/>
          </w:tcPr>
          <w:p>
            <w:pPr>
              <w:pStyle w:val="15"/>
            </w:pPr>
            <w:r>
              <w:t>587.30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4535" w:type="dxa"/>
            <w:vAlign w:val="center"/>
          </w:tcPr>
          <w:p>
            <w:pPr>
              <w:pStyle w:val="14"/>
            </w:pPr>
            <w:r>
              <w:t>收入总计</w:t>
            </w:r>
          </w:p>
        </w:tc>
        <w:tc>
          <w:tcPr>
            <w:tcW w:w="2126" w:type="dxa"/>
            <w:vAlign w:val="center"/>
          </w:tcPr>
          <w:p>
            <w:pPr>
              <w:pStyle w:val="15"/>
            </w:pPr>
            <w:r>
              <w:t>587.30</w:t>
            </w:r>
          </w:p>
        </w:tc>
        <w:tc>
          <w:tcPr>
            <w:tcW w:w="4535" w:type="dxa"/>
            <w:vAlign w:val="center"/>
          </w:tcPr>
          <w:p>
            <w:pPr>
              <w:pStyle w:val="14"/>
            </w:pPr>
            <w:r>
              <w:t>支出总计</w:t>
            </w:r>
          </w:p>
        </w:tc>
        <w:tc>
          <w:tcPr>
            <w:tcW w:w="2126" w:type="dxa"/>
            <w:vAlign w:val="center"/>
          </w:tcPr>
          <w:p>
            <w:pPr>
              <w:pStyle w:val="15"/>
            </w:pPr>
            <w:r>
              <w:t>587.30</w:t>
            </w:r>
          </w:p>
        </w:tc>
      </w:tr>
    </w:tbl>
    <w:p>
      <w:pPr>
        <w:sectPr>
          <w:footerReference r:id="rId4" w:type="default"/>
          <w:footerReference r:id="rId5" w:type="even"/>
          <w:pgSz w:w="16840" w:h="11900" w:orient="landscape"/>
          <w:pgMar w:top="1361" w:right="1020" w:bottom="1134" w:left="1020" w:header="720" w:footer="720" w:gutter="0"/>
          <w:pgNumType w:start="1"/>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r>
              <w:t>587.30</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20102</w:t>
            </w:r>
          </w:p>
        </w:tc>
        <w:tc>
          <w:tcPr>
            <w:tcW w:w="1559" w:type="dxa"/>
            <w:vAlign w:val="center"/>
          </w:tcPr>
          <w:p>
            <w:pPr>
              <w:pStyle w:val="12"/>
            </w:pPr>
            <w:r>
              <w:t>政协事务</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2010201</w:t>
            </w:r>
          </w:p>
        </w:tc>
        <w:tc>
          <w:tcPr>
            <w:tcW w:w="1559" w:type="dxa"/>
            <w:vAlign w:val="center"/>
          </w:tcPr>
          <w:p>
            <w:pPr>
              <w:pStyle w:val="12"/>
            </w:pPr>
            <w:r>
              <w:t>行政运行</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r>
              <w:t>485.30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r>
              <w:t>77.00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r>
              <w:t>75.00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r>
              <w:t>60.00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2080506</w:t>
            </w:r>
          </w:p>
        </w:tc>
        <w:tc>
          <w:tcPr>
            <w:tcW w:w="1559" w:type="dxa"/>
            <w:vAlign w:val="center"/>
          </w:tcPr>
          <w:p>
            <w:pPr>
              <w:pStyle w:val="12"/>
            </w:pPr>
            <w:r>
              <w:t>机关事业单位职业年金缴费支出</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r>
              <w:t>15.00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20827</w:t>
            </w:r>
          </w:p>
        </w:tc>
        <w:tc>
          <w:tcPr>
            <w:tcW w:w="1559" w:type="dxa"/>
            <w:vAlign w:val="center"/>
          </w:tcPr>
          <w:p>
            <w:pPr>
              <w:pStyle w:val="12"/>
            </w:pPr>
            <w:r>
              <w:t>财政对其他社会保险基金的补助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2082702</w:t>
            </w:r>
          </w:p>
        </w:tc>
        <w:tc>
          <w:tcPr>
            <w:tcW w:w="1559" w:type="dxa"/>
            <w:vAlign w:val="center"/>
          </w:tcPr>
          <w:p>
            <w:pPr>
              <w:pStyle w:val="12"/>
            </w:pPr>
            <w:r>
              <w:t>财政对工伤保险基金的补助</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587.30</w:t>
            </w:r>
          </w:p>
        </w:tc>
        <w:tc>
          <w:tcPr>
            <w:tcW w:w="1361" w:type="dxa"/>
            <w:vAlign w:val="center"/>
          </w:tcPr>
          <w:p>
            <w:pPr>
              <w:pStyle w:val="15"/>
            </w:pPr>
            <w:r>
              <w:t>587.30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20102</w:t>
            </w:r>
          </w:p>
        </w:tc>
        <w:tc>
          <w:tcPr>
            <w:tcW w:w="4535" w:type="dxa"/>
            <w:vAlign w:val="center"/>
          </w:tcPr>
          <w:p>
            <w:pPr>
              <w:pStyle w:val="12"/>
            </w:pPr>
            <w:r>
              <w:t>政协事务</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2010201</w:t>
            </w:r>
          </w:p>
        </w:tc>
        <w:tc>
          <w:tcPr>
            <w:tcW w:w="4535" w:type="dxa"/>
            <w:vAlign w:val="center"/>
          </w:tcPr>
          <w:p>
            <w:pPr>
              <w:pStyle w:val="12"/>
            </w:pPr>
            <w:r>
              <w:t>行政运行</w:t>
            </w:r>
          </w:p>
        </w:tc>
        <w:tc>
          <w:tcPr>
            <w:tcW w:w="1361" w:type="dxa"/>
            <w:vAlign w:val="center"/>
          </w:tcPr>
          <w:p>
            <w:pPr>
              <w:pStyle w:val="11"/>
            </w:pPr>
            <w:r>
              <w:t>485.30</w:t>
            </w:r>
          </w:p>
        </w:tc>
        <w:tc>
          <w:tcPr>
            <w:tcW w:w="1361" w:type="dxa"/>
            <w:vAlign w:val="center"/>
          </w:tcPr>
          <w:p>
            <w:pPr>
              <w:pStyle w:val="11"/>
            </w:pPr>
            <w:r>
              <w:t>485.30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77.00</w:t>
            </w:r>
          </w:p>
        </w:tc>
        <w:tc>
          <w:tcPr>
            <w:tcW w:w="1361" w:type="dxa"/>
            <w:vAlign w:val="center"/>
          </w:tcPr>
          <w:p>
            <w:pPr>
              <w:pStyle w:val="11"/>
            </w:pPr>
            <w:r>
              <w:t>77.00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75.00</w:t>
            </w:r>
          </w:p>
        </w:tc>
        <w:tc>
          <w:tcPr>
            <w:tcW w:w="1361" w:type="dxa"/>
            <w:vAlign w:val="center"/>
          </w:tcPr>
          <w:p>
            <w:pPr>
              <w:pStyle w:val="11"/>
            </w:pPr>
            <w:r>
              <w:t>75.00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60.00</w:t>
            </w:r>
          </w:p>
        </w:tc>
        <w:tc>
          <w:tcPr>
            <w:tcW w:w="1361" w:type="dxa"/>
            <w:vAlign w:val="center"/>
          </w:tcPr>
          <w:p>
            <w:pPr>
              <w:pStyle w:val="11"/>
            </w:pPr>
            <w:r>
              <w:t>60.00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15.00</w:t>
            </w:r>
          </w:p>
        </w:tc>
        <w:tc>
          <w:tcPr>
            <w:tcW w:w="1361" w:type="dxa"/>
            <w:vAlign w:val="center"/>
          </w:tcPr>
          <w:p>
            <w:pPr>
              <w:pStyle w:val="11"/>
            </w:pPr>
            <w:r>
              <w:t>15.00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20827</w:t>
            </w:r>
          </w:p>
        </w:tc>
        <w:tc>
          <w:tcPr>
            <w:tcW w:w="4535" w:type="dxa"/>
            <w:vAlign w:val="center"/>
          </w:tcPr>
          <w:p>
            <w:pPr>
              <w:pStyle w:val="12"/>
            </w:pPr>
            <w:r>
              <w:t>财政对其他社会保险基金的补助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2082702</w:t>
            </w:r>
          </w:p>
        </w:tc>
        <w:tc>
          <w:tcPr>
            <w:tcW w:w="4535" w:type="dxa"/>
            <w:vAlign w:val="center"/>
          </w:tcPr>
          <w:p>
            <w:pPr>
              <w:pStyle w:val="12"/>
            </w:pPr>
            <w:r>
              <w:t>财政对工伤保险基金的补助</w:t>
            </w:r>
          </w:p>
        </w:tc>
        <w:tc>
          <w:tcPr>
            <w:tcW w:w="1361" w:type="dxa"/>
            <w:vAlign w:val="center"/>
          </w:tcPr>
          <w:p>
            <w:pPr>
              <w:pStyle w:val="11"/>
            </w:pPr>
            <w:r>
              <w:t>2.00</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25.00</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3402" w:type="dxa"/>
            <w:tcBorders>
              <w:top w:val="single" w:color="FFFFFF" w:sz="6" w:space="0"/>
              <w:left w:val="single" w:color="FFFFFF" w:sz="6" w:space="0"/>
              <w:right w:val="single" w:color="FFFFFF" w:sz="6" w:space="0"/>
            </w:tcBorders>
            <w:vAlign w:val="center"/>
          </w:tcPr>
          <w:p>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587.30</w:t>
            </w:r>
          </w:p>
        </w:tc>
        <w:tc>
          <w:tcPr>
            <w:tcW w:w="3402" w:type="dxa"/>
            <w:vAlign w:val="center"/>
          </w:tcPr>
          <w:p>
            <w:pPr>
              <w:pStyle w:val="12"/>
            </w:pPr>
            <w:r>
              <w:t>一、一般公共服务支出</w:t>
            </w:r>
          </w:p>
        </w:tc>
        <w:tc>
          <w:tcPr>
            <w:tcW w:w="1474" w:type="dxa"/>
            <w:vAlign w:val="center"/>
          </w:tcPr>
          <w:p>
            <w:pPr>
              <w:pStyle w:val="11"/>
            </w:pPr>
            <w:r>
              <w:t>485.30</w:t>
            </w:r>
          </w:p>
        </w:tc>
        <w:tc>
          <w:tcPr>
            <w:tcW w:w="1474" w:type="dxa"/>
            <w:vAlign w:val="center"/>
          </w:tcPr>
          <w:p>
            <w:pPr>
              <w:pStyle w:val="11"/>
            </w:pPr>
            <w:r>
              <w:t>485.30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77.00</w:t>
            </w:r>
          </w:p>
        </w:tc>
        <w:tc>
          <w:tcPr>
            <w:tcW w:w="1474" w:type="dxa"/>
            <w:vAlign w:val="center"/>
          </w:tcPr>
          <w:p>
            <w:pPr>
              <w:pStyle w:val="11"/>
            </w:pPr>
            <w:r>
              <w:t>77.00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25.00</w:t>
            </w:r>
          </w:p>
        </w:tc>
        <w:tc>
          <w:tcPr>
            <w:tcW w:w="1474" w:type="dxa"/>
            <w:vAlign w:val="center"/>
          </w:tcPr>
          <w:p>
            <w:pPr>
              <w:pStyle w:val="11"/>
            </w:pPr>
            <w:r>
              <w:t>25.00</w:t>
            </w: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587.30</w:t>
            </w:r>
          </w:p>
        </w:tc>
        <w:tc>
          <w:tcPr>
            <w:tcW w:w="3402" w:type="dxa"/>
            <w:vAlign w:val="center"/>
          </w:tcPr>
          <w:p>
            <w:pPr>
              <w:pStyle w:val="14"/>
            </w:pPr>
            <w:r>
              <w:t>本年支出合计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587.30</w:t>
            </w:r>
          </w:p>
        </w:tc>
        <w:tc>
          <w:tcPr>
            <w:tcW w:w="3402" w:type="dxa"/>
            <w:vAlign w:val="center"/>
          </w:tcPr>
          <w:p>
            <w:pPr>
              <w:pStyle w:val="14"/>
            </w:pPr>
            <w:r>
              <w:t>支出总计</w:t>
            </w:r>
          </w:p>
        </w:tc>
        <w:tc>
          <w:tcPr>
            <w:tcW w:w="1474" w:type="dxa"/>
            <w:vAlign w:val="center"/>
          </w:tcPr>
          <w:p>
            <w:pPr>
              <w:pStyle w:val="15"/>
            </w:pPr>
            <w:r>
              <w:t>587.30</w:t>
            </w:r>
          </w:p>
        </w:tc>
        <w:tc>
          <w:tcPr>
            <w:tcW w:w="1474" w:type="dxa"/>
            <w:vAlign w:val="center"/>
          </w:tcPr>
          <w:p>
            <w:pPr>
              <w:pStyle w:val="15"/>
            </w:pPr>
            <w:r>
              <w:t>587.30</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587.30</w:t>
            </w:r>
          </w:p>
        </w:tc>
        <w:tc>
          <w:tcPr>
            <w:tcW w:w="255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20102</w:t>
            </w:r>
          </w:p>
        </w:tc>
        <w:tc>
          <w:tcPr>
            <w:tcW w:w="4535" w:type="dxa"/>
            <w:vAlign w:val="center"/>
          </w:tcPr>
          <w:p>
            <w:pPr>
              <w:pStyle w:val="12"/>
            </w:pPr>
            <w:r>
              <w:t>政协事务</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2010201</w:t>
            </w:r>
          </w:p>
        </w:tc>
        <w:tc>
          <w:tcPr>
            <w:tcW w:w="4535" w:type="dxa"/>
            <w:vAlign w:val="center"/>
          </w:tcPr>
          <w:p>
            <w:pPr>
              <w:pStyle w:val="12"/>
            </w:pPr>
            <w:r>
              <w:t>行政运行</w:t>
            </w:r>
          </w:p>
        </w:tc>
        <w:tc>
          <w:tcPr>
            <w:tcW w:w="2551" w:type="dxa"/>
            <w:vAlign w:val="center"/>
          </w:tcPr>
          <w:p>
            <w:pPr>
              <w:pStyle w:val="11"/>
            </w:pPr>
            <w:r>
              <w:t>485.30</w:t>
            </w:r>
          </w:p>
        </w:tc>
        <w:tc>
          <w:tcPr>
            <w:tcW w:w="2551" w:type="dxa"/>
            <w:vAlign w:val="center"/>
          </w:tcPr>
          <w:p>
            <w:pPr>
              <w:pStyle w:val="11"/>
            </w:pPr>
            <w:r>
              <w:t>485.30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77.00</w:t>
            </w:r>
          </w:p>
        </w:tc>
        <w:tc>
          <w:tcPr>
            <w:tcW w:w="2551" w:type="dxa"/>
            <w:vAlign w:val="center"/>
          </w:tcPr>
          <w:p>
            <w:pPr>
              <w:pStyle w:val="11"/>
            </w:pPr>
            <w:r>
              <w:t>77.00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20827</w:t>
            </w:r>
          </w:p>
        </w:tc>
        <w:tc>
          <w:tcPr>
            <w:tcW w:w="4535" w:type="dxa"/>
            <w:vAlign w:val="center"/>
          </w:tcPr>
          <w:p>
            <w:pPr>
              <w:pStyle w:val="12"/>
            </w:pPr>
            <w:r>
              <w:t>财政对其他社会保险基金的补助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2082702</w:t>
            </w:r>
          </w:p>
        </w:tc>
        <w:tc>
          <w:tcPr>
            <w:tcW w:w="4535" w:type="dxa"/>
            <w:vAlign w:val="center"/>
          </w:tcPr>
          <w:p>
            <w:pPr>
              <w:pStyle w:val="12"/>
            </w:pPr>
            <w:r>
              <w:t>财政对工伤保险基金的补助</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587.30</w:t>
            </w:r>
          </w:p>
        </w:tc>
        <w:tc>
          <w:tcPr>
            <w:tcW w:w="2551" w:type="dxa"/>
            <w:vAlign w:val="center"/>
          </w:tcPr>
          <w:p>
            <w:pPr>
              <w:pStyle w:val="15"/>
            </w:pPr>
            <w:r>
              <w:t>472.80</w:t>
            </w:r>
          </w:p>
        </w:tc>
        <w:tc>
          <w:tcPr>
            <w:tcW w:w="2551" w:type="dxa"/>
            <w:vAlign w:val="center"/>
          </w:tcPr>
          <w:p>
            <w:pPr>
              <w:pStyle w:val="15"/>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392.80</w:t>
            </w:r>
          </w:p>
        </w:tc>
        <w:tc>
          <w:tcPr>
            <w:tcW w:w="2551" w:type="dxa"/>
            <w:vAlign w:val="center"/>
          </w:tcPr>
          <w:p>
            <w:pPr>
              <w:pStyle w:val="11"/>
            </w:pPr>
            <w:r>
              <w:t>392.80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140.00</w:t>
            </w:r>
          </w:p>
        </w:tc>
        <w:tc>
          <w:tcPr>
            <w:tcW w:w="2551" w:type="dxa"/>
            <w:vAlign w:val="center"/>
          </w:tcPr>
          <w:p>
            <w:pPr>
              <w:pStyle w:val="11"/>
            </w:pPr>
            <w:r>
              <w:t>140.00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75.00</w:t>
            </w:r>
          </w:p>
        </w:tc>
        <w:tc>
          <w:tcPr>
            <w:tcW w:w="2551" w:type="dxa"/>
            <w:vAlign w:val="center"/>
          </w:tcPr>
          <w:p>
            <w:pPr>
              <w:pStyle w:val="11"/>
            </w:pPr>
            <w:r>
              <w:t>75.00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72.00</w:t>
            </w:r>
          </w:p>
        </w:tc>
        <w:tc>
          <w:tcPr>
            <w:tcW w:w="2551" w:type="dxa"/>
            <w:vAlign w:val="center"/>
          </w:tcPr>
          <w:p>
            <w:pPr>
              <w:pStyle w:val="11"/>
            </w:pPr>
            <w:r>
              <w:t>72.00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3.80</w:t>
            </w:r>
          </w:p>
        </w:tc>
        <w:tc>
          <w:tcPr>
            <w:tcW w:w="2551" w:type="dxa"/>
            <w:vAlign w:val="center"/>
          </w:tcPr>
          <w:p>
            <w:pPr>
              <w:pStyle w:val="11"/>
            </w:pPr>
            <w:r>
              <w:t>3.80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60.00</w:t>
            </w:r>
          </w:p>
        </w:tc>
        <w:tc>
          <w:tcPr>
            <w:tcW w:w="2551" w:type="dxa"/>
            <w:vAlign w:val="center"/>
          </w:tcPr>
          <w:p>
            <w:pPr>
              <w:pStyle w:val="11"/>
            </w:pPr>
            <w:r>
              <w:t>60.00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15.00</w:t>
            </w:r>
          </w:p>
        </w:tc>
        <w:tc>
          <w:tcPr>
            <w:tcW w:w="2551" w:type="dxa"/>
            <w:vAlign w:val="center"/>
          </w:tcPr>
          <w:p>
            <w:pPr>
              <w:pStyle w:val="11"/>
            </w:pPr>
            <w:r>
              <w:t>15.00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25.00</w:t>
            </w:r>
          </w:p>
        </w:tc>
        <w:tc>
          <w:tcPr>
            <w:tcW w:w="2551" w:type="dxa"/>
            <w:vAlign w:val="center"/>
          </w:tcPr>
          <w:p>
            <w:pPr>
              <w:pStyle w:val="11"/>
            </w:pPr>
            <w:r>
              <w:t>25.00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2.00</w:t>
            </w:r>
          </w:p>
        </w:tc>
        <w:tc>
          <w:tcPr>
            <w:tcW w:w="2551" w:type="dxa"/>
            <w:vAlign w:val="center"/>
          </w:tcPr>
          <w:p>
            <w:pPr>
              <w:pStyle w:val="11"/>
            </w:pPr>
            <w:r>
              <w:t>2.00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114.50</w:t>
            </w:r>
          </w:p>
        </w:tc>
        <w:tc>
          <w:tcPr>
            <w:tcW w:w="2551" w:type="dxa"/>
            <w:vAlign w:val="center"/>
          </w:tcPr>
          <w:p>
            <w:pPr>
              <w:pStyle w:val="11"/>
            </w:pPr>
          </w:p>
        </w:tc>
        <w:tc>
          <w:tcPr>
            <w:tcW w:w="2551" w:type="dxa"/>
            <w:vAlign w:val="center"/>
          </w:tcPr>
          <w:p>
            <w:pPr>
              <w:pStyle w:val="11"/>
            </w:pPr>
            <w:r>
              <w:t>114.50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40.50</w:t>
            </w:r>
          </w:p>
        </w:tc>
        <w:tc>
          <w:tcPr>
            <w:tcW w:w="2551" w:type="dxa"/>
            <w:vAlign w:val="center"/>
          </w:tcPr>
          <w:p>
            <w:pPr>
              <w:pStyle w:val="11"/>
            </w:pPr>
          </w:p>
        </w:tc>
        <w:tc>
          <w:tcPr>
            <w:tcW w:w="2551" w:type="dxa"/>
            <w:vAlign w:val="center"/>
          </w:tcPr>
          <w:p>
            <w:pPr>
              <w:pStyle w:val="11"/>
            </w:pPr>
            <w:r>
              <w:t>40.50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20.00</w:t>
            </w:r>
          </w:p>
        </w:tc>
        <w:tc>
          <w:tcPr>
            <w:tcW w:w="2551" w:type="dxa"/>
            <w:vAlign w:val="center"/>
          </w:tcPr>
          <w:p>
            <w:pPr>
              <w:pStyle w:val="11"/>
            </w:pPr>
          </w:p>
        </w:tc>
        <w:tc>
          <w:tcPr>
            <w:tcW w:w="2551" w:type="dxa"/>
            <w:vAlign w:val="center"/>
          </w:tcPr>
          <w:p>
            <w:pPr>
              <w:pStyle w:val="11"/>
            </w:pPr>
            <w:r>
              <w:t>20.00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16.00</w:t>
            </w:r>
          </w:p>
        </w:tc>
        <w:tc>
          <w:tcPr>
            <w:tcW w:w="2551" w:type="dxa"/>
            <w:vAlign w:val="center"/>
          </w:tcPr>
          <w:p>
            <w:pPr>
              <w:pStyle w:val="11"/>
            </w:pPr>
          </w:p>
        </w:tc>
        <w:tc>
          <w:tcPr>
            <w:tcW w:w="2551" w:type="dxa"/>
            <w:vAlign w:val="center"/>
          </w:tcPr>
          <w:p>
            <w:pPr>
              <w:pStyle w:val="11"/>
            </w:pPr>
            <w:r>
              <w:t>16.00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30.00</w:t>
            </w:r>
          </w:p>
        </w:tc>
        <w:tc>
          <w:tcPr>
            <w:tcW w:w="2551" w:type="dxa"/>
            <w:vAlign w:val="center"/>
          </w:tcPr>
          <w:p>
            <w:pPr>
              <w:pStyle w:val="11"/>
            </w:pPr>
          </w:p>
        </w:tc>
        <w:tc>
          <w:tcPr>
            <w:tcW w:w="2551" w:type="dxa"/>
            <w:vAlign w:val="center"/>
          </w:tcPr>
          <w:p>
            <w:pPr>
              <w:pStyle w:val="11"/>
            </w:pPr>
            <w:r>
              <w:t>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8.00</w:t>
            </w:r>
          </w:p>
        </w:tc>
        <w:tc>
          <w:tcPr>
            <w:tcW w:w="2551" w:type="dxa"/>
            <w:vAlign w:val="center"/>
          </w:tcPr>
          <w:p>
            <w:pPr>
              <w:pStyle w:val="11"/>
            </w:pPr>
          </w:p>
        </w:tc>
        <w:tc>
          <w:tcPr>
            <w:tcW w:w="2551" w:type="dxa"/>
            <w:vAlign w:val="center"/>
          </w:tcPr>
          <w:p>
            <w:pPr>
              <w:pStyle w:val="11"/>
            </w:pPr>
            <w:r>
              <w:t>8.00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80.00</w:t>
            </w:r>
          </w:p>
        </w:tc>
        <w:tc>
          <w:tcPr>
            <w:tcW w:w="2551" w:type="dxa"/>
            <w:vAlign w:val="center"/>
          </w:tcPr>
          <w:p>
            <w:pPr>
              <w:pStyle w:val="11"/>
            </w:pPr>
            <w:r>
              <w:t>80.00</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551" w:type="dxa"/>
            <w:tcBorders>
              <w:top w:val="single" w:color="FFFFFF" w:sz="6" w:space="0"/>
              <w:left w:val="single" w:color="FFFFFF" w:sz="6" w:space="0"/>
              <w:right w:val="single" w:color="FFFFFF" w:sz="6" w:space="0"/>
            </w:tcBorders>
            <w:vAlign w:val="center"/>
          </w:tcPr>
          <w:p>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2381" w:type="dxa"/>
            <w:tcBorders>
              <w:top w:val="single" w:color="FFFFFF" w:sz="6" w:space="0"/>
              <w:left w:val="single" w:color="FFFFFF" w:sz="6" w:space="0"/>
              <w:right w:val="single" w:color="FFFFFF" w:sz="6" w:space="0"/>
            </w:tcBorders>
            <w:vAlign w:val="center"/>
          </w:tcPr>
          <w:p>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16.00</w:t>
            </w:r>
          </w:p>
        </w:tc>
        <w:tc>
          <w:tcPr>
            <w:tcW w:w="2381" w:type="dxa"/>
            <w:vAlign w:val="center"/>
          </w:tcPr>
          <w:p>
            <w:pPr>
              <w:pStyle w:val="15"/>
            </w:pPr>
            <w:r>
              <w:t>16.00</w:t>
            </w:r>
          </w:p>
        </w:tc>
        <w:tc>
          <w:tcPr>
            <w:tcW w:w="2381" w:type="dxa"/>
            <w:vAlign w:val="center"/>
          </w:tcPr>
          <w:p>
            <w:pPr>
              <w:pStyle w:val="15"/>
            </w:pPr>
          </w:p>
        </w:tc>
        <w:tc>
          <w:tcPr>
            <w:tcW w:w="2381" w:type="dxa"/>
            <w:vAlign w:val="center"/>
          </w:tcPr>
          <w:p>
            <w:pPr>
              <w:pStyle w:val="15"/>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1" w:type="dxa"/>
            <w:vAlign w:val="center"/>
          </w:tcPr>
          <w:p>
            <w:pPr>
              <w:pStyle w:val="11"/>
            </w:pPr>
            <w:r>
              <w:t>16.00</w:t>
            </w:r>
          </w:p>
        </w:tc>
        <w:tc>
          <w:tcPr>
            <w:tcW w:w="2381" w:type="dxa"/>
            <w:vAlign w:val="center"/>
          </w:tcPr>
          <w:p>
            <w:pPr>
              <w:pStyle w:val="11"/>
            </w:pPr>
            <w:r>
              <w:t>16.00</w:t>
            </w: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10</w:t>
            </w:r>
          </w:p>
        </w:tc>
        <w:tc>
          <w:tcPr>
            <w:tcW w:w="3798" w:type="dxa"/>
            <w:vAlign w:val="center"/>
          </w:tcPr>
          <w:p>
            <w:pPr>
              <w:pStyle w:val="12"/>
            </w:pPr>
            <w:r>
              <w:t>四、会议费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11</w:t>
            </w:r>
          </w:p>
        </w:tc>
        <w:tc>
          <w:tcPr>
            <w:tcW w:w="3798" w:type="dxa"/>
            <w:vAlign w:val="center"/>
          </w:tcPr>
          <w:p>
            <w:pPr>
              <w:pStyle w:val="12"/>
            </w:pPr>
            <w:r>
              <w:t xml:space="preserve">    其中：省属高校业务性会议费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12</w:t>
            </w:r>
          </w:p>
        </w:tc>
        <w:tc>
          <w:tcPr>
            <w:tcW w:w="3798" w:type="dxa"/>
            <w:vAlign w:val="center"/>
          </w:tcPr>
          <w:p>
            <w:pPr>
              <w:pStyle w:val="12"/>
            </w:pPr>
            <w:r>
              <w:t xml:space="preserve">          其他会议费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3"/>
            </w:pPr>
            <w:r>
              <w:t>13</w:t>
            </w:r>
          </w:p>
        </w:tc>
        <w:tc>
          <w:tcPr>
            <w:tcW w:w="3798" w:type="dxa"/>
            <w:vAlign w:val="center"/>
          </w:tcPr>
          <w:p>
            <w:pPr>
              <w:pStyle w:val="12"/>
            </w:pPr>
            <w:r>
              <w:t>五、培训费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中国人民政治协商会议无极县委员会办公室本级2025年单位预算信息公开情况说明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按照《中华人民共和国预算法》、《地方预决算公开操作规程》和《关于进一步推进预算公开工作的实施意见》规定，现将中国人民政治协商会议无极县委员会办公室本级2025年单位预算公开如下：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17"/>
      </w:pPr>
      <w:r>
        <w:t>根据全国政协组织章程，县政协主要职能是对全县大政方针政策的讨论以及全县重要事务和群众生活，统一战线内部关系等重要问题进行政治协商，并通过提案、社情民意、会议等形式提出意见和建议，发挥民主监督、参政议政作用；充分发扬社会主义民主，反映社会各界意见，促进我县各级党委、政府重大决策的科学化、民主化。</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2"/>
            </w:pPr>
            <w:r>
              <w:t>中国人民政治协商会议无极县委员会办公室本级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2025年预算收入587.30万元，其中：一般公共预算收入587.30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国人民政治协商会议无极县委员会办公室本级年度单位预算中支出预算的总体情况。2025年支出预算587.30万元，其中基本支出587.30万元，包括人员经费472.80万元和日常公用经费114.50万元；项目支出0.00万元，主要为保证正常公务运行。</w:t>
      </w:r>
    </w:p>
    <w:p>
      <w:pPr>
        <w:pStyle w:val="18"/>
      </w:pPr>
      <w:r>
        <w:t>3、比上年增减情况</w:t>
      </w:r>
    </w:p>
    <w:p>
      <w:pPr>
        <w:pStyle w:val="18"/>
      </w:pPr>
      <w:r>
        <w:t>2025年预算收支安排587.30万元，较2024年预算减少153.74万元，其中：基本支出减少73.74万元，主要为人员减少，工资减少。项目支出减少80.00万元，主要为项目资金减少。</w:t>
      </w:r>
    </w:p>
    <w:p>
      <w:pPr>
        <w:spacing w:before="10" w:after="10"/>
        <w:ind w:firstLine="640"/>
        <w:outlineLvl w:val="5"/>
      </w:pPr>
      <w:r>
        <w:rPr>
          <w:rFonts w:ascii="黑体" w:hAnsi="黑体" w:eastAsia="黑体" w:cs="黑体"/>
          <w:color w:val="000000"/>
          <w:sz w:val="32"/>
        </w:rPr>
        <w:t>三、机关运行经费安排情况</w:t>
      </w:r>
    </w:p>
    <w:p>
      <w:pPr>
        <w:pStyle w:val="26"/>
        <w:rPr>
          <w:rFonts w:hint="eastAsia" w:eastAsiaTheme="minorEastAsia"/>
          <w:lang w:eastAsia="zh-CN"/>
        </w:rPr>
      </w:pPr>
      <w:r>
        <w:t>2025年，我</w:t>
      </w:r>
      <w:r>
        <w:rPr>
          <w:rFonts w:hint="eastAsia" w:eastAsiaTheme="minorEastAsia"/>
          <w:lang w:eastAsia="zh-CN"/>
        </w:rPr>
        <w:t>单位</w:t>
      </w:r>
      <w:r>
        <w:t>机关运行经费共计安排114.50万元，主要用于日常维修、办公用房水电费、办公用房取暖费、办公用房物业管理费等日常运行支出。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7"/>
        <w:rPr>
          <w:rFonts w:hint="eastAsia" w:eastAsiaTheme="minorEastAsia"/>
          <w:lang w:eastAsia="zh-CN"/>
        </w:rPr>
      </w:pPr>
      <w:r>
        <w:t>2025年，我</w:t>
      </w:r>
      <w:r>
        <w:rPr>
          <w:rFonts w:hint="eastAsia" w:eastAsiaTheme="minorEastAsia"/>
          <w:lang w:eastAsia="zh-CN"/>
        </w:rPr>
        <w:t>单位</w:t>
      </w:r>
      <w:r>
        <w:t>财政拨款“三公”经费预算安排16.00万元，其中因公出国（境）费0.00万元；公务用车购置及运维费16.00万元（其中：公务用车购置费为0.00万元，公务用车运维费16.00万元)；公务接待费0.00万元。与2024年相比增加0.00万元，增减变化的主要原因是无变化，压缩开支。</w:t>
      </w: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ascii="黑体" w:hAnsi="黑体" w:eastAsia="黑体" w:cs="黑体"/>
          <w:color w:val="000000"/>
          <w:sz w:val="32"/>
        </w:rPr>
      </w:pPr>
    </w:p>
    <w:p>
      <w:pPr>
        <w:spacing w:before="10" w:after="10"/>
        <w:ind w:firstLine="640"/>
        <w:outlineLvl w:val="5"/>
        <w:rPr>
          <w:rFonts w:hint="eastAsia" w:ascii="黑体" w:hAnsi="黑体" w:eastAsia="黑体" w:cs="黑体"/>
          <w:color w:val="000000"/>
          <w:sz w:val="32"/>
          <w:lang w:val="en-US" w:eastAsia="zh-CN"/>
        </w:rPr>
      </w:pPr>
    </w:p>
    <w:p>
      <w:pPr>
        <w:spacing w:before="10" w:after="10"/>
        <w:ind w:firstLine="640"/>
        <w:outlineLvl w:val="5"/>
        <w:rPr>
          <w:rFonts w:hint="eastAsia" w:ascii="黑体" w:hAnsi="黑体" w:eastAsia="黑体" w:cs="黑体"/>
          <w:color w:val="000000"/>
          <w:sz w:val="32"/>
          <w:lang w:val="en-US" w:eastAsia="zh-CN"/>
        </w:rPr>
      </w:pPr>
    </w:p>
    <w:p>
      <w:pPr>
        <w:spacing w:before="10" w:after="10"/>
        <w:ind w:firstLine="640"/>
        <w:outlineLvl w:val="5"/>
        <w:rPr>
          <w:rFonts w:hint="eastAsia" w:ascii="黑体" w:hAnsi="黑体" w:eastAsia="黑体" w:cs="黑体"/>
          <w:color w:val="000000"/>
          <w:sz w:val="32"/>
          <w:lang w:val="en-US" w:eastAsia="zh-CN"/>
        </w:rPr>
      </w:pPr>
    </w:p>
    <w:p>
      <w:pPr>
        <w:spacing w:before="10" w:after="10"/>
        <w:ind w:firstLine="640"/>
        <w:outlineLvl w:val="5"/>
        <w:rPr>
          <w:rFonts w:hint="eastAsia" w:ascii="黑体" w:hAnsi="黑体" w:eastAsia="黑体" w:cs="黑体"/>
          <w:color w:val="000000"/>
          <w:sz w:val="32"/>
          <w:lang w:val="en-US" w:eastAsia="zh-CN"/>
        </w:rPr>
      </w:pPr>
    </w:p>
    <w:p>
      <w:pPr>
        <w:spacing w:before="10" w:after="10"/>
        <w:ind w:firstLine="640"/>
        <w:outlineLvl w:val="5"/>
        <w:rPr>
          <w:rFonts w:hint="eastAsia" w:ascii="黑体" w:hAnsi="黑体" w:eastAsia="黑体" w:cs="黑体"/>
          <w:color w:val="000000"/>
          <w:sz w:val="32"/>
          <w:lang w:eastAsia="zh-CN"/>
        </w:rPr>
      </w:pPr>
      <w:r>
        <w:rPr>
          <w:rFonts w:ascii="黑体" w:hAnsi="黑体" w:eastAsia="黑体" w:cs="黑体"/>
          <w:color w:val="000000"/>
          <w:sz w:val="32"/>
        </w:rPr>
        <w:t>五、单位项目预算安排情况及绩效目标</w:t>
      </w:r>
    </w:p>
    <w:p>
      <w:pPr>
        <w:spacing w:before="10" w:after="10"/>
        <w:ind w:firstLine="640"/>
        <w:outlineLvl w:val="5"/>
        <w:rPr>
          <w:rFonts w:hint="eastAsia" w:ascii="黑体" w:hAnsi="黑体" w:eastAsia="黑体" w:cs="黑体"/>
          <w:color w:val="000000"/>
          <w:sz w:val="32"/>
          <w:lang w:eastAsia="zh-CN"/>
        </w:rPr>
      </w:pPr>
      <w:r>
        <w:rPr>
          <w:rFonts w:hint="eastAsia" w:ascii="黑体" w:hAnsi="黑体" w:eastAsia="黑体" w:cs="黑体"/>
          <w:color w:val="000000"/>
          <w:sz w:val="32"/>
          <w:lang w:eastAsia="zh-CN"/>
        </w:rPr>
        <w:t>1</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年政协无极县第十四届委员会第五次会议会议费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rPr>
                <w:rFonts w:ascii="Calibri" w:hAnsi="Calibri" w:eastAsia="宋体" w:cs="宋体"/>
                <w:color w:val="000000"/>
                <w:sz w:val="22"/>
                <w:szCs w:val="22"/>
              </w:rPr>
              <w:t>13013025P000029100024</w:t>
            </w:r>
          </w:p>
        </w:tc>
        <w:tc>
          <w:tcPr>
            <w:tcW w:w="2835" w:type="dxa"/>
            <w:vAlign w:val="center"/>
          </w:tcPr>
          <w:p>
            <w:pPr>
              <w:pStyle w:val="10"/>
            </w:pPr>
            <w:r>
              <w:t>项目名称</w:t>
            </w:r>
          </w:p>
        </w:tc>
        <w:tc>
          <w:tcPr>
            <w:tcW w:w="6094" w:type="dxa"/>
            <w:gridSpan w:val="3"/>
            <w:vAlign w:val="center"/>
          </w:tcPr>
          <w:p>
            <w:pPr>
              <w:pStyle w:val="12"/>
              <w:rPr>
                <w:rFonts w:hint="eastAsia" w:eastAsiaTheme="minorEastAsia"/>
              </w:rPr>
            </w:pPr>
            <w:r>
              <w:t>政协</w:t>
            </w:r>
            <w:r>
              <w:rPr>
                <w:rFonts w:hint="eastAsia" w:eastAsiaTheme="minorEastAsia"/>
              </w:rPr>
              <w:t>会议经费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50.00</w:t>
            </w:r>
          </w:p>
        </w:tc>
        <w:tc>
          <w:tcPr>
            <w:tcW w:w="2835" w:type="dxa"/>
            <w:vAlign w:val="center"/>
          </w:tcPr>
          <w:p>
            <w:pPr>
              <w:pStyle w:val="10"/>
            </w:pPr>
            <w:r>
              <w:t>其中：财政    资金</w:t>
            </w:r>
          </w:p>
        </w:tc>
        <w:tc>
          <w:tcPr>
            <w:tcW w:w="2551" w:type="dxa"/>
            <w:vAlign w:val="center"/>
          </w:tcPr>
          <w:p>
            <w:pPr>
              <w:pStyle w:val="12"/>
            </w:pPr>
            <w:r>
              <w:t>50.00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w:t>
            </w:r>
            <w:r>
              <w:rPr>
                <w:rFonts w:hint="eastAsia" w:eastAsiaTheme="minorEastAsia"/>
              </w:rPr>
              <w:t>5</w:t>
            </w:r>
            <w:r>
              <w:t>年政协十四届</w:t>
            </w:r>
            <w:r>
              <w:rPr>
                <w:rFonts w:hint="eastAsia" w:eastAsiaTheme="minorEastAsia"/>
              </w:rPr>
              <w:t>五</w:t>
            </w:r>
            <w:r>
              <w:t>次全会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12.50</w:t>
            </w:r>
          </w:p>
        </w:tc>
        <w:tc>
          <w:tcPr>
            <w:tcW w:w="2835" w:type="dxa"/>
            <w:vAlign w:val="center"/>
          </w:tcPr>
          <w:p>
            <w:pPr>
              <w:pStyle w:val="13"/>
            </w:pPr>
            <w:r>
              <w:t>25.00</w:t>
            </w:r>
          </w:p>
        </w:tc>
        <w:tc>
          <w:tcPr>
            <w:tcW w:w="2551" w:type="dxa"/>
            <w:vAlign w:val="center"/>
          </w:tcPr>
          <w:p>
            <w:pPr>
              <w:pStyle w:val="13"/>
            </w:pPr>
            <w:r>
              <w:t>37.50</w:t>
            </w:r>
          </w:p>
        </w:tc>
        <w:tc>
          <w:tcPr>
            <w:tcW w:w="3543" w:type="dxa"/>
            <w:gridSpan w:val="2"/>
            <w:vAlign w:val="center"/>
          </w:tcPr>
          <w:p>
            <w:pPr>
              <w:pStyle w:val="13"/>
            </w:pPr>
            <w:r>
              <w:t>50.00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1.202</w:t>
            </w:r>
            <w:r>
              <w:rPr>
                <w:rFonts w:hint="eastAsia" w:eastAsiaTheme="minorEastAsia"/>
              </w:rPr>
              <w:t>5</w:t>
            </w:r>
            <w:r>
              <w:t>年政协十四届</w:t>
            </w:r>
            <w:r>
              <w:rPr>
                <w:rFonts w:hint="eastAsia" w:eastAsiaTheme="minorEastAsia"/>
              </w:rPr>
              <w:t>五</w:t>
            </w:r>
            <w:r>
              <w:t>次全会</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251"/>
        <w:gridCol w:w="4403"/>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251" w:type="dxa"/>
            <w:vAlign w:val="center"/>
          </w:tcPr>
          <w:p>
            <w:pPr>
              <w:pStyle w:val="10"/>
            </w:pPr>
            <w:r>
              <w:t>绩效指标描述</w:t>
            </w:r>
          </w:p>
        </w:tc>
        <w:tc>
          <w:tcPr>
            <w:tcW w:w="4403"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召开会议次数</w:t>
            </w:r>
          </w:p>
        </w:tc>
        <w:tc>
          <w:tcPr>
            <w:tcW w:w="3251" w:type="dxa"/>
            <w:vAlign w:val="center"/>
          </w:tcPr>
          <w:p>
            <w:pPr>
              <w:pStyle w:val="12"/>
            </w:pPr>
            <w:r>
              <w:t>召开会议次数</w:t>
            </w:r>
          </w:p>
        </w:tc>
        <w:tc>
          <w:tcPr>
            <w:tcW w:w="4403" w:type="dxa"/>
            <w:vAlign w:val="center"/>
          </w:tcPr>
          <w:p>
            <w:pPr>
              <w:pStyle w:val="12"/>
            </w:pPr>
            <w:r>
              <w:rPr>
                <w:sz w:val="18"/>
                <w:szCs w:val="18"/>
              </w:rPr>
              <w:t>≥98就大方针政策以及政治、、经济、文化、和生态文明中的重要问题，在决策前进行协商和就决策执行过程中的重要问题进行协商。</w:t>
            </w:r>
          </w:p>
        </w:tc>
        <w:tc>
          <w:tcPr>
            <w:tcW w:w="1276" w:type="dxa"/>
            <w:vAlign w:val="center"/>
          </w:tcPr>
          <w:p>
            <w:pPr>
              <w:pStyle w:val="12"/>
            </w:pPr>
            <w:r>
              <w:t>上级文件精神</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推进政党协商制度建设工作完成率</w:t>
            </w:r>
          </w:p>
        </w:tc>
        <w:tc>
          <w:tcPr>
            <w:tcW w:w="3251" w:type="dxa"/>
            <w:vAlign w:val="center"/>
          </w:tcPr>
          <w:p>
            <w:pPr>
              <w:pStyle w:val="12"/>
            </w:pPr>
            <w:r>
              <w:t>推进政党协商制度建设工作完成率</w:t>
            </w:r>
          </w:p>
        </w:tc>
        <w:tc>
          <w:tcPr>
            <w:tcW w:w="4403" w:type="dxa"/>
            <w:vAlign w:val="center"/>
          </w:tcPr>
          <w:p>
            <w:pPr>
              <w:pStyle w:val="12"/>
            </w:pPr>
            <w:r>
              <w:t>≥98围绕县委、县政府中心工作</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会议组织情况</w:t>
            </w:r>
          </w:p>
        </w:tc>
        <w:tc>
          <w:tcPr>
            <w:tcW w:w="3251" w:type="dxa"/>
            <w:vAlign w:val="center"/>
          </w:tcPr>
          <w:p>
            <w:pPr>
              <w:pStyle w:val="12"/>
            </w:pPr>
            <w:r>
              <w:t>会议组织情况</w:t>
            </w:r>
          </w:p>
        </w:tc>
        <w:tc>
          <w:tcPr>
            <w:tcW w:w="4403" w:type="dxa"/>
            <w:vAlign w:val="center"/>
          </w:tcPr>
          <w:p>
            <w:pPr>
              <w:pStyle w:val="12"/>
            </w:pPr>
            <w:r>
              <w:t>≥98会议是人民政协履行职能的主要形式，是开展工作的主体，是委员履行自身职责的主要途径。</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会议人均成本</w:t>
            </w:r>
          </w:p>
        </w:tc>
        <w:tc>
          <w:tcPr>
            <w:tcW w:w="3251" w:type="dxa"/>
            <w:vAlign w:val="center"/>
          </w:tcPr>
          <w:p>
            <w:pPr>
              <w:pStyle w:val="12"/>
            </w:pPr>
            <w:r>
              <w:t>会议人均成本</w:t>
            </w:r>
          </w:p>
        </w:tc>
        <w:tc>
          <w:tcPr>
            <w:tcW w:w="4403" w:type="dxa"/>
            <w:vAlign w:val="center"/>
          </w:tcPr>
          <w:p>
            <w:pPr>
              <w:pStyle w:val="12"/>
            </w:pPr>
            <w:r>
              <w:t>≥98召开各种常委会、主席会、专委会议</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251" w:type="dxa"/>
            <w:vAlign w:val="center"/>
          </w:tcPr>
          <w:p>
            <w:pPr>
              <w:pStyle w:val="12"/>
            </w:pPr>
            <w:r>
              <w:t>经济效益指标</w:t>
            </w:r>
          </w:p>
        </w:tc>
        <w:tc>
          <w:tcPr>
            <w:tcW w:w="4403"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3251" w:type="dxa"/>
            <w:vAlign w:val="center"/>
          </w:tcPr>
          <w:p>
            <w:pPr>
              <w:pStyle w:val="12"/>
            </w:pPr>
            <w:r>
              <w:t>社会效益指标</w:t>
            </w:r>
          </w:p>
        </w:tc>
        <w:tc>
          <w:tcPr>
            <w:tcW w:w="4403" w:type="dxa"/>
            <w:vAlign w:val="center"/>
          </w:tcPr>
          <w:p>
            <w:pPr>
              <w:pStyle w:val="12"/>
            </w:pPr>
            <w:r>
              <w:t>≥98政策建议采纳</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251" w:type="dxa"/>
            <w:vAlign w:val="center"/>
          </w:tcPr>
          <w:p>
            <w:pPr>
              <w:pStyle w:val="12"/>
            </w:pPr>
            <w:r>
              <w:t>生态效益指标</w:t>
            </w:r>
          </w:p>
        </w:tc>
        <w:tc>
          <w:tcPr>
            <w:tcW w:w="4403" w:type="dxa"/>
            <w:vAlign w:val="center"/>
          </w:tcPr>
          <w:p>
            <w:pPr>
              <w:pStyle w:val="12"/>
            </w:pPr>
            <w:r>
              <w:t>≥98营造良好的生态环境</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党员参政议政、建言献策的比例</w:t>
            </w:r>
          </w:p>
        </w:tc>
        <w:tc>
          <w:tcPr>
            <w:tcW w:w="3251" w:type="dxa"/>
            <w:vAlign w:val="center"/>
          </w:tcPr>
          <w:p>
            <w:pPr>
              <w:pStyle w:val="12"/>
            </w:pPr>
            <w:r>
              <w:t>党员参政议政、建言献策的比例</w:t>
            </w:r>
          </w:p>
        </w:tc>
        <w:tc>
          <w:tcPr>
            <w:tcW w:w="4403" w:type="dxa"/>
            <w:vAlign w:val="center"/>
          </w:tcPr>
          <w:p>
            <w:pPr>
              <w:pStyle w:val="12"/>
            </w:pPr>
            <w:r>
              <w:t>≥98党员参政议政、建言献策的比例</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服务对象满意度指标</w:t>
            </w:r>
          </w:p>
        </w:tc>
        <w:tc>
          <w:tcPr>
            <w:tcW w:w="3251" w:type="dxa"/>
            <w:vAlign w:val="center"/>
          </w:tcPr>
          <w:p>
            <w:pPr>
              <w:pStyle w:val="12"/>
            </w:pPr>
            <w:r>
              <w:t>服务对象满意度指标</w:t>
            </w:r>
          </w:p>
        </w:tc>
        <w:tc>
          <w:tcPr>
            <w:tcW w:w="4403" w:type="dxa"/>
            <w:vAlign w:val="center"/>
          </w:tcPr>
          <w:p>
            <w:pPr>
              <w:pStyle w:val="12"/>
            </w:pPr>
            <w:r>
              <w:t>≥98服务对象满意度</w:t>
            </w:r>
          </w:p>
        </w:tc>
        <w:tc>
          <w:tcPr>
            <w:tcW w:w="1276" w:type="dxa"/>
            <w:vAlign w:val="center"/>
          </w:tcPr>
          <w:p>
            <w:pPr>
              <w:pStyle w:val="12"/>
            </w:pPr>
            <w:r>
              <w:t>历年经验</w:t>
            </w:r>
          </w:p>
        </w:tc>
      </w:tr>
    </w:tbl>
    <w:p>
      <w:pPr>
        <w:ind w:firstLine="560"/>
        <w:rPr>
          <w:rFonts w:hint="eastAsia" w:ascii="方正仿宋_GBK" w:hAnsi="方正仿宋_GBK" w:cs="方正仿宋_GBK" w:eastAsiaTheme="minorEastAsia"/>
          <w:color w:val="000000"/>
          <w:sz w:val="28"/>
          <w:lang w:eastAsia="zh-CN"/>
        </w:rPr>
      </w:pPr>
    </w:p>
    <w:p>
      <w:pPr>
        <w:ind w:firstLine="560"/>
        <w:rPr>
          <w:rFonts w:hint="eastAsia" w:ascii="方正仿宋_GBK" w:hAnsi="方正仿宋_GBK" w:cs="方正仿宋_GBK" w:eastAsiaTheme="minorEastAsia"/>
          <w:color w:val="000000"/>
          <w:sz w:val="28"/>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2</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年“政协委员大讲堂”系列活动培训经费绩效目标表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13013025P00000210137W</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10.00</w:t>
            </w:r>
          </w:p>
        </w:tc>
        <w:tc>
          <w:tcPr>
            <w:tcW w:w="2835" w:type="dxa"/>
            <w:vAlign w:val="center"/>
          </w:tcPr>
          <w:p>
            <w:pPr>
              <w:pStyle w:val="10"/>
            </w:pPr>
            <w:r>
              <w:t>其中：财政    资金</w:t>
            </w:r>
          </w:p>
        </w:tc>
        <w:tc>
          <w:tcPr>
            <w:tcW w:w="2551" w:type="dxa"/>
            <w:vAlign w:val="center"/>
          </w:tcPr>
          <w:p>
            <w:pPr>
              <w:pStyle w:val="12"/>
            </w:pPr>
            <w:r>
              <w:t>10.00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政协委员大讲堂系列活动培训经费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2.50</w:t>
            </w:r>
          </w:p>
        </w:tc>
        <w:tc>
          <w:tcPr>
            <w:tcW w:w="2835" w:type="dxa"/>
            <w:vAlign w:val="center"/>
          </w:tcPr>
          <w:p>
            <w:pPr>
              <w:pStyle w:val="13"/>
            </w:pPr>
            <w:r>
              <w:t>5.00</w:t>
            </w:r>
          </w:p>
        </w:tc>
        <w:tc>
          <w:tcPr>
            <w:tcW w:w="2551" w:type="dxa"/>
            <w:vAlign w:val="center"/>
          </w:tcPr>
          <w:p>
            <w:pPr>
              <w:pStyle w:val="13"/>
            </w:pPr>
            <w:r>
              <w:t>7.50</w:t>
            </w:r>
          </w:p>
        </w:tc>
        <w:tc>
          <w:tcPr>
            <w:tcW w:w="3543" w:type="dxa"/>
            <w:gridSpan w:val="2"/>
            <w:vAlign w:val="center"/>
          </w:tcPr>
          <w:p>
            <w:pPr>
              <w:pStyle w:val="13"/>
            </w:pPr>
            <w:r>
              <w:t>10.00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3747"/>
        <w:gridCol w:w="3907"/>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3747" w:type="dxa"/>
            <w:vAlign w:val="center"/>
          </w:tcPr>
          <w:p>
            <w:pPr>
              <w:pStyle w:val="10"/>
            </w:pPr>
            <w:r>
              <w:t>绩效指标描述</w:t>
            </w:r>
          </w:p>
        </w:tc>
        <w:tc>
          <w:tcPr>
            <w:tcW w:w="3907"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组织培训、会议次数（次）</w:t>
            </w:r>
          </w:p>
        </w:tc>
        <w:tc>
          <w:tcPr>
            <w:tcW w:w="3747" w:type="dxa"/>
            <w:vAlign w:val="center"/>
          </w:tcPr>
          <w:p>
            <w:pPr>
              <w:pStyle w:val="12"/>
            </w:pPr>
            <w:r>
              <w:t>组织培训、会议次数（次）</w:t>
            </w:r>
          </w:p>
        </w:tc>
        <w:tc>
          <w:tcPr>
            <w:tcW w:w="3907" w:type="dxa"/>
            <w:vAlign w:val="center"/>
          </w:tcPr>
          <w:p>
            <w:pPr>
              <w:pStyle w:val="12"/>
            </w:pPr>
            <w:r>
              <w:t>≥98组织培训、会议次数（次）</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培训计划按期完成率（%）</w:t>
            </w:r>
          </w:p>
        </w:tc>
        <w:tc>
          <w:tcPr>
            <w:tcW w:w="3747" w:type="dxa"/>
            <w:vAlign w:val="center"/>
          </w:tcPr>
          <w:p>
            <w:pPr>
              <w:pStyle w:val="12"/>
            </w:pPr>
            <w:r>
              <w:t>培训计划按期完成率（%）</w:t>
            </w:r>
          </w:p>
        </w:tc>
        <w:tc>
          <w:tcPr>
            <w:tcW w:w="3907" w:type="dxa"/>
            <w:vAlign w:val="center"/>
          </w:tcPr>
          <w:p>
            <w:pPr>
              <w:pStyle w:val="12"/>
            </w:pPr>
            <w:r>
              <w:t>≥98培训计划按期完成率（%）</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培训按时完成情况</w:t>
            </w:r>
          </w:p>
        </w:tc>
        <w:tc>
          <w:tcPr>
            <w:tcW w:w="3747" w:type="dxa"/>
            <w:vAlign w:val="center"/>
          </w:tcPr>
          <w:p>
            <w:pPr>
              <w:pStyle w:val="12"/>
            </w:pPr>
            <w:r>
              <w:t>培训按时完成情况</w:t>
            </w:r>
          </w:p>
        </w:tc>
        <w:tc>
          <w:tcPr>
            <w:tcW w:w="3907" w:type="dxa"/>
            <w:vAlign w:val="center"/>
          </w:tcPr>
          <w:p>
            <w:pPr>
              <w:pStyle w:val="12"/>
            </w:pPr>
            <w:r>
              <w:t>≥98培训按时完成情况</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培训费用</w:t>
            </w:r>
          </w:p>
        </w:tc>
        <w:tc>
          <w:tcPr>
            <w:tcW w:w="3747" w:type="dxa"/>
            <w:vAlign w:val="center"/>
          </w:tcPr>
          <w:p>
            <w:pPr>
              <w:pStyle w:val="12"/>
            </w:pPr>
            <w:r>
              <w:t>培训费用</w:t>
            </w:r>
          </w:p>
        </w:tc>
        <w:tc>
          <w:tcPr>
            <w:tcW w:w="3907" w:type="dxa"/>
            <w:vAlign w:val="center"/>
          </w:tcPr>
          <w:p>
            <w:pPr>
              <w:pStyle w:val="12"/>
            </w:pPr>
            <w:r>
              <w:t>≥98召开培训会议</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3747" w:type="dxa"/>
            <w:vAlign w:val="center"/>
          </w:tcPr>
          <w:p>
            <w:pPr>
              <w:pStyle w:val="12"/>
            </w:pPr>
            <w:r>
              <w:t>经济效益指标</w:t>
            </w:r>
          </w:p>
        </w:tc>
        <w:tc>
          <w:tcPr>
            <w:tcW w:w="3907" w:type="dxa"/>
            <w:vAlign w:val="center"/>
          </w:tcPr>
          <w:p>
            <w:pPr>
              <w:pStyle w:val="12"/>
            </w:pPr>
            <w:r>
              <w:t>≥98促进我县经济的发展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社会影响力</w:t>
            </w:r>
          </w:p>
        </w:tc>
        <w:tc>
          <w:tcPr>
            <w:tcW w:w="3747" w:type="dxa"/>
            <w:vAlign w:val="center"/>
          </w:tcPr>
          <w:p>
            <w:pPr>
              <w:pStyle w:val="12"/>
            </w:pPr>
            <w:r>
              <w:t>通过开展信息宣传工作，创造良好的舆论氛围，使政协工作得到广大受众的充分认可。</w:t>
            </w:r>
          </w:p>
        </w:tc>
        <w:tc>
          <w:tcPr>
            <w:tcW w:w="3907" w:type="dxa"/>
            <w:vAlign w:val="center"/>
          </w:tcPr>
          <w:p>
            <w:pPr>
              <w:pStyle w:val="12"/>
            </w:pPr>
            <w:r>
              <w:t>≥98通过开展信息宣传工作，创造良好的舆论氛围，使政协工作得到广大受众的充分认可。</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3747" w:type="dxa"/>
            <w:vAlign w:val="center"/>
          </w:tcPr>
          <w:p>
            <w:pPr>
              <w:pStyle w:val="12"/>
            </w:pPr>
            <w:r>
              <w:t>生态效益指标</w:t>
            </w:r>
          </w:p>
        </w:tc>
        <w:tc>
          <w:tcPr>
            <w:tcW w:w="3907"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任务计划完成率</w:t>
            </w:r>
          </w:p>
        </w:tc>
        <w:tc>
          <w:tcPr>
            <w:tcW w:w="3747" w:type="dxa"/>
            <w:vAlign w:val="center"/>
          </w:tcPr>
          <w:p>
            <w:pPr>
              <w:pStyle w:val="12"/>
            </w:pPr>
            <w:r>
              <w:t>任务计划完成率</w:t>
            </w:r>
          </w:p>
        </w:tc>
        <w:tc>
          <w:tcPr>
            <w:tcW w:w="3907" w:type="dxa"/>
            <w:vAlign w:val="center"/>
          </w:tcPr>
          <w:p>
            <w:pPr>
              <w:pStyle w:val="12"/>
            </w:pPr>
            <w:r>
              <w:t>≥98可持续影响</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3747" w:type="dxa"/>
            <w:vAlign w:val="center"/>
          </w:tcPr>
          <w:p>
            <w:pPr>
              <w:pStyle w:val="12"/>
            </w:pPr>
            <w:r>
              <w:t>服务对象满意度</w:t>
            </w:r>
          </w:p>
        </w:tc>
        <w:tc>
          <w:tcPr>
            <w:tcW w:w="3907" w:type="dxa"/>
            <w:vAlign w:val="center"/>
          </w:tcPr>
          <w:p>
            <w:pPr>
              <w:pStyle w:val="12"/>
            </w:pPr>
            <w:r>
              <w:t>≥98服务对象满意</w:t>
            </w:r>
          </w:p>
        </w:tc>
        <w:tc>
          <w:tcPr>
            <w:tcW w:w="1276" w:type="dxa"/>
            <w:vAlign w:val="center"/>
          </w:tcPr>
          <w:p>
            <w:pPr>
              <w:pStyle w:val="12"/>
            </w:pPr>
            <w:r>
              <w:t>历年经验</w:t>
            </w:r>
          </w:p>
        </w:tc>
      </w:tr>
    </w:tbl>
    <w:p>
      <w:pPr>
        <w:rPr>
          <w:rFonts w:eastAsiaTheme="minorEastAsia"/>
          <w:lang w:eastAsia="zh-CN"/>
        </w:rPr>
      </w:pPr>
    </w:p>
    <w:p>
      <w:pPr>
        <w:ind w:firstLine="560"/>
      </w:pPr>
      <w:r>
        <w:rPr>
          <w:rFonts w:hint="eastAsia" w:ascii="方正仿宋_GBK" w:hAnsi="方正仿宋_GBK" w:cs="方正仿宋_GBK" w:eastAsiaTheme="minorEastAsia"/>
          <w:color w:val="000000"/>
          <w:sz w:val="28"/>
          <w:lang w:eastAsia="zh-CN"/>
        </w:rPr>
        <w:t>3</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年汇编印制《无极印谱》专项经费绩效目标表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13013025P00000210138G</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5.00</w:t>
            </w:r>
          </w:p>
        </w:tc>
        <w:tc>
          <w:tcPr>
            <w:tcW w:w="2835" w:type="dxa"/>
            <w:vAlign w:val="center"/>
          </w:tcPr>
          <w:p>
            <w:pPr>
              <w:pStyle w:val="10"/>
            </w:pPr>
            <w:r>
              <w:t>其中：财政    资金</w:t>
            </w:r>
          </w:p>
        </w:tc>
        <w:tc>
          <w:tcPr>
            <w:tcW w:w="2551" w:type="dxa"/>
            <w:vAlign w:val="center"/>
          </w:tcPr>
          <w:p>
            <w:pPr>
              <w:pStyle w:val="12"/>
            </w:pPr>
            <w:r>
              <w:t>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w:t>
            </w:r>
            <w:r>
              <w:rPr>
                <w:rFonts w:hint="eastAsia" w:eastAsiaTheme="minorEastAsia"/>
              </w:rPr>
              <w:t>5</w:t>
            </w:r>
            <w:r>
              <w:t>年汇编印制《无极印谱》专项经费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1.25</w:t>
            </w:r>
          </w:p>
        </w:tc>
        <w:tc>
          <w:tcPr>
            <w:tcW w:w="2835" w:type="dxa"/>
            <w:vAlign w:val="center"/>
          </w:tcPr>
          <w:p>
            <w:pPr>
              <w:pStyle w:val="13"/>
            </w:pPr>
            <w:r>
              <w:t>2.50</w:t>
            </w:r>
          </w:p>
        </w:tc>
        <w:tc>
          <w:tcPr>
            <w:tcW w:w="2551" w:type="dxa"/>
            <w:vAlign w:val="center"/>
          </w:tcPr>
          <w:p>
            <w:pPr>
              <w:pStyle w:val="13"/>
            </w:pPr>
            <w:r>
              <w:t>3.75</w:t>
            </w:r>
          </w:p>
        </w:tc>
        <w:tc>
          <w:tcPr>
            <w:tcW w:w="3543" w:type="dxa"/>
            <w:gridSpan w:val="2"/>
            <w:vAlign w:val="center"/>
          </w:tcPr>
          <w:p>
            <w:pPr>
              <w:pStyle w:val="13"/>
            </w:pPr>
            <w:r>
              <w:t>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1.目标内容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编印数量</w:t>
            </w:r>
          </w:p>
        </w:tc>
        <w:tc>
          <w:tcPr>
            <w:tcW w:w="5386" w:type="dxa"/>
            <w:vAlign w:val="center"/>
          </w:tcPr>
          <w:p>
            <w:pPr>
              <w:pStyle w:val="12"/>
            </w:pPr>
            <w:r>
              <w:t>编印数量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编印完成时限</w:t>
            </w:r>
          </w:p>
        </w:tc>
        <w:tc>
          <w:tcPr>
            <w:tcW w:w="5386" w:type="dxa"/>
            <w:vAlign w:val="center"/>
          </w:tcPr>
          <w:p>
            <w:pPr>
              <w:pStyle w:val="12"/>
            </w:pPr>
            <w:r>
              <w:t>编印完成时限</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编印费</w:t>
            </w:r>
          </w:p>
        </w:tc>
        <w:tc>
          <w:tcPr>
            <w:tcW w:w="5386" w:type="dxa"/>
            <w:vAlign w:val="center"/>
          </w:tcPr>
          <w:p>
            <w:pPr>
              <w:pStyle w:val="12"/>
            </w:pPr>
            <w:r>
              <w:t>编印费</w:t>
            </w:r>
          </w:p>
        </w:tc>
        <w:tc>
          <w:tcPr>
            <w:tcW w:w="2268" w:type="dxa"/>
            <w:vAlign w:val="center"/>
          </w:tcPr>
          <w:p>
            <w:pPr>
              <w:pStyle w:val="12"/>
            </w:pPr>
            <w:r>
              <w:t>≥98</w:t>
            </w:r>
          </w:p>
        </w:tc>
        <w:tc>
          <w:tcPr>
            <w:tcW w:w="1276" w:type="dxa"/>
            <w:vAlign w:val="center"/>
          </w:tcPr>
          <w:p>
            <w:pPr>
              <w:pStyle w:val="12"/>
            </w:pPr>
            <w:r>
              <w:t>工作安排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社会效益显著</w:t>
            </w:r>
          </w:p>
        </w:tc>
        <w:tc>
          <w:tcPr>
            <w:tcW w:w="5386" w:type="dxa"/>
            <w:vAlign w:val="center"/>
          </w:tcPr>
          <w:p>
            <w:pPr>
              <w:pStyle w:val="12"/>
            </w:pPr>
            <w:r>
              <w:t>社会效益显著</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服务满意度</w:t>
            </w:r>
          </w:p>
        </w:tc>
        <w:tc>
          <w:tcPr>
            <w:tcW w:w="5386" w:type="dxa"/>
            <w:vAlign w:val="center"/>
          </w:tcPr>
          <w:p>
            <w:pPr>
              <w:pStyle w:val="12"/>
            </w:pPr>
            <w:r>
              <w:t>服务满意度</w:t>
            </w:r>
          </w:p>
        </w:tc>
        <w:tc>
          <w:tcPr>
            <w:tcW w:w="2268" w:type="dxa"/>
            <w:vAlign w:val="center"/>
          </w:tcPr>
          <w:p>
            <w:pPr>
              <w:pStyle w:val="12"/>
            </w:pPr>
            <w:r>
              <w:t>≥98</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rPr>
          <w:rFonts w:hint="eastAsia" w:ascii="方正仿宋_GBK" w:hAnsi="方正仿宋_GBK" w:cs="方正仿宋_GBK" w:eastAsiaTheme="minorEastAsia"/>
          <w:color w:val="000000"/>
          <w:sz w:val="28"/>
          <w:lang w:eastAsia="zh-CN"/>
        </w:rPr>
      </w:pPr>
    </w:p>
    <w:p>
      <w:pPr>
        <w:ind w:firstLine="560"/>
        <w:rPr>
          <w:rFonts w:hint="eastAsia" w:ascii="方正仿宋_GBK" w:hAnsi="方正仿宋_GBK" w:cs="方正仿宋_GBK" w:eastAsiaTheme="minorEastAsia"/>
          <w:color w:val="000000"/>
          <w:sz w:val="28"/>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4</w:t>
      </w:r>
      <w:r>
        <w:rPr>
          <w:rFonts w:ascii="方正仿宋_GBK" w:hAnsi="方正仿宋_GBK" w:eastAsia="方正仿宋_GBK" w:cs="方正仿宋_GBK"/>
          <w:color w:val="000000"/>
          <w:sz w:val="28"/>
        </w:rPr>
        <w:t>、202</w:t>
      </w: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年李狄三红色文化工作专项经费绩效目标表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13013025P000002101369</w:t>
            </w:r>
          </w:p>
        </w:tc>
        <w:tc>
          <w:tcPr>
            <w:tcW w:w="2835" w:type="dxa"/>
            <w:vAlign w:val="center"/>
          </w:tcPr>
          <w:p>
            <w:pPr>
              <w:pStyle w:val="10"/>
            </w:pPr>
            <w:r>
              <w:t>项目名称</w:t>
            </w:r>
          </w:p>
        </w:tc>
        <w:tc>
          <w:tcPr>
            <w:tcW w:w="6094" w:type="dxa"/>
            <w:gridSpan w:val="3"/>
            <w:vAlign w:val="center"/>
          </w:tcPr>
          <w:p>
            <w:pPr>
              <w:pStyle w:val="12"/>
            </w:pPr>
            <w:r>
              <w:t>202</w:t>
            </w:r>
            <w:r>
              <w:rPr>
                <w:rFonts w:hint="eastAsia" w:eastAsiaTheme="minorEastAsia"/>
              </w:rPr>
              <w:t>5</w:t>
            </w:r>
            <w:r>
              <w:t>年李狄三红色文化工作专项经费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15.00</w:t>
            </w:r>
          </w:p>
        </w:tc>
        <w:tc>
          <w:tcPr>
            <w:tcW w:w="2835" w:type="dxa"/>
            <w:vAlign w:val="center"/>
          </w:tcPr>
          <w:p>
            <w:pPr>
              <w:pStyle w:val="10"/>
            </w:pPr>
            <w:r>
              <w:t>其中：财政    资金</w:t>
            </w:r>
          </w:p>
        </w:tc>
        <w:tc>
          <w:tcPr>
            <w:tcW w:w="2551" w:type="dxa"/>
            <w:vAlign w:val="center"/>
          </w:tcPr>
          <w:p>
            <w:pPr>
              <w:pStyle w:val="12"/>
            </w:pPr>
            <w:r>
              <w:t>15.00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李狄三红色文化专项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1.李狄三红色文化工作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数据整理完成率</w:t>
            </w:r>
          </w:p>
        </w:tc>
        <w:tc>
          <w:tcPr>
            <w:tcW w:w="5386" w:type="dxa"/>
            <w:vAlign w:val="center"/>
          </w:tcPr>
          <w:p>
            <w:pPr>
              <w:pStyle w:val="12"/>
            </w:pPr>
            <w:r>
              <w:t>数据整理完成率</w:t>
            </w:r>
          </w:p>
        </w:tc>
        <w:tc>
          <w:tcPr>
            <w:tcW w:w="2268" w:type="dxa"/>
            <w:vAlign w:val="center"/>
          </w:tcPr>
          <w:p>
            <w:pPr>
              <w:pStyle w:val="12"/>
            </w:pPr>
            <w:r>
              <w:t>≥98考证、收集、整理、挖掘、编审、书号、印制李狄三红色文化资料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印制质量</w:t>
            </w:r>
          </w:p>
        </w:tc>
        <w:tc>
          <w:tcPr>
            <w:tcW w:w="5386" w:type="dxa"/>
            <w:vAlign w:val="center"/>
          </w:tcPr>
          <w:p>
            <w:pPr>
              <w:pStyle w:val="12"/>
            </w:pPr>
            <w:r>
              <w:t>印制质量</w:t>
            </w:r>
          </w:p>
        </w:tc>
        <w:tc>
          <w:tcPr>
            <w:tcW w:w="2268" w:type="dxa"/>
            <w:vAlign w:val="center"/>
          </w:tcPr>
          <w:p>
            <w:pPr>
              <w:pStyle w:val="12"/>
            </w:pPr>
            <w:r>
              <w:t>≥98收集、整理、挖掘、编审、印制李狄三相关宣传</w:t>
            </w:r>
            <w:r>
              <w:rPr>
                <w:rFonts w:hint="eastAsia"/>
                <w:lang w:eastAsia="zh-CN"/>
              </w:rPr>
              <w:t>报道</w:t>
            </w:r>
            <w:r>
              <w:t>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按时完成编制规划任务</w:t>
            </w:r>
          </w:p>
        </w:tc>
        <w:tc>
          <w:tcPr>
            <w:tcW w:w="5386" w:type="dxa"/>
            <w:vAlign w:val="center"/>
          </w:tcPr>
          <w:p>
            <w:pPr>
              <w:pStyle w:val="12"/>
            </w:pPr>
            <w:r>
              <w:t>按时完成编制任务</w:t>
            </w:r>
          </w:p>
        </w:tc>
        <w:tc>
          <w:tcPr>
            <w:tcW w:w="2268" w:type="dxa"/>
            <w:vAlign w:val="center"/>
          </w:tcPr>
          <w:p>
            <w:pPr>
              <w:pStyle w:val="12"/>
            </w:pPr>
            <w:r>
              <w:t>≥98按时完成编制任务</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成本控制</w:t>
            </w:r>
          </w:p>
        </w:tc>
        <w:tc>
          <w:tcPr>
            <w:tcW w:w="5386" w:type="dxa"/>
            <w:vAlign w:val="center"/>
          </w:tcPr>
          <w:p>
            <w:pPr>
              <w:pStyle w:val="12"/>
            </w:pPr>
            <w:r>
              <w:t>成本控制</w:t>
            </w:r>
          </w:p>
        </w:tc>
        <w:tc>
          <w:tcPr>
            <w:tcW w:w="2268"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≥98经济效益指标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5386" w:type="dxa"/>
            <w:vAlign w:val="center"/>
          </w:tcPr>
          <w:p>
            <w:pPr>
              <w:pStyle w:val="12"/>
            </w:pPr>
            <w:r>
              <w:t>社会效益指标</w:t>
            </w:r>
          </w:p>
        </w:tc>
        <w:tc>
          <w:tcPr>
            <w:tcW w:w="2268" w:type="dxa"/>
            <w:vAlign w:val="center"/>
          </w:tcPr>
          <w:p>
            <w:pPr>
              <w:pStyle w:val="12"/>
            </w:pPr>
            <w:r>
              <w:t>≥98社会效益指标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生态效益指标</w:t>
            </w:r>
          </w:p>
        </w:tc>
        <w:tc>
          <w:tcPr>
            <w:tcW w:w="2835" w:type="dxa"/>
            <w:vAlign w:val="center"/>
          </w:tcPr>
          <w:p>
            <w:pPr>
              <w:pStyle w:val="12"/>
            </w:pPr>
            <w:r>
              <w:t>生态效益指标</w:t>
            </w:r>
          </w:p>
        </w:tc>
        <w:tc>
          <w:tcPr>
            <w:tcW w:w="5386" w:type="dxa"/>
            <w:vAlign w:val="center"/>
          </w:tcPr>
          <w:p>
            <w:pPr>
              <w:pStyle w:val="12"/>
            </w:pPr>
            <w:r>
              <w:t>生态效益指标</w:t>
            </w:r>
          </w:p>
        </w:tc>
        <w:tc>
          <w:tcPr>
            <w:tcW w:w="2268" w:type="dxa"/>
            <w:vAlign w:val="center"/>
          </w:tcPr>
          <w:p>
            <w:pPr>
              <w:pStyle w:val="12"/>
            </w:pPr>
            <w:r>
              <w:t>≥98生态效益指标</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可持续影响指标</w:t>
            </w:r>
          </w:p>
        </w:tc>
        <w:tc>
          <w:tcPr>
            <w:tcW w:w="2835" w:type="dxa"/>
            <w:vAlign w:val="center"/>
          </w:tcPr>
          <w:p>
            <w:pPr>
              <w:pStyle w:val="12"/>
            </w:pPr>
            <w:r>
              <w:t>可持续性服务</w:t>
            </w:r>
          </w:p>
        </w:tc>
        <w:tc>
          <w:tcPr>
            <w:tcW w:w="5386" w:type="dxa"/>
            <w:vAlign w:val="center"/>
          </w:tcPr>
          <w:p>
            <w:pPr>
              <w:pStyle w:val="12"/>
            </w:pPr>
            <w:r>
              <w:t>可持续性服务</w:t>
            </w:r>
          </w:p>
        </w:tc>
        <w:tc>
          <w:tcPr>
            <w:tcW w:w="2268" w:type="dxa"/>
            <w:vAlign w:val="center"/>
          </w:tcPr>
          <w:p>
            <w:pPr>
              <w:pStyle w:val="12"/>
            </w:pPr>
            <w:r>
              <w:t>≥98可持续性服务</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≥98服务对象满意度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5</w:t>
      </w:r>
      <w:r>
        <w:rPr>
          <w:rFonts w:ascii="方正仿宋_GBK" w:hAnsi="方正仿宋_GBK" w:eastAsia="方正仿宋_GBK" w:cs="方正仿宋_GBK"/>
          <w:color w:val="000000"/>
          <w:sz w:val="28"/>
        </w:rPr>
        <w:t>、</w:t>
      </w:r>
      <w:r>
        <w:rPr>
          <w:rFonts w:hint="eastAsia" w:ascii="方正仿宋_GBK" w:hAnsi="方正仿宋_GBK" w:cs="方正仿宋_GBK" w:eastAsiaTheme="minorEastAsia"/>
          <w:color w:val="000000"/>
          <w:sz w:val="28"/>
          <w:lang w:eastAsia="zh-CN"/>
        </w:rPr>
        <w:t>各专委会</w:t>
      </w:r>
      <w:r>
        <w:rPr>
          <w:rFonts w:ascii="方正仿宋_GBK" w:hAnsi="方正仿宋_GBK" w:eastAsia="方正仿宋_GBK" w:cs="方正仿宋_GBK"/>
          <w:color w:val="000000"/>
          <w:sz w:val="28"/>
        </w:rPr>
        <w:t>专项经费绩效目标表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13013025P000002101394</w:t>
            </w:r>
          </w:p>
        </w:tc>
        <w:tc>
          <w:tcPr>
            <w:tcW w:w="2835" w:type="dxa"/>
            <w:vAlign w:val="center"/>
          </w:tcPr>
          <w:p>
            <w:pPr>
              <w:pStyle w:val="10"/>
            </w:pPr>
            <w:r>
              <w:t>项目名称</w:t>
            </w:r>
          </w:p>
        </w:tc>
        <w:tc>
          <w:tcPr>
            <w:tcW w:w="6094" w:type="dxa"/>
            <w:gridSpan w:val="3"/>
            <w:vAlign w:val="center"/>
          </w:tcPr>
          <w:p>
            <w:pPr>
              <w:pStyle w:val="12"/>
            </w:pPr>
            <w:r>
              <w:rPr>
                <w:rFonts w:hint="eastAsia" w:ascii="方正仿宋_GBK" w:hAnsi="方正仿宋_GBK" w:cs="方正仿宋_GBK" w:eastAsiaTheme="minorEastAsia"/>
                <w:color w:val="000000"/>
                <w:szCs w:val="21"/>
              </w:rPr>
              <w:t>各</w:t>
            </w:r>
            <w:r>
              <w:rPr>
                <w:rFonts w:hint="eastAsia"/>
              </w:rPr>
              <w:t>专委会</w:t>
            </w:r>
            <w:r>
              <w:t>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2</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2</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年政协各专委会活动经费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年政协各专委会活动经费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1916"/>
        <w:gridCol w:w="573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1916" w:type="dxa"/>
            <w:vAlign w:val="center"/>
          </w:tcPr>
          <w:p>
            <w:pPr>
              <w:pStyle w:val="10"/>
            </w:pPr>
            <w:r>
              <w:t>绩效指标描述</w:t>
            </w:r>
          </w:p>
        </w:tc>
        <w:tc>
          <w:tcPr>
            <w:tcW w:w="573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举办活动场次</w:t>
                  </w:r>
                </w:p>
              </w:tc>
            </w:tr>
          </w:tbl>
          <w:p>
            <w:pPr>
              <w:pStyle w:val="12"/>
              <w:rPr>
                <w:rFonts w:hint="eastAsia" w:eastAsiaTheme="minorEastAsia"/>
              </w:rPr>
            </w:pPr>
          </w:p>
        </w:tc>
        <w:tc>
          <w:tcPr>
            <w:tcW w:w="1916" w:type="dxa"/>
            <w:vAlign w:val="center"/>
          </w:tcPr>
          <w:p>
            <w:pPr>
              <w:pStyle w:val="12"/>
            </w:pPr>
            <w:r>
              <w:rPr>
                <w:rFonts w:ascii="Calibri" w:hAnsi="Calibri" w:eastAsia="宋体" w:cs="宋体"/>
                <w:color w:val="000000"/>
                <w:sz w:val="22"/>
                <w:szCs w:val="22"/>
              </w:rPr>
              <w:t>举办活动场次</w:t>
            </w:r>
          </w:p>
        </w:tc>
        <w:tc>
          <w:tcPr>
            <w:tcW w:w="5738" w:type="dxa"/>
            <w:vAlign w:val="center"/>
          </w:tcPr>
          <w:p>
            <w:pPr>
              <w:pStyle w:val="12"/>
            </w:pPr>
            <w:r>
              <w:t>≥98</w:t>
            </w:r>
            <w:r>
              <w:rPr>
                <w:rFonts w:hint="eastAsia"/>
              </w:rPr>
              <w:t>各专委会开展各类调研、协商等活动。</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活动组织满意度</w:t>
            </w:r>
          </w:p>
        </w:tc>
        <w:tc>
          <w:tcPr>
            <w:tcW w:w="1916" w:type="dxa"/>
            <w:vAlign w:val="center"/>
          </w:tcPr>
          <w:p>
            <w:pPr>
              <w:pStyle w:val="12"/>
            </w:pPr>
            <w:r>
              <w:rPr>
                <w:rFonts w:ascii="Calibri" w:hAnsi="Calibri" w:eastAsia="宋体" w:cs="宋体"/>
                <w:color w:val="000000"/>
                <w:sz w:val="22"/>
                <w:szCs w:val="22"/>
              </w:rPr>
              <w:t>活动组织满意度</w:t>
            </w:r>
          </w:p>
        </w:tc>
        <w:tc>
          <w:tcPr>
            <w:tcW w:w="5738" w:type="dxa"/>
            <w:vAlign w:val="center"/>
          </w:tcPr>
          <w:p>
            <w:pPr>
              <w:pStyle w:val="12"/>
            </w:pPr>
            <w:r>
              <w:t>≥98</w:t>
            </w:r>
            <w:r>
              <w:rPr>
                <w:rFonts w:hint="eastAsia"/>
              </w:rPr>
              <w:t>调研报告、提案、建议等展示专委会活动工作成果</w:t>
            </w:r>
            <w:r>
              <w:t>三相关宣传</w:t>
            </w:r>
            <w:r>
              <w:rPr>
                <w:rFonts w:hint="eastAsia"/>
                <w:lang w:eastAsia="zh-CN"/>
              </w:rPr>
              <w:t>报道</w:t>
            </w:r>
            <w:r>
              <w:t>资料</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工作完成时限</w:t>
            </w:r>
          </w:p>
        </w:tc>
        <w:tc>
          <w:tcPr>
            <w:tcW w:w="1916" w:type="dxa"/>
            <w:vAlign w:val="center"/>
          </w:tcPr>
          <w:p>
            <w:pPr>
              <w:pStyle w:val="12"/>
            </w:pPr>
            <w:r>
              <w:t>按时完成编制任务</w:t>
            </w:r>
          </w:p>
        </w:tc>
        <w:tc>
          <w:tcPr>
            <w:tcW w:w="5738" w:type="dxa"/>
            <w:vAlign w:val="center"/>
          </w:tcPr>
          <w:p>
            <w:pPr>
              <w:pStyle w:val="12"/>
            </w:pPr>
            <w:r>
              <w:t>≥98按时完成</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项目预算控制</w:t>
            </w:r>
          </w:p>
        </w:tc>
        <w:tc>
          <w:tcPr>
            <w:tcW w:w="1916" w:type="dxa"/>
            <w:vAlign w:val="center"/>
          </w:tcPr>
          <w:p>
            <w:pPr>
              <w:pStyle w:val="12"/>
            </w:pPr>
            <w:r>
              <w:t>成本控制</w:t>
            </w:r>
          </w:p>
        </w:tc>
        <w:tc>
          <w:tcPr>
            <w:tcW w:w="5738" w:type="dxa"/>
            <w:vAlign w:val="center"/>
          </w:tcPr>
          <w:p>
            <w:pPr>
              <w:pStyle w:val="12"/>
            </w:pPr>
            <w:r>
              <w:t>≥98</w:t>
            </w:r>
            <w:r>
              <w:rPr>
                <w:rFonts w:hint="eastAsia" w:ascii="宋体" w:hAnsi="宋体" w:eastAsia="宋体" w:cs="宋体"/>
                <w:color w:val="000000"/>
                <w:sz w:val="22"/>
                <w:szCs w:val="22"/>
                <w:lang w:eastAsia="zh-CN"/>
              </w:rPr>
              <w:t>各专委会开展各类活动成本</w:t>
            </w:r>
          </w:p>
          <w:p>
            <w:pPr>
              <w:pStyle w:val="12"/>
            </w:pP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1916" w:type="dxa"/>
            <w:vAlign w:val="center"/>
          </w:tcPr>
          <w:p>
            <w:pPr>
              <w:pStyle w:val="12"/>
            </w:pPr>
            <w:r>
              <w:t>经济效益指标</w:t>
            </w:r>
          </w:p>
        </w:tc>
        <w:tc>
          <w:tcPr>
            <w:tcW w:w="5738" w:type="dxa"/>
            <w:vAlign w:val="center"/>
          </w:tcPr>
          <w:p>
            <w:pPr>
              <w:pStyle w:val="12"/>
            </w:pPr>
            <w:r>
              <w:t>≥98</w:t>
            </w:r>
            <w:r>
              <w:rPr>
                <w:rFonts w:ascii="Calibri" w:hAnsi="Calibri" w:eastAsia="宋体" w:cs="宋体"/>
                <w:color w:val="000000"/>
                <w:sz w:val="22"/>
                <w:szCs w:val="22"/>
              </w:rPr>
              <w:t>提案建议围绕本地优势产业，深入调研</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t>社会效益指标</w:t>
            </w:r>
          </w:p>
        </w:tc>
        <w:tc>
          <w:tcPr>
            <w:tcW w:w="1916" w:type="dxa"/>
            <w:vAlign w:val="center"/>
          </w:tcPr>
          <w:p>
            <w:pPr>
              <w:pStyle w:val="12"/>
            </w:pPr>
            <w:r>
              <w:t>社会效益指标</w:t>
            </w:r>
          </w:p>
        </w:tc>
        <w:tc>
          <w:tcPr>
            <w:tcW w:w="5738" w:type="dxa"/>
            <w:vAlign w:val="center"/>
          </w:tcPr>
          <w:p>
            <w:pPr>
              <w:pStyle w:val="12"/>
            </w:pPr>
            <w:r>
              <w:t>≥98</w:t>
            </w:r>
          </w:p>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专委会开展活动政策建议</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1916" w:type="dxa"/>
            <w:vAlign w:val="center"/>
          </w:tcPr>
          <w:p>
            <w:pPr>
              <w:pStyle w:val="12"/>
              <w:rPr>
                <w:rFonts w:hint="eastAsia" w:eastAsiaTheme="minorEastAsia"/>
              </w:rPr>
            </w:pPr>
          </w:p>
        </w:tc>
        <w:tc>
          <w:tcPr>
            <w:tcW w:w="573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1916" w:type="dxa"/>
            <w:vAlign w:val="center"/>
          </w:tcPr>
          <w:p>
            <w:pPr>
              <w:pStyle w:val="12"/>
              <w:rPr>
                <w:rFonts w:hint="eastAsia" w:eastAsiaTheme="minorEastAsia"/>
              </w:rPr>
            </w:pPr>
          </w:p>
        </w:tc>
        <w:tc>
          <w:tcPr>
            <w:tcW w:w="573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1916" w:type="dxa"/>
            <w:vAlign w:val="center"/>
          </w:tcPr>
          <w:p>
            <w:pPr>
              <w:pStyle w:val="12"/>
            </w:pPr>
            <w:r>
              <w:t>服务对象满意度（%）</w:t>
            </w:r>
          </w:p>
        </w:tc>
        <w:tc>
          <w:tcPr>
            <w:tcW w:w="5738" w:type="dxa"/>
            <w:vAlign w:val="center"/>
          </w:tcPr>
          <w:p>
            <w:pPr>
              <w:pStyle w:val="12"/>
            </w:pPr>
            <w:r>
              <w:t>≥98</w:t>
            </w:r>
            <w:r>
              <w:rPr>
                <w:rFonts w:hint="eastAsia" w:eastAsiaTheme="minorEastAsia"/>
              </w:rPr>
              <w:t>政协委员</w:t>
            </w:r>
            <w:r>
              <w:t>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6</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年政协提案专项经费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13013025P000002101394</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年政协提案专项经费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1</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1</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年政协提案专项经费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年政协提案专项经费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302"/>
        <w:gridCol w:w="5352"/>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302" w:type="dxa"/>
            <w:vAlign w:val="center"/>
          </w:tcPr>
          <w:p>
            <w:pPr>
              <w:pStyle w:val="10"/>
            </w:pPr>
            <w:r>
              <w:t>绩效指标描述</w:t>
            </w:r>
          </w:p>
        </w:tc>
        <w:tc>
          <w:tcPr>
            <w:tcW w:w="5352"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提案收集数量</w:t>
                        </w: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302"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提案收集数量</w:t>
                  </w:r>
                </w:p>
              </w:tc>
            </w:tr>
          </w:tbl>
          <w:p>
            <w:pPr>
              <w:pStyle w:val="12"/>
              <w:rPr>
                <w:rFonts w:hint="eastAsia" w:eastAsiaTheme="minorEastAsia"/>
              </w:rPr>
            </w:pPr>
          </w:p>
        </w:tc>
        <w:tc>
          <w:tcPr>
            <w:tcW w:w="5352" w:type="dxa"/>
            <w:vAlign w:val="center"/>
          </w:tcPr>
          <w:p>
            <w:pPr>
              <w:pStyle w:val="12"/>
            </w:pPr>
            <w:r>
              <w:t>≥98</w:t>
            </w:r>
            <w:r>
              <w:rPr>
                <w:rFonts w:hint="eastAsia"/>
              </w:rPr>
              <w:t>政协委员参与建言献策积极度及提案工作的覆盖面。</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提案立案率</w:t>
            </w:r>
          </w:p>
        </w:tc>
        <w:tc>
          <w:tcPr>
            <w:tcW w:w="2302"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提案立案率</w:t>
            </w:r>
          </w:p>
        </w:tc>
        <w:tc>
          <w:tcPr>
            <w:tcW w:w="5352" w:type="dxa"/>
            <w:vAlign w:val="center"/>
          </w:tcPr>
          <w:p>
            <w:pPr>
              <w:pStyle w:val="12"/>
            </w:pPr>
            <w:r>
              <w:t>≥98</w:t>
            </w:r>
            <w:r>
              <w:rPr>
                <w:rFonts w:hint="eastAsia"/>
              </w:rPr>
              <w:t>委员撰写提案的严谨性、调研深度</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提案办理反馈及时率</w:t>
            </w:r>
          </w:p>
        </w:tc>
        <w:tc>
          <w:tcPr>
            <w:tcW w:w="2302" w:type="dxa"/>
            <w:vAlign w:val="center"/>
          </w:tcPr>
          <w:p>
            <w:pPr>
              <w:pStyle w:val="12"/>
            </w:pPr>
            <w:r>
              <w:rPr>
                <w:rFonts w:ascii="Calibri" w:hAnsi="Calibri" w:eastAsia="宋体" w:cs="宋体"/>
                <w:color w:val="000000"/>
                <w:sz w:val="22"/>
                <w:szCs w:val="22"/>
              </w:rPr>
              <w:t>提案办理反馈及时率</w:t>
            </w:r>
          </w:p>
        </w:tc>
        <w:tc>
          <w:tcPr>
            <w:tcW w:w="5352" w:type="dxa"/>
            <w:vAlign w:val="center"/>
          </w:tcPr>
          <w:p>
            <w:pPr>
              <w:pStyle w:val="12"/>
            </w:pPr>
            <w:r>
              <w:t>≥98按时完成</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成本控制</w:t>
            </w:r>
          </w:p>
        </w:tc>
        <w:tc>
          <w:tcPr>
            <w:tcW w:w="2302" w:type="dxa"/>
            <w:vAlign w:val="center"/>
          </w:tcPr>
          <w:p>
            <w:pPr>
              <w:pStyle w:val="12"/>
            </w:pPr>
            <w:r>
              <w:t>成本控制</w:t>
            </w:r>
          </w:p>
        </w:tc>
        <w:tc>
          <w:tcPr>
            <w:tcW w:w="5352" w:type="dxa"/>
            <w:vAlign w:val="center"/>
          </w:tcPr>
          <w:p>
            <w:pPr>
              <w:pStyle w:val="12"/>
            </w:pPr>
            <w:r>
              <w:t>≥98成本控制</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2302" w:type="dxa"/>
            <w:vAlign w:val="center"/>
          </w:tcPr>
          <w:p>
            <w:pPr>
              <w:pStyle w:val="12"/>
            </w:pPr>
            <w:r>
              <w:t>经济效益指标</w:t>
            </w:r>
          </w:p>
        </w:tc>
        <w:tc>
          <w:tcPr>
            <w:tcW w:w="5352" w:type="dxa"/>
            <w:vAlign w:val="center"/>
          </w:tcPr>
          <w:p>
            <w:pPr>
              <w:pStyle w:val="12"/>
            </w:pPr>
            <w:r>
              <w:t>≥98</w:t>
            </w:r>
            <w:r>
              <w:rPr>
                <w:rFonts w:hint="eastAsia" w:ascii="Calibri" w:hAnsi="Calibri" w:eastAsia="宋体" w:cs="宋体"/>
                <w:color w:val="000000"/>
                <w:sz w:val="22"/>
                <w:szCs w:val="22"/>
              </w:rPr>
              <w:t>提案建议的目标是转化为政策推动经济发展</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社会影响度</w:t>
            </w:r>
          </w:p>
        </w:tc>
        <w:tc>
          <w:tcPr>
            <w:tcW w:w="2302" w:type="dxa"/>
            <w:vAlign w:val="center"/>
          </w:tcPr>
          <w:p>
            <w:pPr>
              <w:pStyle w:val="12"/>
            </w:pPr>
            <w:r>
              <w:rPr>
                <w:rFonts w:ascii="Calibri" w:hAnsi="Calibri" w:eastAsia="宋体" w:cs="宋体"/>
                <w:color w:val="000000"/>
                <w:sz w:val="22"/>
                <w:szCs w:val="22"/>
              </w:rPr>
              <w:t>社会影响度</w:t>
            </w:r>
          </w:p>
        </w:tc>
        <w:tc>
          <w:tcPr>
            <w:tcW w:w="5352" w:type="dxa"/>
            <w:vAlign w:val="center"/>
          </w:tcPr>
          <w:p>
            <w:pPr>
              <w:pStyle w:val="12"/>
            </w:pPr>
            <w:r>
              <w:t>≥98</w:t>
            </w:r>
          </w:p>
          <w:p>
            <w:pPr>
              <w:rPr>
                <w:rFonts w:hint="eastAsia" w:ascii="Calibri" w:hAnsi="Calibri" w:eastAsia="宋体" w:cs="宋体"/>
                <w:color w:val="000000"/>
                <w:sz w:val="22"/>
                <w:szCs w:val="22"/>
                <w:lang w:eastAsia="zh-CN"/>
              </w:rPr>
            </w:pPr>
            <w:r>
              <w:rPr>
                <w:rFonts w:hint="eastAsia" w:ascii="Calibri" w:hAnsi="Calibri" w:eastAsia="宋体" w:cs="宋体"/>
                <w:color w:val="000000"/>
                <w:sz w:val="22"/>
                <w:szCs w:val="22"/>
                <w:lang w:eastAsia="zh-CN"/>
              </w:rPr>
              <w:t>聚焦微观层面改善民生，服务社会大众</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2302" w:type="dxa"/>
            <w:vAlign w:val="center"/>
          </w:tcPr>
          <w:p>
            <w:pPr>
              <w:pStyle w:val="12"/>
              <w:rPr>
                <w:rFonts w:hint="eastAsia" w:eastAsiaTheme="minorEastAsia"/>
              </w:rPr>
            </w:pPr>
          </w:p>
        </w:tc>
        <w:tc>
          <w:tcPr>
            <w:tcW w:w="5352"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2302" w:type="dxa"/>
            <w:vAlign w:val="center"/>
          </w:tcPr>
          <w:p>
            <w:pPr>
              <w:pStyle w:val="12"/>
              <w:rPr>
                <w:rFonts w:hint="eastAsia" w:eastAsiaTheme="minorEastAsia"/>
              </w:rPr>
            </w:pPr>
          </w:p>
        </w:tc>
        <w:tc>
          <w:tcPr>
            <w:tcW w:w="5352"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302" w:type="dxa"/>
            <w:vAlign w:val="center"/>
          </w:tcPr>
          <w:p>
            <w:pPr>
              <w:pStyle w:val="12"/>
            </w:pPr>
            <w:r>
              <w:t>服务对象满意度（%）</w:t>
            </w:r>
          </w:p>
        </w:tc>
        <w:tc>
          <w:tcPr>
            <w:tcW w:w="5352" w:type="dxa"/>
            <w:vAlign w:val="center"/>
          </w:tcPr>
          <w:p>
            <w:pPr>
              <w:pStyle w:val="12"/>
            </w:pPr>
            <w:r>
              <w:t>≥98</w:t>
            </w:r>
            <w:r>
              <w:rPr>
                <w:rFonts w:hint="eastAsia" w:eastAsiaTheme="minorEastAsia"/>
              </w:rPr>
              <w:t>撰写委员提案工作满意度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7</w:t>
      </w:r>
      <w:r>
        <w:rPr>
          <w:rFonts w:ascii="方正仿宋_GBK" w:hAnsi="方正仿宋_GBK" w:eastAsia="方正仿宋_GBK" w:cs="方正仿宋_GBK"/>
          <w:color w:val="000000"/>
          <w:sz w:val="28"/>
        </w:rPr>
        <w:t>、2025</w:t>
      </w:r>
      <w:r>
        <w:rPr>
          <w:rFonts w:hint="eastAsia" w:ascii="方正仿宋_GBK" w:hAnsi="方正仿宋_GBK" w:eastAsia="方正仿宋_GBK" w:cs="方正仿宋_GBK"/>
          <w:color w:val="000000"/>
          <w:sz w:val="28"/>
        </w:rPr>
        <w:t>年政协工作站工作经费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13013025P00000210140F</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年政协工作站工作经费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2</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2</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年政协工作站工作经费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年政协工作站工作经费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1530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活动次数</w:t>
                              </w:r>
                            </w:p>
                          </w:tc>
                        </w:tr>
                      </w:tbl>
                      <w:p>
                        <w:pPr>
                          <w:rPr>
                            <w:rFonts w:ascii="Calibri" w:hAnsi="Calibri" w:eastAsia="宋体" w:cs="宋体"/>
                            <w:color w:val="000000"/>
                            <w:sz w:val="22"/>
                            <w:szCs w:val="22"/>
                            <w:lang w:eastAsia="zh-CN"/>
                          </w:rPr>
                        </w:pP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5386"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活动次数</w:t>
                        </w: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268" w:type="dxa"/>
            <w:vAlign w:val="center"/>
          </w:tcPr>
          <w:p>
            <w:pPr>
              <w:pStyle w:val="12"/>
            </w:pPr>
            <w:r>
              <w:t>≥98</w:t>
            </w:r>
            <w:r>
              <w:rPr>
                <w:rFonts w:hint="eastAsia"/>
              </w:rPr>
              <w:t>政协工作站组织开展各类协商会议的频繁程度</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推进政党协商制度建设工作完成率</w:t>
            </w:r>
          </w:p>
        </w:tc>
        <w:tc>
          <w:tcPr>
            <w:tcW w:w="5386"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推进政党协商制度建设工作完成率</w:t>
            </w:r>
          </w:p>
        </w:tc>
        <w:tc>
          <w:tcPr>
            <w:tcW w:w="2268" w:type="dxa"/>
            <w:vAlign w:val="center"/>
          </w:tcPr>
          <w:p>
            <w:pPr>
              <w:pStyle w:val="12"/>
            </w:pPr>
            <w:r>
              <w:t>≥98</w:t>
            </w:r>
            <w:r>
              <w:rPr>
                <w:rFonts w:hint="eastAsia"/>
              </w:rPr>
              <w:t>高质量提案有助于相关部门精准施策</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工作完成的时效</w:t>
            </w:r>
          </w:p>
        </w:tc>
        <w:tc>
          <w:tcPr>
            <w:tcW w:w="5386" w:type="dxa"/>
            <w:vAlign w:val="center"/>
          </w:tcPr>
          <w:p>
            <w:pPr>
              <w:spacing w:after="240"/>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工作完成的时效</w:t>
            </w:r>
          </w:p>
        </w:tc>
        <w:tc>
          <w:tcPr>
            <w:tcW w:w="2268" w:type="dxa"/>
            <w:vAlign w:val="center"/>
          </w:tcPr>
          <w:p>
            <w:pPr>
              <w:pStyle w:val="12"/>
            </w:pPr>
            <w:r>
              <w:t>≥98</w:t>
            </w:r>
            <w:r>
              <w:rPr>
                <w:rFonts w:hint="eastAsia"/>
              </w:rPr>
              <w:t>委员提案办理反馈及时率</w:t>
            </w:r>
          </w:p>
        </w:tc>
        <w:tc>
          <w:tcPr>
            <w:tcW w:w="1276" w:type="dxa"/>
            <w:vAlign w:val="center"/>
          </w:tcPr>
          <w:p>
            <w:pPr>
              <w:pStyle w:val="12"/>
            </w:pPr>
            <w:r>
              <w:t>工作计划安排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活动费用标准</w:t>
            </w:r>
          </w:p>
        </w:tc>
        <w:tc>
          <w:tcPr>
            <w:tcW w:w="5386" w:type="dxa"/>
            <w:vAlign w:val="center"/>
          </w:tcPr>
          <w:p>
            <w:pPr>
              <w:pStyle w:val="12"/>
            </w:pPr>
            <w:r>
              <w:rPr>
                <w:rFonts w:ascii="Calibri" w:hAnsi="Calibri" w:eastAsia="宋体" w:cs="宋体"/>
                <w:color w:val="000000"/>
                <w:sz w:val="22"/>
                <w:szCs w:val="22"/>
              </w:rPr>
              <w:t>活动费用标准</w:t>
            </w:r>
          </w:p>
        </w:tc>
        <w:tc>
          <w:tcPr>
            <w:tcW w:w="2268" w:type="dxa"/>
            <w:vAlign w:val="center"/>
          </w:tcPr>
          <w:p>
            <w:pPr>
              <w:pStyle w:val="12"/>
            </w:pPr>
            <w:r>
              <w:t>≥98</w:t>
            </w:r>
            <w:r>
              <w:rPr>
                <w:rFonts w:hint="eastAsia"/>
              </w:rPr>
              <w:t>活动费用标准</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经济效益指标</w:t>
            </w:r>
          </w:p>
        </w:tc>
        <w:tc>
          <w:tcPr>
            <w:tcW w:w="5386" w:type="dxa"/>
            <w:vAlign w:val="center"/>
          </w:tcPr>
          <w:p>
            <w:pPr>
              <w:pStyle w:val="12"/>
            </w:pPr>
            <w:r>
              <w:t>经济效益指标</w:t>
            </w:r>
          </w:p>
        </w:tc>
        <w:tc>
          <w:tcPr>
            <w:tcW w:w="2268" w:type="dxa"/>
            <w:vAlign w:val="center"/>
          </w:tcPr>
          <w:p>
            <w:pPr>
              <w:pStyle w:val="12"/>
            </w:pPr>
            <w:r>
              <w:t>≥98</w:t>
            </w:r>
            <w:r>
              <w:rPr>
                <w:rFonts w:hint="eastAsia" w:ascii="Calibri" w:hAnsi="Calibri" w:eastAsia="宋体" w:cs="宋体"/>
                <w:color w:val="000000"/>
                <w:sz w:val="22"/>
                <w:szCs w:val="22"/>
              </w:rPr>
              <w:t>乡村经济结构优化建言献策</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政策建议采纳率</w:t>
            </w:r>
          </w:p>
        </w:tc>
        <w:tc>
          <w:tcPr>
            <w:tcW w:w="5386" w:type="dxa"/>
            <w:vAlign w:val="center"/>
          </w:tcPr>
          <w:p>
            <w:pPr>
              <w:pStyle w:val="12"/>
            </w:pPr>
            <w:r>
              <w:rPr>
                <w:rFonts w:ascii="Calibri" w:hAnsi="Calibri" w:eastAsia="宋体" w:cs="宋体"/>
                <w:color w:val="000000"/>
                <w:sz w:val="22"/>
                <w:szCs w:val="22"/>
              </w:rPr>
              <w:t>政策建议采纳率</w:t>
            </w:r>
          </w:p>
        </w:tc>
        <w:tc>
          <w:tcPr>
            <w:tcW w:w="2268" w:type="dxa"/>
            <w:vAlign w:val="center"/>
          </w:tcPr>
          <w:p>
            <w:pPr>
              <w:pStyle w:val="12"/>
              <w:rPr>
                <w:rFonts w:hint="eastAsia"/>
              </w:rPr>
            </w:pPr>
            <w:r>
              <w:t>≥98</w:t>
            </w:r>
            <w:r>
              <w:rPr>
                <w:rFonts w:hint="eastAsia" w:ascii="Calibri" w:hAnsi="Calibri" w:eastAsia="宋体" w:cs="宋体"/>
                <w:color w:val="000000"/>
                <w:sz w:val="22"/>
                <w:szCs w:val="22"/>
              </w:rPr>
              <w:t>政协工作站提出建议，对地方发展影响力</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r>
              <w:rPr>
                <w:rFonts w:hint="eastAsia" w:eastAsiaTheme="minorEastAsia"/>
              </w:rPr>
              <w:t>政协委员对工作站满意度</w:t>
            </w:r>
          </w:p>
        </w:tc>
        <w:tc>
          <w:tcPr>
            <w:tcW w:w="1276" w:type="dxa"/>
            <w:vAlign w:val="center"/>
          </w:tcPr>
          <w:p>
            <w:pPr>
              <w:pStyle w:val="12"/>
            </w:pPr>
            <w:r>
              <w:t>历年经验</w:t>
            </w:r>
          </w:p>
        </w:tc>
      </w:tr>
    </w:tbl>
    <w:p>
      <w:pPr>
        <w:rPr>
          <w:rFonts w:hint="eastAsia" w:eastAsiaTheme="minorEastAsia"/>
          <w:lang w:eastAsia="zh-CN"/>
        </w:rPr>
      </w:pPr>
    </w:p>
    <w:p>
      <w:pPr>
        <w:ind w:firstLine="560"/>
        <w:rPr>
          <w:rFonts w:hint="eastAsia" w:ascii="方正仿宋_GBK" w:hAnsi="方正仿宋_GBK" w:cs="方正仿宋_GBK" w:eastAsiaTheme="minorEastAsia"/>
          <w:color w:val="000000"/>
          <w:sz w:val="28"/>
          <w:lang w:eastAsia="zh-CN"/>
        </w:rPr>
      </w:pPr>
    </w:p>
    <w:p>
      <w:pPr>
        <w:ind w:firstLine="560"/>
      </w:pPr>
      <w:r>
        <w:rPr>
          <w:rFonts w:hint="eastAsia" w:ascii="方正仿宋_GBK" w:hAnsi="方正仿宋_GBK" w:cs="方正仿宋_GBK" w:eastAsiaTheme="minorEastAsia"/>
          <w:color w:val="000000"/>
          <w:sz w:val="28"/>
          <w:lang w:eastAsia="zh-CN"/>
        </w:rPr>
        <w:t>8</w:t>
      </w:r>
      <w:r>
        <w:rPr>
          <w:rFonts w:ascii="方正仿宋_GBK" w:hAnsi="方正仿宋_GBK" w:eastAsia="方正仿宋_GBK" w:cs="方正仿宋_GBK"/>
          <w:color w:val="000000"/>
          <w:sz w:val="28"/>
        </w:rPr>
        <w:t>、</w:t>
      </w:r>
      <w:r>
        <w:rPr>
          <w:rFonts w:hint="eastAsia" w:ascii="方正仿宋_GBK" w:hAnsi="方正仿宋_GBK" w:eastAsia="方正仿宋_GBK" w:cs="方正仿宋_GBK"/>
          <w:color w:val="000000"/>
          <w:sz w:val="28"/>
        </w:rPr>
        <w:t>村志工作经费</w:t>
      </w:r>
      <w:r>
        <w:rPr>
          <w:rFonts w:ascii="方正仿宋_GBK" w:hAnsi="方正仿宋_GBK" w:eastAsia="方正仿宋_GBK" w:cs="方正仿宋_GBK"/>
          <w:color w:val="000000"/>
          <w:sz w:val="28"/>
        </w:rPr>
        <w:t>绩效目标表</w:t>
      </w:r>
    </w:p>
    <w:p>
      <w:pPr>
        <w:rPr>
          <w:rFonts w:hint="eastAsia" w:eastAsiaTheme="minorEastAsia"/>
          <w:lang w:eastAsia="zh-CN"/>
        </w:rPr>
      </w:pP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2" w:type="dxa"/>
            <w:gridSpan w:val="2"/>
            <w:vAlign w:val="center"/>
          </w:tcPr>
          <w:p>
            <w:pPr>
              <w:pStyle w:val="12"/>
            </w:pPr>
            <w:r>
              <w:t>13013025P00000210142N</w:t>
            </w:r>
          </w:p>
        </w:tc>
        <w:tc>
          <w:tcPr>
            <w:tcW w:w="2835" w:type="dxa"/>
            <w:vAlign w:val="center"/>
          </w:tcPr>
          <w:p>
            <w:pPr>
              <w:pStyle w:val="10"/>
            </w:pPr>
            <w:r>
              <w:t>项目名称</w:t>
            </w:r>
          </w:p>
        </w:tc>
        <w:tc>
          <w:tcPr>
            <w:tcW w:w="6094" w:type="dxa"/>
            <w:gridSpan w:val="3"/>
            <w:vAlign w:val="center"/>
          </w:tcPr>
          <w:p>
            <w:pPr>
              <w:pStyle w:val="12"/>
            </w:pPr>
            <w:r>
              <w:rPr>
                <w:rFonts w:ascii="方正仿宋_GBK" w:hAnsi="方正仿宋_GBK" w:cs="方正仿宋_GBK" w:eastAsiaTheme="minorEastAsia"/>
                <w:color w:val="000000"/>
                <w:szCs w:val="21"/>
              </w:rPr>
              <w:t>2025</w:t>
            </w:r>
            <w:r>
              <w:rPr>
                <w:rFonts w:hint="eastAsia" w:ascii="方正仿宋_GBK" w:hAnsi="方正仿宋_GBK" w:cs="方正仿宋_GBK" w:eastAsiaTheme="minorEastAsia"/>
                <w:color w:val="000000"/>
                <w:szCs w:val="21"/>
              </w:rPr>
              <w:t>年专项村志工作经费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rPr>
                <w:rFonts w:hint="eastAsia" w:eastAsiaTheme="minorEastAsia"/>
              </w:rPr>
              <w:t>5</w:t>
            </w:r>
            <w:r>
              <w:t>.00</w:t>
            </w:r>
          </w:p>
        </w:tc>
        <w:tc>
          <w:tcPr>
            <w:tcW w:w="2835" w:type="dxa"/>
            <w:vAlign w:val="center"/>
          </w:tcPr>
          <w:p>
            <w:pPr>
              <w:pStyle w:val="10"/>
            </w:pPr>
            <w:r>
              <w:t>其中：财政    资金</w:t>
            </w:r>
          </w:p>
        </w:tc>
        <w:tc>
          <w:tcPr>
            <w:tcW w:w="2551" w:type="dxa"/>
            <w:vAlign w:val="center"/>
          </w:tcPr>
          <w:p>
            <w:pPr>
              <w:pStyle w:val="12"/>
            </w:pPr>
            <w:r>
              <w:rPr>
                <w:rFonts w:hint="eastAsia" w:eastAsiaTheme="minorEastAsia"/>
              </w:rPr>
              <w:t>5</w:t>
            </w:r>
            <w:r>
              <w:t>.00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1" w:type="dxa"/>
            <w:gridSpan w:val="6"/>
            <w:vAlign w:val="center"/>
          </w:tcPr>
          <w:p>
            <w:pPr>
              <w:pStyle w:val="12"/>
            </w:pPr>
            <w:r>
              <w:t>2025</w:t>
            </w:r>
            <w:r>
              <w:rPr>
                <w:rFonts w:hint="eastAsia"/>
              </w:rPr>
              <w:t>年专项村志工作经费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2"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3"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2" w:type="dxa"/>
            <w:gridSpan w:val="2"/>
            <w:vAlign w:val="center"/>
          </w:tcPr>
          <w:p>
            <w:pPr>
              <w:pStyle w:val="13"/>
            </w:pPr>
            <w:r>
              <w:t>3.75</w:t>
            </w:r>
          </w:p>
        </w:tc>
        <w:tc>
          <w:tcPr>
            <w:tcW w:w="2835" w:type="dxa"/>
            <w:vAlign w:val="center"/>
          </w:tcPr>
          <w:p>
            <w:pPr>
              <w:pStyle w:val="13"/>
            </w:pPr>
            <w:r>
              <w:t>7.50</w:t>
            </w:r>
          </w:p>
        </w:tc>
        <w:tc>
          <w:tcPr>
            <w:tcW w:w="2551" w:type="dxa"/>
            <w:vAlign w:val="center"/>
          </w:tcPr>
          <w:p>
            <w:pPr>
              <w:pStyle w:val="13"/>
            </w:pPr>
            <w:r>
              <w:t>11.25</w:t>
            </w:r>
          </w:p>
        </w:tc>
        <w:tc>
          <w:tcPr>
            <w:tcW w:w="3543" w:type="dxa"/>
            <w:gridSpan w:val="2"/>
            <w:vAlign w:val="center"/>
          </w:tcPr>
          <w:p>
            <w:pPr>
              <w:pStyle w:val="13"/>
            </w:pPr>
            <w:r>
              <w:t>15.00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1" w:type="dxa"/>
            <w:gridSpan w:val="6"/>
            <w:vAlign w:val="center"/>
          </w:tcPr>
          <w:p>
            <w:pPr>
              <w:pStyle w:val="12"/>
            </w:pPr>
            <w:r>
              <w:t>2025</w:t>
            </w:r>
            <w:r>
              <w:rPr>
                <w:rFonts w:hint="eastAsia"/>
              </w:rPr>
              <w:t>年专项村志工作经费</w:t>
            </w:r>
          </w:p>
        </w:tc>
      </w:tr>
    </w:tbl>
    <w:p>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4300" w:type="dxa"/>
                          <w:tblInd w:w="0" w:type="dxa"/>
                          <w:tblLayout w:type="fixed"/>
                          <w:tblCellMar>
                            <w:top w:w="0" w:type="dxa"/>
                            <w:left w:w="108" w:type="dxa"/>
                            <w:bottom w:w="0" w:type="dxa"/>
                            <w:right w:w="108" w:type="dxa"/>
                          </w:tblCellMar>
                        </w:tblPr>
                        <w:tblGrid>
                          <w:gridCol w:w="4300"/>
                        </w:tblGrid>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tbl>
                              <w:tblPr>
                                <w:tblStyle w:val="4"/>
                                <w:tblW w:w="2560" w:type="dxa"/>
                                <w:tblInd w:w="0" w:type="dxa"/>
                                <w:tblLayout w:type="fixed"/>
                                <w:tblCellMar>
                                  <w:top w:w="0" w:type="dxa"/>
                                  <w:left w:w="108" w:type="dxa"/>
                                  <w:bottom w:w="0" w:type="dxa"/>
                                  <w:right w:w="108" w:type="dxa"/>
                                </w:tblCellMar>
                              </w:tblPr>
                              <w:tblGrid>
                                <w:gridCol w:w="2560"/>
                              </w:tblGrid>
                              <w:tr>
                                <w:tblPrEx>
                                  <w:tblCellMar>
                                    <w:top w:w="0" w:type="dxa"/>
                                    <w:left w:w="108" w:type="dxa"/>
                                    <w:bottom w:w="0" w:type="dxa"/>
                                    <w:right w:w="108" w:type="dxa"/>
                                  </w:tblCellMar>
                                </w:tblPrEx>
                                <w:trPr>
                                  <w:trHeight w:val="450" w:hRule="atLeast"/>
                                </w:trPr>
                                <w:tc>
                                  <w:tcPr>
                                    <w:tcW w:w="256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文字报告成果数量</w:t>
                                    </w:r>
                                  </w:p>
                                </w:tc>
                              </w:tr>
                            </w:tbl>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r>
                    <w:tblPrEx>
                      <w:tblCellMar>
                        <w:top w:w="0" w:type="dxa"/>
                        <w:left w:w="108" w:type="dxa"/>
                        <w:bottom w:w="0" w:type="dxa"/>
                        <w:right w:w="108" w:type="dxa"/>
                      </w:tblCellMar>
                    </w:tblPrEx>
                    <w:trPr>
                      <w:trHeight w:val="450" w:hRule="atLeast"/>
                    </w:trPr>
                    <w:tc>
                      <w:tcPr>
                        <w:tcW w:w="430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5386" w:type="dxa"/>
            <w:vAlign w:val="center"/>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tbl>
                  <w:tblPr>
                    <w:tblStyle w:val="4"/>
                    <w:tblW w:w="3440" w:type="dxa"/>
                    <w:tblInd w:w="0" w:type="dxa"/>
                    <w:tblLayout w:type="fixed"/>
                    <w:tblCellMar>
                      <w:top w:w="0" w:type="dxa"/>
                      <w:left w:w="108" w:type="dxa"/>
                      <w:bottom w:w="0" w:type="dxa"/>
                      <w:right w:w="108" w:type="dxa"/>
                    </w:tblCellMar>
                  </w:tblPr>
                  <w:tblGrid>
                    <w:gridCol w:w="3440"/>
                  </w:tblGrid>
                  <w:tr>
                    <w:tblPrEx>
                      <w:tblCellMar>
                        <w:top w:w="0" w:type="dxa"/>
                        <w:left w:w="108" w:type="dxa"/>
                        <w:bottom w:w="0" w:type="dxa"/>
                        <w:right w:w="108" w:type="dxa"/>
                      </w:tblCellMar>
                    </w:tblPrEx>
                    <w:trPr>
                      <w:trHeight w:val="450" w:hRule="atLeast"/>
                    </w:trPr>
                    <w:tc>
                      <w:tcPr>
                        <w:tcW w:w="3440" w:type="dxa"/>
                        <w:tcBorders>
                          <w:top w:val="nil"/>
                          <w:left w:val="nil"/>
                          <w:bottom w:val="nil"/>
                          <w:right w:val="nil"/>
                        </w:tcBorders>
                        <w:shd w:val="clear" w:color="auto" w:fill="auto"/>
                        <w:noWrap/>
                      </w:tcPr>
                      <w:p>
                        <w:pPr>
                          <w:rPr>
                            <w:rFonts w:ascii="Calibri" w:hAnsi="Calibri" w:eastAsia="宋体" w:cs="宋体"/>
                            <w:color w:val="000000"/>
                            <w:sz w:val="22"/>
                            <w:szCs w:val="22"/>
                            <w:lang w:eastAsia="zh-CN"/>
                          </w:rPr>
                        </w:pPr>
                        <w:r>
                          <w:rPr>
                            <w:rFonts w:ascii="Calibri" w:hAnsi="Calibri" w:eastAsia="宋体" w:cs="宋体"/>
                            <w:color w:val="000000"/>
                            <w:sz w:val="22"/>
                            <w:szCs w:val="22"/>
                            <w:lang w:eastAsia="zh-CN"/>
                          </w:rPr>
                          <w:t>文字报告成果数量</w:t>
                        </w:r>
                      </w:p>
                    </w:tc>
                  </w:tr>
                </w:tbl>
                <w:p>
                  <w:pPr>
                    <w:rPr>
                      <w:rFonts w:ascii="Calibri" w:hAnsi="Calibri" w:eastAsia="宋体" w:cs="宋体"/>
                      <w:color w:val="000000"/>
                      <w:sz w:val="22"/>
                      <w:szCs w:val="22"/>
                      <w:lang w:eastAsia="zh-CN"/>
                    </w:rPr>
                  </w:pPr>
                </w:p>
              </w:tc>
            </w:tr>
          </w:tbl>
          <w:p>
            <w:pPr>
              <w:pStyle w:val="12"/>
              <w:rPr>
                <w:rFonts w:hint="eastAsia" w:eastAsiaTheme="minorEastAsia"/>
              </w:rPr>
            </w:pPr>
          </w:p>
        </w:tc>
        <w:tc>
          <w:tcPr>
            <w:tcW w:w="2268" w:type="dxa"/>
            <w:vAlign w:val="center"/>
          </w:tcPr>
          <w:p>
            <w:pPr>
              <w:pStyle w:val="12"/>
            </w:pPr>
            <w:r>
              <w:t>≥98</w:t>
            </w:r>
            <w:r>
              <w:rPr>
                <w:rFonts w:hint="eastAsia"/>
              </w:rPr>
              <w:t>及时完成搜索整理</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rPr>
                <w:rFonts w:ascii="Calibri" w:hAnsi="Calibri" w:eastAsia="宋体" w:cs="宋体"/>
                <w:color w:val="000000"/>
                <w:sz w:val="22"/>
                <w:szCs w:val="22"/>
              </w:rPr>
              <w:t>优、良</w:t>
            </w:r>
          </w:p>
        </w:tc>
        <w:tc>
          <w:tcPr>
            <w:tcW w:w="5386"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rPr>
              <w:t>优、良</w:t>
            </w:r>
          </w:p>
        </w:tc>
        <w:tc>
          <w:tcPr>
            <w:tcW w:w="2268" w:type="dxa"/>
            <w:vAlign w:val="center"/>
          </w:tcPr>
          <w:p>
            <w:pPr>
              <w:pStyle w:val="12"/>
            </w:pPr>
            <w:r>
              <w:t>≥98</w:t>
            </w:r>
            <w:r>
              <w:rPr>
                <w:rFonts w:hint="eastAsia"/>
              </w:rPr>
              <w:t>资料的准确性真实性</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rPr>
                <w:rFonts w:ascii="Calibri" w:hAnsi="Calibri" w:eastAsia="宋体" w:cs="宋体"/>
                <w:color w:val="000000"/>
                <w:sz w:val="22"/>
                <w:szCs w:val="22"/>
              </w:rPr>
              <w:t>前期文件编制时效满足</w:t>
            </w:r>
          </w:p>
        </w:tc>
        <w:tc>
          <w:tcPr>
            <w:tcW w:w="5386" w:type="dxa"/>
            <w:vAlign w:val="center"/>
          </w:tcPr>
          <w:p>
            <w:pPr>
              <w:spacing w:after="240"/>
              <w:rPr>
                <w:rFonts w:hint="eastAsia" w:ascii="Calibri" w:hAnsi="Calibri" w:eastAsia="宋体" w:cs="宋体"/>
                <w:color w:val="000000"/>
                <w:sz w:val="22"/>
                <w:szCs w:val="22"/>
                <w:lang w:eastAsia="zh-CN"/>
              </w:rPr>
            </w:pPr>
            <w:r>
              <w:rPr>
                <w:rFonts w:ascii="Calibri" w:hAnsi="Calibri" w:eastAsia="宋体" w:cs="宋体"/>
                <w:color w:val="000000"/>
                <w:sz w:val="22"/>
                <w:szCs w:val="22"/>
              </w:rPr>
              <w:t>前期文件编制时效满足</w:t>
            </w:r>
          </w:p>
        </w:tc>
        <w:tc>
          <w:tcPr>
            <w:tcW w:w="2268" w:type="dxa"/>
            <w:vAlign w:val="center"/>
          </w:tcPr>
          <w:p>
            <w:pPr>
              <w:pStyle w:val="12"/>
            </w:pPr>
            <w:r>
              <w:t>≥98</w:t>
            </w:r>
            <w:r>
              <w:rPr>
                <w:rFonts w:hint="eastAsia"/>
              </w:rPr>
              <w:t>及时完成编写工作</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rPr>
                <w:rFonts w:hint="eastAsia" w:ascii="Calibri" w:hAnsi="Calibri" w:eastAsia="宋体" w:cs="宋体"/>
                <w:color w:val="000000"/>
                <w:sz w:val="22"/>
                <w:szCs w:val="22"/>
                <w:lang w:eastAsia="zh-CN"/>
              </w:rPr>
            </w:pPr>
            <w:r>
              <w:rPr>
                <w:rFonts w:ascii="Calibri" w:hAnsi="Calibri" w:eastAsia="宋体" w:cs="宋体"/>
                <w:color w:val="000000"/>
                <w:sz w:val="22"/>
                <w:szCs w:val="22"/>
                <w:lang w:eastAsia="zh-CN"/>
              </w:rPr>
              <w:t>工作开展所需的成本情况</w:t>
            </w:r>
          </w:p>
        </w:tc>
        <w:tc>
          <w:tcPr>
            <w:tcW w:w="5386" w:type="dxa"/>
            <w:vAlign w:val="center"/>
          </w:tcPr>
          <w:p>
            <w:pPr>
              <w:pStyle w:val="12"/>
            </w:pPr>
            <w:r>
              <w:rPr>
                <w:rFonts w:ascii="Calibri" w:hAnsi="Calibri" w:eastAsia="宋体" w:cs="宋体"/>
                <w:color w:val="000000"/>
                <w:sz w:val="22"/>
                <w:szCs w:val="22"/>
              </w:rPr>
              <w:t>工作开展所需的成本情况</w:t>
            </w:r>
          </w:p>
        </w:tc>
        <w:tc>
          <w:tcPr>
            <w:tcW w:w="2268" w:type="dxa"/>
            <w:vAlign w:val="center"/>
          </w:tcPr>
          <w:p>
            <w:pPr>
              <w:pStyle w:val="12"/>
            </w:pPr>
            <w:r>
              <w:t>≥98</w:t>
            </w:r>
            <w:r>
              <w:rPr>
                <w:rFonts w:hint="eastAsia"/>
              </w:rPr>
              <w:t>节约成本高效</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rPr>
                <w:rFonts w:ascii="Calibri" w:hAnsi="Calibri" w:eastAsia="宋体" w:cs="宋体"/>
                <w:color w:val="000000"/>
                <w:sz w:val="22"/>
                <w:szCs w:val="22"/>
              </w:rPr>
              <w:t>公共服务水平提升情况</w:t>
            </w:r>
          </w:p>
        </w:tc>
        <w:tc>
          <w:tcPr>
            <w:tcW w:w="5386" w:type="dxa"/>
            <w:vAlign w:val="center"/>
          </w:tcPr>
          <w:p>
            <w:pPr>
              <w:pStyle w:val="12"/>
            </w:pPr>
            <w:r>
              <w:rPr>
                <w:rFonts w:ascii="Calibri" w:hAnsi="Calibri" w:eastAsia="宋体" w:cs="宋体"/>
                <w:color w:val="000000"/>
                <w:sz w:val="22"/>
                <w:szCs w:val="22"/>
              </w:rPr>
              <w:t>公共服务水平提升情况</w:t>
            </w:r>
          </w:p>
        </w:tc>
        <w:tc>
          <w:tcPr>
            <w:tcW w:w="2268" w:type="dxa"/>
            <w:vAlign w:val="center"/>
          </w:tcPr>
          <w:p>
            <w:pPr>
              <w:pStyle w:val="12"/>
            </w:pPr>
            <w:r>
              <w:t>≥98</w:t>
            </w:r>
            <w:r>
              <w:rPr>
                <w:rFonts w:hint="eastAsia" w:ascii="Calibri" w:hAnsi="Calibri" w:eastAsia="宋体" w:cs="宋体"/>
                <w:color w:val="000000"/>
                <w:sz w:val="22"/>
                <w:szCs w:val="22"/>
              </w:rPr>
              <w:t>乡村记忆传承</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rPr>
                <w:rFonts w:hint="eastAsia"/>
              </w:rPr>
              <w:t>可持续影响指标</w:t>
            </w:r>
          </w:p>
        </w:tc>
        <w:tc>
          <w:tcPr>
            <w:tcW w:w="2835" w:type="dxa"/>
            <w:vAlign w:val="center"/>
          </w:tcPr>
          <w:p>
            <w:pPr>
              <w:pStyle w:val="12"/>
            </w:pPr>
            <w:r>
              <w:rPr>
                <w:rFonts w:hint="eastAsia" w:eastAsiaTheme="minorEastAsia"/>
              </w:rPr>
              <w:t>监督检查结果应用</w:t>
            </w:r>
          </w:p>
        </w:tc>
        <w:tc>
          <w:tcPr>
            <w:tcW w:w="5386" w:type="dxa"/>
            <w:vAlign w:val="center"/>
          </w:tcPr>
          <w:p>
            <w:pPr>
              <w:pStyle w:val="12"/>
            </w:pPr>
            <w:r>
              <w:rPr>
                <w:rFonts w:hint="eastAsia" w:ascii="Calibri" w:hAnsi="Calibri" w:eastAsia="宋体" w:cs="宋体"/>
                <w:color w:val="000000"/>
                <w:sz w:val="22"/>
                <w:szCs w:val="22"/>
              </w:rPr>
              <w:t>监督检查结果应用</w:t>
            </w:r>
          </w:p>
        </w:tc>
        <w:tc>
          <w:tcPr>
            <w:tcW w:w="2268" w:type="dxa"/>
            <w:vAlign w:val="center"/>
          </w:tcPr>
          <w:p>
            <w:pPr>
              <w:pStyle w:val="12"/>
              <w:rPr>
                <w:rFonts w:hint="eastAsia"/>
              </w:rPr>
            </w:pPr>
            <w:r>
              <w:t>≥98</w:t>
            </w:r>
            <w:r>
              <w:rPr>
                <w:rFonts w:hint="eastAsia" w:ascii="Calibri" w:hAnsi="Calibri" w:eastAsia="宋体" w:cs="宋体"/>
                <w:color w:val="000000"/>
                <w:sz w:val="22"/>
                <w:szCs w:val="22"/>
              </w:rPr>
              <w:t>乡村记忆传承</w:t>
            </w:r>
          </w:p>
        </w:tc>
        <w:tc>
          <w:tcPr>
            <w:tcW w:w="1276" w:type="dxa"/>
            <w:vAlign w:val="center"/>
          </w:tcPr>
          <w:p>
            <w:pPr>
              <w:pStyle w:val="12"/>
            </w:pPr>
            <w:r>
              <w:t>历年经验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rPr>
                <w:rFonts w:hint="eastAsia" w:eastAsiaTheme="minorEastAsia"/>
              </w:rPr>
            </w:pPr>
          </w:p>
        </w:tc>
        <w:tc>
          <w:tcPr>
            <w:tcW w:w="2835" w:type="dxa"/>
            <w:vAlign w:val="center"/>
          </w:tcPr>
          <w:p>
            <w:pPr>
              <w:pStyle w:val="12"/>
              <w:rPr>
                <w:rFonts w:hint="eastAsia" w:eastAsiaTheme="minorEastAsia"/>
              </w:rPr>
            </w:pPr>
          </w:p>
        </w:tc>
        <w:tc>
          <w:tcPr>
            <w:tcW w:w="5386" w:type="dxa"/>
            <w:vAlign w:val="center"/>
          </w:tcPr>
          <w:p>
            <w:pPr>
              <w:pStyle w:val="12"/>
              <w:rPr>
                <w:rFonts w:hint="eastAsia" w:eastAsiaTheme="minorEastAsia"/>
              </w:rPr>
            </w:pPr>
          </w:p>
        </w:tc>
        <w:tc>
          <w:tcPr>
            <w:tcW w:w="2268" w:type="dxa"/>
            <w:vAlign w:val="center"/>
          </w:tcPr>
          <w:p>
            <w:pPr>
              <w:pStyle w:val="12"/>
              <w:rPr>
                <w:rFonts w:hint="eastAsia" w:eastAsiaTheme="minorEastAsia"/>
              </w:rPr>
            </w:pPr>
          </w:p>
        </w:tc>
        <w:tc>
          <w:tcPr>
            <w:tcW w:w="127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5386" w:type="dxa"/>
            <w:vAlign w:val="center"/>
          </w:tcPr>
          <w:p>
            <w:pPr>
              <w:pStyle w:val="12"/>
            </w:pPr>
            <w:r>
              <w:t>服务对象满意度（%）</w:t>
            </w:r>
          </w:p>
        </w:tc>
        <w:tc>
          <w:tcPr>
            <w:tcW w:w="2268" w:type="dxa"/>
            <w:vAlign w:val="center"/>
          </w:tcPr>
          <w:p>
            <w:pPr>
              <w:pStyle w:val="12"/>
            </w:pPr>
            <w:r>
              <w:t>≥98</w:t>
            </w:r>
            <w:r>
              <w:rPr>
                <w:rFonts w:hint="eastAsia" w:eastAsiaTheme="minorEastAsia"/>
              </w:rPr>
              <w:t>编撰人员及村民满意度</w:t>
            </w:r>
          </w:p>
        </w:tc>
        <w:tc>
          <w:tcPr>
            <w:tcW w:w="1276" w:type="dxa"/>
            <w:vAlign w:val="center"/>
          </w:tcPr>
          <w:p>
            <w:pPr>
              <w:pStyle w:val="12"/>
            </w:pPr>
            <w:r>
              <w:t>历年经验</w:t>
            </w:r>
          </w:p>
        </w:tc>
      </w:tr>
    </w:tbl>
    <w:p>
      <w:pPr>
        <w:rPr>
          <w:rFonts w:hint="eastAsia" w:eastAsiaTheme="minorEastAsia"/>
          <w:lang w:eastAsia="zh-CN"/>
        </w:rPr>
      </w:pPr>
    </w:p>
    <w:p>
      <w:pPr>
        <w:spacing w:before="10" w:after="10"/>
        <w:outlineLvl w:val="5"/>
        <w:rPr>
          <w:rFonts w:ascii="黑体" w:hAnsi="黑体" w:eastAsia="黑体" w:cs="黑体"/>
          <w:color w:val="000000"/>
          <w:sz w:val="32"/>
        </w:rPr>
      </w:pPr>
    </w:p>
    <w:p>
      <w:pPr>
        <w:spacing w:before="10" w:after="10"/>
        <w:ind w:firstLine="640"/>
        <w:outlineLvl w:val="5"/>
      </w:pPr>
      <w:r>
        <w:rPr>
          <w:rFonts w:ascii="黑体" w:hAnsi="黑体" w:eastAsia="黑体" w:cs="黑体"/>
          <w:color w:val="000000"/>
          <w:sz w:val="32"/>
        </w:rPr>
        <w:t>六、政府采购预算情况</w:t>
      </w:r>
    </w:p>
    <w:p>
      <w:pPr>
        <w:jc w:val="center"/>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7712" w:type="dxa"/>
            <w:gridSpan w:val="8"/>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6748" w:type="dxa"/>
            <w:gridSpan w:val="7"/>
            <w:vAlign w:val="center"/>
          </w:tcPr>
          <w:p>
            <w:pPr>
              <w:pStyle w:val="10"/>
            </w:pPr>
            <w:r>
              <w:t>政府采购金额（当年部门预算安排资金）</w:t>
            </w:r>
          </w:p>
        </w:tc>
        <w:tc>
          <w:tcPr>
            <w:tcW w:w="964" w:type="dxa"/>
            <w:vMerge w:val="restart"/>
            <w:vAlign w:val="center"/>
          </w:tcPr>
          <w:p>
            <w:pPr>
              <w:pStyle w:val="10"/>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rPr>
                <w:rFonts w:hint="eastAsia" w:eastAsia="方正书宋_GBK"/>
                <w:lang w:val="en-US" w:eastAsia="zh-CN"/>
              </w:rPr>
            </w:pPr>
            <w:r>
              <w:rPr>
                <w:rFonts w:hint="eastAsia"/>
                <w:lang w:val="en-US" w:eastAsia="zh-CN"/>
              </w:rPr>
              <w:t>0</w:t>
            </w:r>
            <w:bookmarkStart w:id="1" w:name="_GoBack"/>
            <w:bookmarkEnd w:id="1"/>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pPr>
      <w:r>
        <w:rPr>
          <w:rFonts w:eastAsia="方正仿宋_GBK"/>
          <w:color w:val="000000"/>
          <w:sz w:val="28"/>
        </w:rPr>
        <w:t>中国人民政治协商会议无极县委员会办公室本级上年末固定资产金额为141.94万元（详见下表）。本年度拟购置固定资产总额为0.00万元。</w:t>
      </w:r>
    </w:p>
    <w:p>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131001中国人民政治协商会议无极县委员会办公室本级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rPr>
                <w:rFonts w:hint="default" w:eastAsia="方正书宋_GBK"/>
                <w:lang w:val="en-US" w:eastAsia="zh-CN"/>
              </w:rPr>
            </w:pPr>
            <w:r>
              <w:rPr>
                <w:rFonts w:hint="eastAsia"/>
                <w:lang w:val="en-US" w:eastAsia="zh-CN"/>
              </w:rPr>
              <w:t>461</w:t>
            </w:r>
          </w:p>
        </w:tc>
        <w:tc>
          <w:tcPr>
            <w:tcW w:w="2835" w:type="dxa"/>
            <w:vAlign w:val="center"/>
          </w:tcPr>
          <w:p>
            <w:pPr>
              <w:pStyle w:val="11"/>
            </w:pPr>
            <w:r>
              <w:t>141.94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4</w:t>
            </w:r>
          </w:p>
        </w:tc>
        <w:tc>
          <w:tcPr>
            <w:tcW w:w="2835" w:type="dxa"/>
            <w:vAlign w:val="center"/>
          </w:tcPr>
          <w:p>
            <w:pPr>
              <w:pStyle w:val="11"/>
            </w:pPr>
            <w:r>
              <w:t>52.24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r>
              <w:t>457</w:t>
            </w:r>
          </w:p>
        </w:tc>
        <w:tc>
          <w:tcPr>
            <w:tcW w:w="2835" w:type="dxa"/>
            <w:vAlign w:val="center"/>
          </w:tcPr>
          <w:p>
            <w:pPr>
              <w:pStyle w:val="11"/>
            </w:pPr>
            <w:r>
              <w:t>89.70</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5"/>
      </w:pPr>
      <w:r>
        <w:rPr>
          <w:rFonts w:ascii="黑体" w:hAnsi="黑体" w:eastAsia="黑体" w:cs="黑体"/>
          <w:color w:val="000000"/>
          <w:sz w:val="32"/>
        </w:rPr>
        <w:t>九、其他需要说明的事项</w:t>
      </w:r>
    </w:p>
    <w:p>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仿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Pr>
        <w:rFonts w:hint="eastAsia" w:eastAsiaTheme="minorEastAsia"/>
        <w:lang w:eastAsia="zh-CN"/>
      </w:rPr>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27EE6"/>
    <w:rsid w:val="00080CCC"/>
    <w:rsid w:val="00183FCE"/>
    <w:rsid w:val="003F7885"/>
    <w:rsid w:val="0067724C"/>
    <w:rsid w:val="00677853"/>
    <w:rsid w:val="007478C4"/>
    <w:rsid w:val="007C4C7B"/>
    <w:rsid w:val="007F16BF"/>
    <w:rsid w:val="00837CA1"/>
    <w:rsid w:val="00AE34FC"/>
    <w:rsid w:val="00C30A59"/>
    <w:rsid w:val="00D27EE6"/>
    <w:rsid w:val="00DF58F9"/>
    <w:rsid w:val="00EC4B84"/>
    <w:rsid w:val="00ED2107"/>
    <w:rsid w:val="00FE38B5"/>
    <w:rsid w:val="336977A9"/>
    <w:rsid w:val="3DB0598C"/>
    <w:rsid w:val="5F730C5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uiPriority w:val="99"/>
    <w:pPr>
      <w:tabs>
        <w:tab w:val="center" w:pos="4153"/>
        <w:tab w:val="right" w:pos="8306"/>
      </w:tabs>
      <w:snapToGrid w:val="0"/>
    </w:pPr>
    <w:rPr>
      <w:sz w:val="18"/>
      <w:szCs w:val="18"/>
    </w:rPr>
  </w:style>
  <w:style w:type="paragraph" w:styleId="3">
    <w:name w:val="header"/>
    <w:basedOn w:val="1"/>
    <w:link w:val="24"/>
    <w:semiHidden/>
    <w:unhideWhenUsed/>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 w:type="paragraph" w:customStyle="1" w:styleId="26">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7">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theme" Target="theme/theme1.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微软公司</Company>
  <Pages>30</Pages>
  <Words>1944</Words>
  <Characters>11081</Characters>
  <Lines>92</Lines>
  <Paragraphs>25</Paragraphs>
  <TotalTime>3</TotalTime>
  <ScaleCrop>false</ScaleCrop>
  <LinksUpToDate>false</LinksUpToDate>
  <CharactersWithSpaces>13000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2025-02-20T16:53:00Z</dcterms:created>
  <dc:creator>Administrator</dc:creator>
  <cp:lastModifiedBy>浮生</cp:lastModifiedBy>
  <dcterms:modified xsi:type="dcterms:W3CDTF">2025-10-29T02:42:53Z</dcterms:modified>
  <cp:revision>27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4C6AAB27EDEB4A18A36E7707AD013D41</vt:lpwstr>
  </property>
</Properties>
</file>