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899.40</w:t>
            </w:r>
          </w:p>
        </w:tc>
        <w:tc>
          <w:tcPr>
            <w:tcW w:w="4535" w:type="dxa"/>
            <w:vAlign w:val="center"/>
          </w:tcPr>
          <w:p>
            <w:pPr>
              <w:pStyle w:val="12"/>
            </w:pPr>
            <w:r>
              <w:t>一、一般公共服务支出</w:t>
            </w:r>
          </w:p>
        </w:tc>
        <w:tc>
          <w:tcPr>
            <w:tcW w:w="2126" w:type="dxa"/>
            <w:vAlign w:val="center"/>
          </w:tcPr>
          <w:p>
            <w:pPr>
              <w:pStyle w:val="11"/>
            </w:pPr>
            <w:r>
              <w:t>711.40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899.40</w:t>
            </w:r>
          </w:p>
        </w:tc>
        <w:tc>
          <w:tcPr>
            <w:tcW w:w="4535" w:type="dxa"/>
            <w:vAlign w:val="center"/>
          </w:tcPr>
          <w:p>
            <w:pPr>
              <w:pStyle w:val="14"/>
            </w:pPr>
            <w:r>
              <w:t>本年支出合计</w:t>
            </w:r>
          </w:p>
        </w:tc>
        <w:tc>
          <w:tcPr>
            <w:tcW w:w="2126" w:type="dxa"/>
            <w:vAlign w:val="center"/>
          </w:tcPr>
          <w:p>
            <w:pPr>
              <w:pStyle w:val="15"/>
            </w:pPr>
            <w:r>
              <w:t>899.40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899.40</w:t>
            </w:r>
          </w:p>
        </w:tc>
        <w:tc>
          <w:tcPr>
            <w:tcW w:w="4535" w:type="dxa"/>
            <w:vAlign w:val="center"/>
          </w:tcPr>
          <w:p>
            <w:pPr>
              <w:pStyle w:val="14"/>
            </w:pPr>
            <w:r>
              <w:t>支出总计</w:t>
            </w:r>
          </w:p>
        </w:tc>
        <w:tc>
          <w:tcPr>
            <w:tcW w:w="2126" w:type="dxa"/>
            <w:vAlign w:val="center"/>
          </w:tcPr>
          <w:p>
            <w:pPr>
              <w:pStyle w:val="15"/>
            </w:pPr>
            <w:r>
              <w:t>899.40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899.40</w:t>
            </w:r>
          </w:p>
        </w:tc>
        <w:tc>
          <w:tcPr>
            <w:tcW w:w="1134" w:type="dxa"/>
            <w:vAlign w:val="center"/>
          </w:tcPr>
          <w:p>
            <w:pPr>
              <w:pStyle w:val="15"/>
            </w:pPr>
            <w:r>
              <w:t>899.40</w:t>
            </w:r>
          </w:p>
        </w:tc>
        <w:tc>
          <w:tcPr>
            <w:tcW w:w="1134" w:type="dxa"/>
            <w:vAlign w:val="center"/>
          </w:tcPr>
          <w:p>
            <w:pPr>
              <w:pStyle w:val="15"/>
            </w:pPr>
            <w:r>
              <w:t>899.40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711.40</w:t>
            </w:r>
          </w:p>
        </w:tc>
        <w:tc>
          <w:tcPr>
            <w:tcW w:w="1134" w:type="dxa"/>
            <w:vAlign w:val="center"/>
          </w:tcPr>
          <w:p>
            <w:pPr>
              <w:pStyle w:val="11"/>
            </w:pPr>
            <w:r>
              <w:t>711.40</w:t>
            </w:r>
          </w:p>
        </w:tc>
        <w:tc>
          <w:tcPr>
            <w:tcW w:w="1134" w:type="dxa"/>
            <w:vAlign w:val="center"/>
          </w:tcPr>
          <w:p>
            <w:pPr>
              <w:pStyle w:val="11"/>
            </w:pPr>
            <w:r>
              <w:t>711.40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711.40</w:t>
            </w:r>
          </w:p>
        </w:tc>
        <w:tc>
          <w:tcPr>
            <w:tcW w:w="1134" w:type="dxa"/>
            <w:vAlign w:val="center"/>
          </w:tcPr>
          <w:p>
            <w:pPr>
              <w:pStyle w:val="11"/>
            </w:pPr>
            <w:r>
              <w:t>711.40</w:t>
            </w:r>
          </w:p>
        </w:tc>
        <w:tc>
          <w:tcPr>
            <w:tcW w:w="1134" w:type="dxa"/>
            <w:vAlign w:val="center"/>
          </w:tcPr>
          <w:p>
            <w:pPr>
              <w:pStyle w:val="11"/>
            </w:pPr>
            <w:r>
              <w:t>711.40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2010306</w:t>
            </w:r>
          </w:p>
        </w:tc>
        <w:tc>
          <w:tcPr>
            <w:tcW w:w="1559" w:type="dxa"/>
            <w:vAlign w:val="center"/>
          </w:tcPr>
          <w:p>
            <w:pPr>
              <w:pStyle w:val="12"/>
            </w:pPr>
            <w:r>
              <w:t>政务公开审批</w:t>
            </w:r>
          </w:p>
        </w:tc>
        <w:tc>
          <w:tcPr>
            <w:tcW w:w="1134" w:type="dxa"/>
            <w:vAlign w:val="center"/>
          </w:tcPr>
          <w:p>
            <w:pPr>
              <w:pStyle w:val="11"/>
            </w:pPr>
            <w:r>
              <w:t>711.40</w:t>
            </w:r>
          </w:p>
        </w:tc>
        <w:tc>
          <w:tcPr>
            <w:tcW w:w="1134" w:type="dxa"/>
            <w:vAlign w:val="center"/>
          </w:tcPr>
          <w:p>
            <w:pPr>
              <w:pStyle w:val="11"/>
            </w:pPr>
            <w:r>
              <w:t>711.40</w:t>
            </w:r>
          </w:p>
        </w:tc>
        <w:tc>
          <w:tcPr>
            <w:tcW w:w="1134" w:type="dxa"/>
            <w:vAlign w:val="center"/>
          </w:tcPr>
          <w:p>
            <w:pPr>
              <w:pStyle w:val="11"/>
            </w:pPr>
            <w:r>
              <w:t>711.40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899.40</w:t>
            </w:r>
          </w:p>
        </w:tc>
        <w:tc>
          <w:tcPr>
            <w:tcW w:w="1361" w:type="dxa"/>
            <w:vAlign w:val="center"/>
          </w:tcPr>
          <w:p>
            <w:pPr>
              <w:pStyle w:val="15"/>
            </w:pPr>
            <w:r>
              <w:t>887.40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711.40</w:t>
            </w:r>
          </w:p>
        </w:tc>
        <w:tc>
          <w:tcPr>
            <w:tcW w:w="1361" w:type="dxa"/>
            <w:vAlign w:val="center"/>
          </w:tcPr>
          <w:p>
            <w:pPr>
              <w:pStyle w:val="11"/>
            </w:pPr>
            <w:r>
              <w:t>699.40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711.40</w:t>
            </w:r>
          </w:p>
        </w:tc>
        <w:tc>
          <w:tcPr>
            <w:tcW w:w="1361" w:type="dxa"/>
            <w:vAlign w:val="center"/>
          </w:tcPr>
          <w:p>
            <w:pPr>
              <w:pStyle w:val="11"/>
            </w:pPr>
            <w:r>
              <w:t>699.40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2010306</w:t>
            </w:r>
          </w:p>
        </w:tc>
        <w:tc>
          <w:tcPr>
            <w:tcW w:w="4535" w:type="dxa"/>
            <w:vAlign w:val="center"/>
          </w:tcPr>
          <w:p>
            <w:pPr>
              <w:pStyle w:val="12"/>
            </w:pPr>
            <w:r>
              <w:t>政务公开审批</w:t>
            </w:r>
          </w:p>
        </w:tc>
        <w:tc>
          <w:tcPr>
            <w:tcW w:w="1361" w:type="dxa"/>
            <w:vAlign w:val="center"/>
          </w:tcPr>
          <w:p>
            <w:pPr>
              <w:pStyle w:val="11"/>
            </w:pPr>
            <w:r>
              <w:t>711.40</w:t>
            </w:r>
          </w:p>
        </w:tc>
        <w:tc>
          <w:tcPr>
            <w:tcW w:w="1361" w:type="dxa"/>
            <w:vAlign w:val="center"/>
          </w:tcPr>
          <w:p>
            <w:pPr>
              <w:pStyle w:val="11"/>
            </w:pPr>
            <w:r>
              <w:t>699.40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142.00</w:t>
            </w: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135.00</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115.00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899.40</w:t>
            </w:r>
          </w:p>
        </w:tc>
        <w:tc>
          <w:tcPr>
            <w:tcW w:w="3402" w:type="dxa"/>
            <w:vAlign w:val="center"/>
          </w:tcPr>
          <w:p>
            <w:pPr>
              <w:pStyle w:val="12"/>
            </w:pPr>
            <w:r>
              <w:t>一、一般公共服务支出</w:t>
            </w:r>
          </w:p>
        </w:tc>
        <w:tc>
          <w:tcPr>
            <w:tcW w:w="1474" w:type="dxa"/>
            <w:vAlign w:val="center"/>
          </w:tcPr>
          <w:p>
            <w:pPr>
              <w:pStyle w:val="11"/>
            </w:pPr>
            <w:r>
              <w:t>711.40</w:t>
            </w:r>
          </w:p>
        </w:tc>
        <w:tc>
          <w:tcPr>
            <w:tcW w:w="1474" w:type="dxa"/>
            <w:vAlign w:val="center"/>
          </w:tcPr>
          <w:p>
            <w:pPr>
              <w:pStyle w:val="11"/>
            </w:pPr>
            <w:r>
              <w:t>711.40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142.00</w:t>
            </w:r>
          </w:p>
        </w:tc>
        <w:tc>
          <w:tcPr>
            <w:tcW w:w="1474" w:type="dxa"/>
            <w:vAlign w:val="center"/>
          </w:tcPr>
          <w:p>
            <w:pPr>
              <w:pStyle w:val="11"/>
            </w:pPr>
            <w:r>
              <w:t>142.00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46.00</w:t>
            </w:r>
          </w:p>
        </w:tc>
        <w:tc>
          <w:tcPr>
            <w:tcW w:w="1474" w:type="dxa"/>
            <w:vAlign w:val="center"/>
          </w:tcPr>
          <w:p>
            <w:pPr>
              <w:pStyle w:val="11"/>
            </w:pPr>
            <w:r>
              <w:t>46.00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899.40</w:t>
            </w:r>
          </w:p>
        </w:tc>
        <w:tc>
          <w:tcPr>
            <w:tcW w:w="3402" w:type="dxa"/>
            <w:vAlign w:val="center"/>
          </w:tcPr>
          <w:p>
            <w:pPr>
              <w:pStyle w:val="14"/>
            </w:pPr>
            <w:r>
              <w:t>本年支出合计</w:t>
            </w:r>
          </w:p>
        </w:tc>
        <w:tc>
          <w:tcPr>
            <w:tcW w:w="1474" w:type="dxa"/>
            <w:vAlign w:val="center"/>
          </w:tcPr>
          <w:p>
            <w:pPr>
              <w:pStyle w:val="15"/>
            </w:pPr>
            <w:r>
              <w:t>899.40</w:t>
            </w:r>
          </w:p>
        </w:tc>
        <w:tc>
          <w:tcPr>
            <w:tcW w:w="1474" w:type="dxa"/>
            <w:vAlign w:val="center"/>
          </w:tcPr>
          <w:p>
            <w:pPr>
              <w:pStyle w:val="15"/>
            </w:pPr>
            <w:r>
              <w:t>899.40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899.40</w:t>
            </w:r>
          </w:p>
        </w:tc>
        <w:tc>
          <w:tcPr>
            <w:tcW w:w="3402" w:type="dxa"/>
            <w:vAlign w:val="center"/>
          </w:tcPr>
          <w:p>
            <w:pPr>
              <w:pStyle w:val="14"/>
            </w:pPr>
            <w:r>
              <w:t>支出总计</w:t>
            </w:r>
          </w:p>
        </w:tc>
        <w:tc>
          <w:tcPr>
            <w:tcW w:w="1474" w:type="dxa"/>
            <w:vAlign w:val="center"/>
          </w:tcPr>
          <w:p>
            <w:pPr>
              <w:pStyle w:val="15"/>
            </w:pPr>
            <w:r>
              <w:t>899.40</w:t>
            </w:r>
          </w:p>
        </w:tc>
        <w:tc>
          <w:tcPr>
            <w:tcW w:w="1474" w:type="dxa"/>
            <w:vAlign w:val="center"/>
          </w:tcPr>
          <w:p>
            <w:pPr>
              <w:pStyle w:val="15"/>
            </w:pPr>
            <w:r>
              <w:t>899.40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899.40</w:t>
            </w:r>
          </w:p>
        </w:tc>
        <w:tc>
          <w:tcPr>
            <w:tcW w:w="2551" w:type="dxa"/>
            <w:vAlign w:val="center"/>
          </w:tcPr>
          <w:p>
            <w:pPr>
              <w:pStyle w:val="15"/>
            </w:pPr>
            <w:r>
              <w:t>887.40</w:t>
            </w:r>
          </w:p>
        </w:tc>
        <w:tc>
          <w:tcPr>
            <w:tcW w:w="2551" w:type="dxa"/>
            <w:vAlign w:val="center"/>
          </w:tcPr>
          <w:p>
            <w:pPr>
              <w:pStyle w:val="15"/>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711.40</w:t>
            </w:r>
          </w:p>
        </w:tc>
        <w:tc>
          <w:tcPr>
            <w:tcW w:w="2551" w:type="dxa"/>
            <w:vAlign w:val="center"/>
          </w:tcPr>
          <w:p>
            <w:pPr>
              <w:pStyle w:val="11"/>
            </w:pPr>
            <w:r>
              <w:t>699.40</w:t>
            </w: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711.40</w:t>
            </w:r>
          </w:p>
        </w:tc>
        <w:tc>
          <w:tcPr>
            <w:tcW w:w="2551" w:type="dxa"/>
            <w:vAlign w:val="center"/>
          </w:tcPr>
          <w:p>
            <w:pPr>
              <w:pStyle w:val="11"/>
            </w:pPr>
            <w:r>
              <w:t>699.40</w:t>
            </w: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2010306</w:t>
            </w:r>
          </w:p>
        </w:tc>
        <w:tc>
          <w:tcPr>
            <w:tcW w:w="4535" w:type="dxa"/>
            <w:vAlign w:val="center"/>
          </w:tcPr>
          <w:p>
            <w:pPr>
              <w:pStyle w:val="12"/>
            </w:pPr>
            <w:r>
              <w:t>政务公开审批</w:t>
            </w:r>
          </w:p>
        </w:tc>
        <w:tc>
          <w:tcPr>
            <w:tcW w:w="2551" w:type="dxa"/>
            <w:vAlign w:val="center"/>
          </w:tcPr>
          <w:p>
            <w:pPr>
              <w:pStyle w:val="11"/>
            </w:pPr>
            <w:r>
              <w:t>711.40</w:t>
            </w:r>
          </w:p>
        </w:tc>
        <w:tc>
          <w:tcPr>
            <w:tcW w:w="2551" w:type="dxa"/>
            <w:vAlign w:val="center"/>
          </w:tcPr>
          <w:p>
            <w:pPr>
              <w:pStyle w:val="11"/>
            </w:pPr>
            <w:r>
              <w:t>699.40</w:t>
            </w: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142.00</w:t>
            </w:r>
          </w:p>
        </w:tc>
        <w:tc>
          <w:tcPr>
            <w:tcW w:w="2551" w:type="dxa"/>
            <w:vAlign w:val="center"/>
          </w:tcPr>
          <w:p>
            <w:pPr>
              <w:pStyle w:val="11"/>
            </w:pPr>
            <w:r>
              <w:t>142.00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887.40</w:t>
            </w:r>
          </w:p>
        </w:tc>
        <w:tc>
          <w:tcPr>
            <w:tcW w:w="2551" w:type="dxa"/>
            <w:vAlign w:val="center"/>
          </w:tcPr>
          <w:p>
            <w:pPr>
              <w:pStyle w:val="15"/>
            </w:pPr>
            <w:r>
              <w:t>714.40</w:t>
            </w:r>
          </w:p>
        </w:tc>
        <w:tc>
          <w:tcPr>
            <w:tcW w:w="2551" w:type="dxa"/>
            <w:vAlign w:val="center"/>
          </w:tcPr>
          <w:p>
            <w:pPr>
              <w:pStyle w:val="15"/>
            </w:pPr>
            <w:r>
              <w:t>173.00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701.10</w:t>
            </w:r>
          </w:p>
        </w:tc>
        <w:tc>
          <w:tcPr>
            <w:tcW w:w="2551" w:type="dxa"/>
            <w:vAlign w:val="center"/>
          </w:tcPr>
          <w:p>
            <w:pPr>
              <w:pStyle w:val="11"/>
            </w:pPr>
            <w:r>
              <w:t>701.10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246.00</w:t>
            </w:r>
          </w:p>
        </w:tc>
        <w:tc>
          <w:tcPr>
            <w:tcW w:w="2551" w:type="dxa"/>
            <w:vAlign w:val="center"/>
          </w:tcPr>
          <w:p>
            <w:pPr>
              <w:pStyle w:val="11"/>
            </w:pPr>
            <w:r>
              <w:t>246.00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55.50</w:t>
            </w:r>
          </w:p>
        </w:tc>
        <w:tc>
          <w:tcPr>
            <w:tcW w:w="2551" w:type="dxa"/>
            <w:vAlign w:val="center"/>
          </w:tcPr>
          <w:p>
            <w:pPr>
              <w:pStyle w:val="11"/>
            </w:pPr>
            <w:r>
              <w:t>55.50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125.60</w:t>
            </w:r>
          </w:p>
        </w:tc>
        <w:tc>
          <w:tcPr>
            <w:tcW w:w="2551" w:type="dxa"/>
            <w:vAlign w:val="center"/>
          </w:tcPr>
          <w:p>
            <w:pPr>
              <w:pStyle w:val="11"/>
            </w:pPr>
            <w:r>
              <w:t>125.60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173.00</w:t>
            </w:r>
          </w:p>
        </w:tc>
        <w:tc>
          <w:tcPr>
            <w:tcW w:w="2551" w:type="dxa"/>
            <w:vAlign w:val="center"/>
          </w:tcPr>
          <w:p>
            <w:pPr>
              <w:pStyle w:val="11"/>
            </w:pPr>
          </w:p>
        </w:tc>
        <w:tc>
          <w:tcPr>
            <w:tcW w:w="2551" w:type="dxa"/>
            <w:vAlign w:val="center"/>
          </w:tcPr>
          <w:p>
            <w:pPr>
              <w:pStyle w:val="11"/>
            </w:pPr>
            <w:r>
              <w:t>173.00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无极县数据和政务服务局本级2025年单位预算信息公开情况说明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按照《中华人民共和国预算法》、《地方预决算公开操作规程》和《关于进一步推进预算公开工作的实施意见》规定，现将无极县数据和政务服务局本级2025年单位预算公开如下：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w:t>
      </w:r>
    </w:p>
    <w:p>
      <w:pPr>
        <w:pStyle w:val="17"/>
      </w:pPr>
      <w:r>
        <w:t>中央、国务院和省委省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pStyle w:val="17"/>
      </w:pPr>
      <w:r>
        <w:t>（二）负责规范全县行政审批行为，创新和完善相关工作体制机制。推进简政放权，清理和规范各类行政许可等管理事项；承担县行政审批制度改革领导小组办公室日常工作。</w:t>
      </w:r>
    </w:p>
    <w:p>
      <w:pPr>
        <w:pStyle w:val="17"/>
      </w:pPr>
      <w: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pPr>
        <w:pStyle w:val="17"/>
      </w:pPr>
      <w:r>
        <w:t>（四）负责投资项目、商事登记、市场服务、文教体卫、社会事务、住建交通、生态环境、安全生产、农林畜水、经贸商务、城市管理等方面行政审批事项的办理及相关行政性收费，并承担相应的法律责任。</w:t>
      </w:r>
    </w:p>
    <w:p>
      <w:pPr>
        <w:pStyle w:val="17"/>
      </w:pPr>
      <w:r>
        <w:t>（五）负责协调派驻部门行政审批事项的办理工作，规范、管理和监督派驻部门行政审批行为。</w:t>
      </w:r>
    </w:p>
    <w:p>
      <w:pPr>
        <w:pStyle w:val="17"/>
      </w:pPr>
      <w:r>
        <w:t>（六）负责对行政审批、政务服务事项流程进行规范和优化，推进审批服务便民化、标准化建设。</w:t>
      </w:r>
    </w:p>
    <w:p>
      <w:pPr>
        <w:pStyle w:val="17"/>
      </w:pPr>
      <w:r>
        <w:t>（七）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pStyle w:val="17"/>
      </w:pPr>
      <w:r>
        <w:t>（八）负责对行政审批、政务服务行为进行监督检查、日常管理、教育培训和考评考核，负责对有关单位派驻县政务服务大厅窗口人员的协调服务及后勤保障工作。</w:t>
      </w:r>
    </w:p>
    <w:p>
      <w:pPr>
        <w:pStyle w:val="17"/>
      </w:pPr>
      <w:r>
        <w:t>（九）负责已划转行政许可事项涉及的现场勘验、审图、联合验收等工作。</w:t>
      </w:r>
    </w:p>
    <w:p>
      <w:pPr>
        <w:pStyle w:val="17"/>
      </w:pPr>
      <w:r>
        <w:t>（十）负责行政审批信息化工作，以及行政审批信息资料的保管、整理、统计、编目和定期检查工作。</w:t>
      </w:r>
    </w:p>
    <w:p>
      <w:pPr>
        <w:pStyle w:val="17"/>
      </w:pPr>
      <w:r>
        <w:t>（十一）完成县委县政府交办的其他任务。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无极县数据和政务服务局本级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899.40万元，其中：一般公共预算收入899.40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数据和政务服务局本级年度单位预算中支出预算的总体情况。2025年支出预算899.40万元，其中基本支出887.40万元，包括人员经费714.40万元和日常公用经费173.00万元；项目支出12.00万元，主要为保安工资12.00万元。</w:t>
      </w:r>
    </w:p>
    <w:p>
      <w:pPr>
        <w:pStyle w:val="18"/>
      </w:pPr>
      <w:r>
        <w:t>3、比上年增减情况</w:t>
      </w:r>
    </w:p>
    <w:p>
      <w:pPr>
        <w:pStyle w:val="18"/>
      </w:pPr>
      <w:r>
        <w:t>2025年预算收支安排899.40万元，较2024年预算减少194.10万元，其中：基本支出增加4.90万元，主要为人员增加，基本</w:t>
      </w:r>
      <w:r>
        <w:rPr>
          <w:rFonts w:hint="eastAsia"/>
          <w:lang w:eastAsia="zh-CN"/>
        </w:rPr>
        <w:t>支出</w:t>
      </w:r>
      <w:r>
        <w:t>增加。项目支出减少199.00万元，主要为2024年项目预算支出211.00万元，2025年项目预算支出12.00万元。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19"/>
      </w:pPr>
      <w:r>
        <w:t>202</w:t>
      </w:r>
      <w:r>
        <w:rPr>
          <w:rFonts w:hint="eastAsia"/>
          <w:lang w:val="en-US" w:eastAsia="zh-CN"/>
        </w:rPr>
        <w:t>5</w:t>
      </w:r>
      <w:r>
        <w:t>年，我单位机关运行经费共计安排173.00万元，主要用于日常维修、办公用房水电费、办公用房取暖费、办公用房物业管理费等日常运行支出。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w:t>
      </w:r>
      <w:r>
        <w:rPr>
          <w:rFonts w:hint="eastAsia"/>
          <w:lang w:val="en-US" w:eastAsia="zh-CN"/>
        </w:rPr>
        <w:t>没有产生新</w:t>
      </w:r>
      <w:r>
        <w:t>“三公”</w:t>
      </w:r>
      <w:r>
        <w:rPr>
          <w:rFonts w:hint="eastAsia"/>
          <w:lang w:val="en-US" w:eastAsia="zh-CN"/>
        </w:rPr>
        <w:t>费用的</w:t>
      </w:r>
      <w:r>
        <w:t>，与2024年持平。</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1、保安工资绩效目标表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13013025P00000210068T</w:t>
            </w:r>
          </w:p>
        </w:tc>
        <w:tc>
          <w:tcPr>
            <w:tcW w:w="2835" w:type="dxa"/>
            <w:vAlign w:val="center"/>
          </w:tcPr>
          <w:p>
            <w:pPr>
              <w:pStyle w:val="10"/>
            </w:pPr>
            <w:r>
              <w:t>项目名称</w:t>
            </w:r>
          </w:p>
        </w:tc>
        <w:tc>
          <w:tcPr>
            <w:tcW w:w="6095" w:type="dxa"/>
            <w:gridSpan w:val="3"/>
            <w:vAlign w:val="center"/>
          </w:tcPr>
          <w:p>
            <w:pPr>
              <w:pStyle w:val="12"/>
            </w:pPr>
            <w:r>
              <w:t>保安工资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用于支付保安工资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t>1</w:t>
            </w:r>
            <w:r>
              <w:rPr>
                <w:rFonts w:hint="eastAsia"/>
                <w:lang w:val="en-US" w:eastAsia="zh-CN"/>
              </w:rPr>
              <w:t>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1.目标内容保障数据和政务服务局的日常工作正常开展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292"/>
        <w:gridCol w:w="3056"/>
        <w:gridCol w:w="258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292" w:type="dxa"/>
            <w:vAlign w:val="center"/>
          </w:tcPr>
          <w:p>
            <w:pPr>
              <w:pStyle w:val="10"/>
            </w:pPr>
            <w:r>
              <w:t>绩效指标描述</w:t>
            </w:r>
          </w:p>
        </w:tc>
        <w:tc>
          <w:tcPr>
            <w:tcW w:w="3056" w:type="dxa"/>
            <w:vAlign w:val="center"/>
          </w:tcPr>
          <w:p>
            <w:pPr>
              <w:pStyle w:val="10"/>
            </w:pPr>
            <w:r>
              <w:t>指标值</w:t>
            </w:r>
          </w:p>
        </w:tc>
        <w:tc>
          <w:tcPr>
            <w:tcW w:w="2582"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按时支付大厅秩序等费用</w:t>
            </w:r>
          </w:p>
        </w:tc>
        <w:tc>
          <w:tcPr>
            <w:tcW w:w="3292" w:type="dxa"/>
            <w:vAlign w:val="center"/>
          </w:tcPr>
          <w:p>
            <w:pPr>
              <w:pStyle w:val="12"/>
            </w:pPr>
            <w:r>
              <w:t>按时支付大厅秩序等日常费用</w:t>
            </w:r>
          </w:p>
        </w:tc>
        <w:tc>
          <w:tcPr>
            <w:tcW w:w="3056" w:type="dxa"/>
            <w:vAlign w:val="center"/>
          </w:tcPr>
          <w:p>
            <w:pPr>
              <w:pStyle w:val="12"/>
            </w:pPr>
            <w:r>
              <w:t>支付水电暖等日常费用是否及时</w:t>
            </w:r>
          </w:p>
        </w:tc>
        <w:tc>
          <w:tcPr>
            <w:tcW w:w="2582" w:type="dxa"/>
            <w:vAlign w:val="center"/>
          </w:tcPr>
          <w:p>
            <w:pPr>
              <w:pStyle w:val="12"/>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3292" w:type="dxa"/>
            <w:vAlign w:val="center"/>
          </w:tcPr>
          <w:p>
            <w:pPr>
              <w:pStyle w:val="12"/>
            </w:pPr>
            <w:r>
              <w:t>被上级部门批评次数</w:t>
            </w:r>
          </w:p>
        </w:tc>
        <w:tc>
          <w:tcPr>
            <w:tcW w:w="3056" w:type="dxa"/>
            <w:vAlign w:val="center"/>
          </w:tcPr>
          <w:p>
            <w:pPr>
              <w:pStyle w:val="12"/>
            </w:pPr>
            <w:r>
              <w:t>＞1次</w:t>
            </w:r>
          </w:p>
        </w:tc>
        <w:tc>
          <w:tcPr>
            <w:tcW w:w="2582"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3292" w:type="dxa"/>
            <w:vAlign w:val="center"/>
          </w:tcPr>
          <w:p>
            <w:pPr>
              <w:pStyle w:val="12"/>
            </w:pPr>
            <w:r>
              <w:t>无拖延情况</w:t>
            </w:r>
          </w:p>
        </w:tc>
        <w:tc>
          <w:tcPr>
            <w:tcW w:w="3056" w:type="dxa"/>
            <w:vAlign w:val="center"/>
          </w:tcPr>
          <w:p>
            <w:pPr>
              <w:pStyle w:val="12"/>
            </w:pPr>
            <w:r>
              <w:t>及时完成工作</w:t>
            </w:r>
          </w:p>
        </w:tc>
        <w:tc>
          <w:tcPr>
            <w:tcW w:w="2582"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3292" w:type="dxa"/>
            <w:vAlign w:val="center"/>
          </w:tcPr>
          <w:p>
            <w:pPr>
              <w:pStyle w:val="12"/>
            </w:pPr>
            <w:r>
              <w:t>超支成本</w:t>
            </w:r>
          </w:p>
        </w:tc>
        <w:tc>
          <w:tcPr>
            <w:tcW w:w="3056" w:type="dxa"/>
            <w:vAlign w:val="center"/>
          </w:tcPr>
          <w:p>
            <w:pPr>
              <w:pStyle w:val="12"/>
            </w:pPr>
            <w:r>
              <w:t>不超出各项目预算数</w:t>
            </w:r>
          </w:p>
        </w:tc>
        <w:tc>
          <w:tcPr>
            <w:tcW w:w="2582"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3292" w:type="dxa"/>
            <w:vAlign w:val="center"/>
          </w:tcPr>
          <w:p>
            <w:pPr>
              <w:pStyle w:val="12"/>
            </w:pPr>
            <w:r>
              <w:t>保障人员正常办公</w:t>
            </w:r>
          </w:p>
        </w:tc>
        <w:tc>
          <w:tcPr>
            <w:tcW w:w="3056" w:type="dxa"/>
            <w:vAlign w:val="center"/>
          </w:tcPr>
          <w:p>
            <w:pPr>
              <w:pStyle w:val="12"/>
            </w:pPr>
            <w:r>
              <w:t>满足正常办公需求</w:t>
            </w:r>
          </w:p>
        </w:tc>
        <w:tc>
          <w:tcPr>
            <w:tcW w:w="2582"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3292" w:type="dxa"/>
            <w:vAlign w:val="center"/>
          </w:tcPr>
          <w:p>
            <w:pPr>
              <w:pStyle w:val="12"/>
            </w:pPr>
            <w:r>
              <w:t>通过开展维修、购置等工作</w:t>
            </w:r>
          </w:p>
        </w:tc>
        <w:tc>
          <w:tcPr>
            <w:tcW w:w="3056" w:type="dxa"/>
            <w:vAlign w:val="center"/>
          </w:tcPr>
          <w:p>
            <w:pPr>
              <w:pStyle w:val="12"/>
            </w:pPr>
            <w:r>
              <w:t>保障机关单位正常运转</w:t>
            </w:r>
          </w:p>
        </w:tc>
        <w:tc>
          <w:tcPr>
            <w:tcW w:w="2582"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3292" w:type="dxa"/>
            <w:vAlign w:val="center"/>
          </w:tcPr>
          <w:p>
            <w:pPr>
              <w:pStyle w:val="12"/>
            </w:pPr>
            <w:r>
              <w:t>反映使用数据采集终端减少纸质表的填报工作情况</w:t>
            </w:r>
          </w:p>
        </w:tc>
        <w:tc>
          <w:tcPr>
            <w:tcW w:w="3056" w:type="dxa"/>
            <w:vAlign w:val="center"/>
          </w:tcPr>
          <w:p>
            <w:pPr>
              <w:pStyle w:val="12"/>
            </w:pPr>
            <w:r>
              <w:t>无纸化办公节约率</w:t>
            </w:r>
          </w:p>
        </w:tc>
        <w:tc>
          <w:tcPr>
            <w:tcW w:w="2582"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3292" w:type="dxa"/>
            <w:vAlign w:val="center"/>
          </w:tcPr>
          <w:p>
            <w:pPr>
              <w:pStyle w:val="12"/>
            </w:pPr>
            <w:r>
              <w:t>为单位日常工作开展提供有力保障。</w:t>
            </w:r>
          </w:p>
        </w:tc>
        <w:tc>
          <w:tcPr>
            <w:tcW w:w="3056" w:type="dxa"/>
            <w:vAlign w:val="center"/>
          </w:tcPr>
          <w:p>
            <w:pPr>
              <w:pStyle w:val="12"/>
            </w:pPr>
            <w:r>
              <w:t>保证单位正常运转</w:t>
            </w:r>
          </w:p>
        </w:tc>
        <w:tc>
          <w:tcPr>
            <w:tcW w:w="2582"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3292" w:type="dxa"/>
            <w:vAlign w:val="center"/>
          </w:tcPr>
          <w:p>
            <w:pPr>
              <w:pStyle w:val="12"/>
            </w:pPr>
            <w:r>
              <w:t>系统使用满意情况</w:t>
            </w:r>
          </w:p>
        </w:tc>
        <w:tc>
          <w:tcPr>
            <w:tcW w:w="3056" w:type="dxa"/>
            <w:vAlign w:val="center"/>
          </w:tcPr>
          <w:p>
            <w:pPr>
              <w:pStyle w:val="12"/>
            </w:pPr>
            <w:r>
              <w:t>≥95%</w:t>
            </w:r>
          </w:p>
        </w:tc>
        <w:tc>
          <w:tcPr>
            <w:tcW w:w="2582"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无极县数据和政务服务局本级上年末固定资产金额为</w:t>
      </w:r>
      <w:r>
        <w:rPr>
          <w:rFonts w:hint="eastAsia" w:eastAsia="方正仿宋_GBK" w:cs="Times New Roman"/>
          <w:b w:val="0"/>
          <w:color w:val="000000"/>
          <w:sz w:val="28"/>
          <w:lang w:val="en-US" w:eastAsia="zh-CN"/>
        </w:rPr>
        <w:t>69.14</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77"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1521</w:t>
            </w:r>
          </w:p>
        </w:tc>
        <w:tc>
          <w:tcPr>
            <w:tcW w:w="2835" w:type="dxa"/>
            <w:vAlign w:val="center"/>
          </w:tcPr>
          <w:p>
            <w:pPr>
              <w:pStyle w:val="11"/>
              <w:jc w:val="center"/>
              <w:rPr>
                <w:rFonts w:hint="default" w:eastAsia="方正书宋_GBK"/>
                <w:lang w:val="en-US" w:eastAsia="zh-CN"/>
              </w:rPr>
            </w:pPr>
            <w:r>
              <w:rPr>
                <w:rFonts w:hint="eastAsia"/>
                <w:lang w:val="en-US" w:eastAsia="zh-CN"/>
              </w:rPr>
              <w:t>69.14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bookmarkStart w:id="1" w:name="_GoBack"/>
            <w:bookmarkEnd w:id="1"/>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1521</w:t>
            </w:r>
          </w:p>
        </w:tc>
        <w:tc>
          <w:tcPr>
            <w:tcW w:w="2835" w:type="dxa"/>
            <w:vAlign w:val="center"/>
          </w:tcPr>
          <w:p>
            <w:pPr>
              <w:pStyle w:val="11"/>
              <w:jc w:val="center"/>
              <w:rPr>
                <w:rFonts w:hint="default" w:eastAsia="方正书宋_GBK"/>
                <w:lang w:val="en-US" w:eastAsia="zh-CN"/>
              </w:rPr>
            </w:pPr>
            <w:r>
              <w:rPr>
                <w:rFonts w:hint="eastAsia"/>
                <w:lang w:val="en-US" w:eastAsia="zh-CN"/>
              </w:rPr>
              <w:t>69.14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57DCD1"/>
    <w:multiLevelType w:val="singleLevel"/>
    <w:tmpl w:val="8157DCD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zYzY1MzA0M2UwNjJkYzJkYjViYmZkNWM1NGJjYmMifQ=="/>
  </w:docVars>
  <w:rsids>
    <w:rsidRoot w:val="00000000"/>
    <w:rsid w:val="0E9D4183"/>
    <w:rsid w:val="126C78FE"/>
    <w:rsid w:val="144D1B4E"/>
    <w:rsid w:val="3EE23A7E"/>
    <w:rsid w:val="4CA61DB8"/>
    <w:rsid w:val="664C1A1E"/>
    <w:rsid w:val="67134F34"/>
    <w:rsid w:val="6FAF199C"/>
    <w:rsid w:val="7C4C4F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2025-02-07T17:18:00Z</dcterms:created>
  <dc:creator>Lenovo</dc:creator>
  <cp:lastModifiedBy>浮生</cp:lastModifiedBy>
  <dcterms:modified xsi:type="dcterms:W3CDTF">2025-10-31T02:56:34Z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C31478420B9A46369B293FADB130BD9E</vt:lpwstr>
  </property>
</Properties>
</file>