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一、无极县机关事务服务中心本极收支预算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r>
        <w:rPr>
          <w:color w:val="FF0000"/>
          <w:sz w:val="24"/>
        </w:rPr>
        <w:t>.</w:t>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一、无极县机关事务服务中心本极收支预算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647.50</w:t>
            </w:r>
          </w:p>
        </w:tc>
        <w:tc>
          <w:tcPr>
            <w:tcW w:w="4535" w:type="dxa"/>
            <w:vAlign w:val="center"/>
          </w:tcPr>
          <w:p>
            <w:pPr>
              <w:pStyle w:val="12"/>
            </w:pPr>
            <w:r>
              <w:t>一、一般公共服务支出</w:t>
            </w:r>
          </w:p>
        </w:tc>
        <w:tc>
          <w:tcPr>
            <w:tcW w:w="2126" w:type="dxa"/>
            <w:vAlign w:val="center"/>
          </w:tcPr>
          <w:p>
            <w:pPr>
              <w:pStyle w:val="11"/>
            </w:pPr>
            <w:r>
              <w:t>582.00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647.50</w:t>
            </w:r>
          </w:p>
        </w:tc>
        <w:tc>
          <w:tcPr>
            <w:tcW w:w="4535" w:type="dxa"/>
            <w:vAlign w:val="center"/>
          </w:tcPr>
          <w:p>
            <w:pPr>
              <w:pStyle w:val="14"/>
            </w:pPr>
            <w:r>
              <w:t>本年支出合计</w:t>
            </w:r>
          </w:p>
        </w:tc>
        <w:tc>
          <w:tcPr>
            <w:tcW w:w="2126" w:type="dxa"/>
            <w:vAlign w:val="center"/>
          </w:tcPr>
          <w:p>
            <w:pPr>
              <w:pStyle w:val="15"/>
            </w:pPr>
            <w:r>
              <w:t>647.50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647.50</w:t>
            </w:r>
          </w:p>
        </w:tc>
        <w:tc>
          <w:tcPr>
            <w:tcW w:w="4535" w:type="dxa"/>
            <w:vAlign w:val="center"/>
          </w:tcPr>
          <w:p>
            <w:pPr>
              <w:pStyle w:val="14"/>
            </w:pPr>
            <w:r>
              <w:t>支出总计</w:t>
            </w:r>
          </w:p>
        </w:tc>
        <w:tc>
          <w:tcPr>
            <w:tcW w:w="2126" w:type="dxa"/>
            <w:vAlign w:val="center"/>
          </w:tcPr>
          <w:p>
            <w:pPr>
              <w:pStyle w:val="15"/>
            </w:pPr>
            <w:r>
              <w:t>647.50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647.50</w:t>
            </w:r>
          </w:p>
        </w:tc>
        <w:tc>
          <w:tcPr>
            <w:tcW w:w="1134" w:type="dxa"/>
            <w:vAlign w:val="center"/>
          </w:tcPr>
          <w:p>
            <w:pPr>
              <w:pStyle w:val="15"/>
            </w:pPr>
            <w:r>
              <w:t>647.50</w:t>
            </w:r>
          </w:p>
        </w:tc>
        <w:tc>
          <w:tcPr>
            <w:tcW w:w="1134" w:type="dxa"/>
            <w:vAlign w:val="center"/>
          </w:tcPr>
          <w:p>
            <w:pPr>
              <w:pStyle w:val="15"/>
            </w:pPr>
            <w:r>
              <w:t>647.50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582.00</w:t>
            </w:r>
          </w:p>
        </w:tc>
        <w:tc>
          <w:tcPr>
            <w:tcW w:w="1134" w:type="dxa"/>
            <w:vAlign w:val="center"/>
          </w:tcPr>
          <w:p>
            <w:pPr>
              <w:pStyle w:val="11"/>
            </w:pPr>
            <w:r>
              <w:t>582.00</w:t>
            </w:r>
          </w:p>
        </w:tc>
        <w:tc>
          <w:tcPr>
            <w:tcW w:w="1134" w:type="dxa"/>
            <w:vAlign w:val="center"/>
          </w:tcPr>
          <w:p>
            <w:pPr>
              <w:pStyle w:val="11"/>
            </w:pPr>
            <w:r>
              <w:t>582.00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582.00</w:t>
            </w:r>
          </w:p>
        </w:tc>
        <w:tc>
          <w:tcPr>
            <w:tcW w:w="1134" w:type="dxa"/>
            <w:vAlign w:val="center"/>
          </w:tcPr>
          <w:p>
            <w:pPr>
              <w:pStyle w:val="11"/>
            </w:pPr>
            <w:r>
              <w:t>582.00</w:t>
            </w:r>
          </w:p>
        </w:tc>
        <w:tc>
          <w:tcPr>
            <w:tcW w:w="1134" w:type="dxa"/>
            <w:vAlign w:val="center"/>
          </w:tcPr>
          <w:p>
            <w:pPr>
              <w:pStyle w:val="11"/>
            </w:pPr>
            <w:r>
              <w:t>582.00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422.00</w:t>
            </w:r>
          </w:p>
        </w:tc>
        <w:tc>
          <w:tcPr>
            <w:tcW w:w="1134" w:type="dxa"/>
            <w:vAlign w:val="center"/>
          </w:tcPr>
          <w:p>
            <w:pPr>
              <w:pStyle w:val="11"/>
            </w:pPr>
            <w:r>
              <w:t>422.00</w:t>
            </w:r>
          </w:p>
        </w:tc>
        <w:tc>
          <w:tcPr>
            <w:tcW w:w="1134" w:type="dxa"/>
            <w:vAlign w:val="center"/>
          </w:tcPr>
          <w:p>
            <w:pPr>
              <w:pStyle w:val="11"/>
            </w:pPr>
            <w:r>
              <w:t>422.00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2010304</w:t>
            </w:r>
          </w:p>
        </w:tc>
        <w:tc>
          <w:tcPr>
            <w:tcW w:w="1559" w:type="dxa"/>
            <w:vAlign w:val="center"/>
          </w:tcPr>
          <w:p>
            <w:pPr>
              <w:pStyle w:val="12"/>
            </w:pPr>
            <w:r>
              <w:t>专项服务</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r>
              <w:t>160.00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49.50</w:t>
            </w:r>
          </w:p>
        </w:tc>
        <w:tc>
          <w:tcPr>
            <w:tcW w:w="1134" w:type="dxa"/>
            <w:vAlign w:val="center"/>
          </w:tcPr>
          <w:p>
            <w:pPr>
              <w:pStyle w:val="11"/>
            </w:pPr>
            <w:r>
              <w:t>49.50</w:t>
            </w:r>
          </w:p>
        </w:tc>
        <w:tc>
          <w:tcPr>
            <w:tcW w:w="1134" w:type="dxa"/>
            <w:vAlign w:val="center"/>
          </w:tcPr>
          <w:p>
            <w:pPr>
              <w:pStyle w:val="11"/>
            </w:pPr>
            <w:r>
              <w:t>49.50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47.00</w:t>
            </w:r>
          </w:p>
        </w:tc>
        <w:tc>
          <w:tcPr>
            <w:tcW w:w="1134" w:type="dxa"/>
            <w:vAlign w:val="center"/>
          </w:tcPr>
          <w:p>
            <w:pPr>
              <w:pStyle w:val="11"/>
            </w:pPr>
            <w:r>
              <w:t>47.00</w:t>
            </w:r>
          </w:p>
        </w:tc>
        <w:tc>
          <w:tcPr>
            <w:tcW w:w="1134" w:type="dxa"/>
            <w:vAlign w:val="center"/>
          </w:tcPr>
          <w:p>
            <w:pPr>
              <w:pStyle w:val="11"/>
            </w:pPr>
            <w:r>
              <w:t>47.00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r>
              <w:t>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r>
              <w:t>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r>
              <w:t>16.00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647.50</w:t>
            </w:r>
          </w:p>
        </w:tc>
        <w:tc>
          <w:tcPr>
            <w:tcW w:w="1361" w:type="dxa"/>
            <w:vAlign w:val="center"/>
          </w:tcPr>
          <w:p>
            <w:pPr>
              <w:pStyle w:val="15"/>
            </w:pPr>
            <w:r>
              <w:t>487.50</w:t>
            </w:r>
          </w:p>
        </w:tc>
        <w:tc>
          <w:tcPr>
            <w:tcW w:w="1361" w:type="dxa"/>
            <w:vAlign w:val="center"/>
          </w:tcPr>
          <w:p>
            <w:pPr>
              <w:pStyle w:val="15"/>
            </w:pPr>
            <w:r>
              <w:t>160.00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582.00</w:t>
            </w:r>
          </w:p>
        </w:tc>
        <w:tc>
          <w:tcPr>
            <w:tcW w:w="1361" w:type="dxa"/>
            <w:vAlign w:val="center"/>
          </w:tcPr>
          <w:p>
            <w:pPr>
              <w:pStyle w:val="11"/>
            </w:pPr>
            <w:r>
              <w:t>422.00</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582.00</w:t>
            </w:r>
          </w:p>
        </w:tc>
        <w:tc>
          <w:tcPr>
            <w:tcW w:w="1361" w:type="dxa"/>
            <w:vAlign w:val="center"/>
          </w:tcPr>
          <w:p>
            <w:pPr>
              <w:pStyle w:val="11"/>
            </w:pPr>
            <w:r>
              <w:t>422.00</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422.00</w:t>
            </w:r>
          </w:p>
        </w:tc>
        <w:tc>
          <w:tcPr>
            <w:tcW w:w="1361" w:type="dxa"/>
            <w:vAlign w:val="center"/>
          </w:tcPr>
          <w:p>
            <w:pPr>
              <w:pStyle w:val="11"/>
            </w:pPr>
            <w:r>
              <w:t>422.00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2010304</w:t>
            </w:r>
          </w:p>
        </w:tc>
        <w:tc>
          <w:tcPr>
            <w:tcW w:w="4535" w:type="dxa"/>
            <w:vAlign w:val="center"/>
          </w:tcPr>
          <w:p>
            <w:pPr>
              <w:pStyle w:val="12"/>
            </w:pPr>
            <w:r>
              <w:t>专项服务</w:t>
            </w: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r>
              <w:t>160.00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49.50</w:t>
            </w:r>
          </w:p>
        </w:tc>
        <w:tc>
          <w:tcPr>
            <w:tcW w:w="1361" w:type="dxa"/>
            <w:vAlign w:val="center"/>
          </w:tcPr>
          <w:p>
            <w:pPr>
              <w:pStyle w:val="11"/>
            </w:pPr>
            <w:r>
              <w:t>49.50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47.00</w:t>
            </w:r>
          </w:p>
        </w:tc>
        <w:tc>
          <w:tcPr>
            <w:tcW w:w="1361" w:type="dxa"/>
            <w:vAlign w:val="center"/>
          </w:tcPr>
          <w:p>
            <w:pPr>
              <w:pStyle w:val="11"/>
            </w:pPr>
            <w:r>
              <w:t>47.00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40.00</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7.00</w:t>
            </w:r>
          </w:p>
        </w:tc>
        <w:tc>
          <w:tcPr>
            <w:tcW w:w="1361" w:type="dxa"/>
            <w:vAlign w:val="center"/>
          </w:tcPr>
          <w:p>
            <w:pPr>
              <w:pStyle w:val="11"/>
            </w:pPr>
            <w:r>
              <w:t>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2.50</w:t>
            </w:r>
          </w:p>
        </w:tc>
        <w:tc>
          <w:tcPr>
            <w:tcW w:w="1361" w:type="dxa"/>
            <w:vAlign w:val="center"/>
          </w:tcPr>
          <w:p>
            <w:pPr>
              <w:pStyle w:val="11"/>
            </w:pPr>
            <w:r>
              <w:t>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16.00</w:t>
            </w:r>
          </w:p>
        </w:tc>
        <w:tc>
          <w:tcPr>
            <w:tcW w:w="1361" w:type="dxa"/>
            <w:vAlign w:val="center"/>
          </w:tcPr>
          <w:p>
            <w:pPr>
              <w:pStyle w:val="11"/>
            </w:pPr>
            <w:r>
              <w:t>16.00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647.50</w:t>
            </w:r>
          </w:p>
        </w:tc>
        <w:tc>
          <w:tcPr>
            <w:tcW w:w="3402" w:type="dxa"/>
            <w:vAlign w:val="center"/>
          </w:tcPr>
          <w:p>
            <w:pPr>
              <w:pStyle w:val="12"/>
            </w:pPr>
            <w:r>
              <w:t>一、一般公共服务支出</w:t>
            </w:r>
          </w:p>
        </w:tc>
        <w:tc>
          <w:tcPr>
            <w:tcW w:w="1474" w:type="dxa"/>
            <w:vAlign w:val="center"/>
          </w:tcPr>
          <w:p>
            <w:pPr>
              <w:pStyle w:val="11"/>
            </w:pPr>
            <w:r>
              <w:t>582.00</w:t>
            </w:r>
          </w:p>
        </w:tc>
        <w:tc>
          <w:tcPr>
            <w:tcW w:w="1474" w:type="dxa"/>
            <w:vAlign w:val="center"/>
          </w:tcPr>
          <w:p>
            <w:pPr>
              <w:pStyle w:val="11"/>
            </w:pPr>
            <w:r>
              <w:t>582.00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49.50</w:t>
            </w:r>
          </w:p>
        </w:tc>
        <w:tc>
          <w:tcPr>
            <w:tcW w:w="1474" w:type="dxa"/>
            <w:vAlign w:val="center"/>
          </w:tcPr>
          <w:p>
            <w:pPr>
              <w:pStyle w:val="11"/>
            </w:pPr>
            <w:r>
              <w:t>49.50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16.00</w:t>
            </w:r>
          </w:p>
        </w:tc>
        <w:tc>
          <w:tcPr>
            <w:tcW w:w="1474" w:type="dxa"/>
            <w:vAlign w:val="center"/>
          </w:tcPr>
          <w:p>
            <w:pPr>
              <w:pStyle w:val="11"/>
            </w:pPr>
            <w:r>
              <w:t>16.00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647.50</w:t>
            </w:r>
          </w:p>
        </w:tc>
        <w:tc>
          <w:tcPr>
            <w:tcW w:w="3402" w:type="dxa"/>
            <w:vAlign w:val="center"/>
          </w:tcPr>
          <w:p>
            <w:pPr>
              <w:pStyle w:val="14"/>
            </w:pPr>
            <w:r>
              <w:t>本年支出合计</w:t>
            </w:r>
          </w:p>
        </w:tc>
        <w:tc>
          <w:tcPr>
            <w:tcW w:w="1474" w:type="dxa"/>
            <w:vAlign w:val="center"/>
          </w:tcPr>
          <w:p>
            <w:pPr>
              <w:pStyle w:val="15"/>
            </w:pPr>
            <w:r>
              <w:t>647.50</w:t>
            </w:r>
          </w:p>
        </w:tc>
        <w:tc>
          <w:tcPr>
            <w:tcW w:w="1474" w:type="dxa"/>
            <w:vAlign w:val="center"/>
          </w:tcPr>
          <w:p>
            <w:pPr>
              <w:pStyle w:val="15"/>
            </w:pPr>
            <w:r>
              <w:t>647.50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647.50</w:t>
            </w:r>
          </w:p>
        </w:tc>
        <w:tc>
          <w:tcPr>
            <w:tcW w:w="3402" w:type="dxa"/>
            <w:vAlign w:val="center"/>
          </w:tcPr>
          <w:p>
            <w:pPr>
              <w:pStyle w:val="14"/>
            </w:pPr>
            <w:r>
              <w:t>支出总计</w:t>
            </w:r>
          </w:p>
        </w:tc>
        <w:tc>
          <w:tcPr>
            <w:tcW w:w="1474" w:type="dxa"/>
            <w:vAlign w:val="center"/>
          </w:tcPr>
          <w:p>
            <w:pPr>
              <w:pStyle w:val="15"/>
            </w:pPr>
            <w:r>
              <w:t>647.50</w:t>
            </w:r>
          </w:p>
        </w:tc>
        <w:tc>
          <w:tcPr>
            <w:tcW w:w="1474" w:type="dxa"/>
            <w:vAlign w:val="center"/>
          </w:tcPr>
          <w:p>
            <w:pPr>
              <w:pStyle w:val="15"/>
            </w:pPr>
            <w:r>
              <w:t>647.50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647.50</w:t>
            </w:r>
          </w:p>
        </w:tc>
        <w:tc>
          <w:tcPr>
            <w:tcW w:w="2551" w:type="dxa"/>
            <w:vAlign w:val="center"/>
          </w:tcPr>
          <w:p>
            <w:pPr>
              <w:pStyle w:val="15"/>
            </w:pPr>
            <w:r>
              <w:t>487.50</w:t>
            </w:r>
          </w:p>
        </w:tc>
        <w:tc>
          <w:tcPr>
            <w:tcW w:w="2551" w:type="dxa"/>
            <w:vAlign w:val="center"/>
          </w:tcPr>
          <w:p>
            <w:pPr>
              <w:pStyle w:val="15"/>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582.00</w:t>
            </w:r>
          </w:p>
        </w:tc>
        <w:tc>
          <w:tcPr>
            <w:tcW w:w="2551" w:type="dxa"/>
            <w:vAlign w:val="center"/>
          </w:tcPr>
          <w:p>
            <w:pPr>
              <w:pStyle w:val="11"/>
            </w:pPr>
            <w:r>
              <w:t>422.00</w:t>
            </w:r>
          </w:p>
        </w:tc>
        <w:tc>
          <w:tcPr>
            <w:tcW w:w="2551" w:type="dxa"/>
            <w:vAlign w:val="center"/>
          </w:tcPr>
          <w:p>
            <w:pPr>
              <w:pStyle w:val="11"/>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582.00</w:t>
            </w:r>
          </w:p>
        </w:tc>
        <w:tc>
          <w:tcPr>
            <w:tcW w:w="2551" w:type="dxa"/>
            <w:vAlign w:val="center"/>
          </w:tcPr>
          <w:p>
            <w:pPr>
              <w:pStyle w:val="11"/>
            </w:pPr>
            <w:r>
              <w:t>422.00</w:t>
            </w:r>
          </w:p>
        </w:tc>
        <w:tc>
          <w:tcPr>
            <w:tcW w:w="2551" w:type="dxa"/>
            <w:vAlign w:val="center"/>
          </w:tcPr>
          <w:p>
            <w:pPr>
              <w:pStyle w:val="11"/>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422.00</w:t>
            </w:r>
          </w:p>
        </w:tc>
        <w:tc>
          <w:tcPr>
            <w:tcW w:w="2551" w:type="dxa"/>
            <w:vAlign w:val="center"/>
          </w:tcPr>
          <w:p>
            <w:pPr>
              <w:pStyle w:val="11"/>
            </w:pPr>
            <w:r>
              <w:t>422.00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2010304</w:t>
            </w:r>
          </w:p>
        </w:tc>
        <w:tc>
          <w:tcPr>
            <w:tcW w:w="4535" w:type="dxa"/>
            <w:vAlign w:val="center"/>
          </w:tcPr>
          <w:p>
            <w:pPr>
              <w:pStyle w:val="12"/>
            </w:pPr>
            <w:r>
              <w:t>专项服务</w:t>
            </w:r>
          </w:p>
        </w:tc>
        <w:tc>
          <w:tcPr>
            <w:tcW w:w="2551" w:type="dxa"/>
            <w:vAlign w:val="center"/>
          </w:tcPr>
          <w:p>
            <w:pPr>
              <w:pStyle w:val="11"/>
            </w:pPr>
            <w:r>
              <w:t>160.00</w:t>
            </w:r>
          </w:p>
        </w:tc>
        <w:tc>
          <w:tcPr>
            <w:tcW w:w="2551" w:type="dxa"/>
            <w:vAlign w:val="center"/>
          </w:tcPr>
          <w:p>
            <w:pPr>
              <w:pStyle w:val="11"/>
            </w:pPr>
          </w:p>
        </w:tc>
        <w:tc>
          <w:tcPr>
            <w:tcW w:w="2551" w:type="dxa"/>
            <w:vAlign w:val="center"/>
          </w:tcPr>
          <w:p>
            <w:pPr>
              <w:pStyle w:val="11"/>
            </w:pPr>
            <w:r>
              <w:t>160.00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49.50</w:t>
            </w:r>
          </w:p>
        </w:tc>
        <w:tc>
          <w:tcPr>
            <w:tcW w:w="2551" w:type="dxa"/>
            <w:vAlign w:val="center"/>
          </w:tcPr>
          <w:p>
            <w:pPr>
              <w:pStyle w:val="11"/>
            </w:pPr>
            <w:r>
              <w:t>49.50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47.00</w:t>
            </w:r>
          </w:p>
        </w:tc>
        <w:tc>
          <w:tcPr>
            <w:tcW w:w="2551" w:type="dxa"/>
            <w:vAlign w:val="center"/>
          </w:tcPr>
          <w:p>
            <w:pPr>
              <w:pStyle w:val="11"/>
            </w:pPr>
            <w:r>
              <w:t>47.00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487.50</w:t>
            </w:r>
          </w:p>
        </w:tc>
        <w:tc>
          <w:tcPr>
            <w:tcW w:w="2551" w:type="dxa"/>
            <w:vAlign w:val="center"/>
          </w:tcPr>
          <w:p>
            <w:pPr>
              <w:pStyle w:val="15"/>
            </w:pPr>
            <w:r>
              <w:t>296.50</w:t>
            </w:r>
          </w:p>
        </w:tc>
        <w:tc>
          <w:tcPr>
            <w:tcW w:w="2551" w:type="dxa"/>
            <w:vAlign w:val="center"/>
          </w:tcPr>
          <w:p>
            <w:pPr>
              <w:pStyle w:val="15"/>
            </w:pPr>
            <w:r>
              <w:t>191.00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254.40</w:t>
            </w:r>
          </w:p>
        </w:tc>
        <w:tc>
          <w:tcPr>
            <w:tcW w:w="2551" w:type="dxa"/>
            <w:vAlign w:val="center"/>
          </w:tcPr>
          <w:p>
            <w:pPr>
              <w:pStyle w:val="11"/>
            </w:pPr>
            <w:r>
              <w:t>254.40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91.00</w:t>
            </w:r>
          </w:p>
        </w:tc>
        <w:tc>
          <w:tcPr>
            <w:tcW w:w="2551" w:type="dxa"/>
            <w:vAlign w:val="center"/>
          </w:tcPr>
          <w:p>
            <w:pPr>
              <w:pStyle w:val="11"/>
            </w:pPr>
            <w:r>
              <w:t>91.00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2.40</w:t>
            </w:r>
          </w:p>
        </w:tc>
        <w:tc>
          <w:tcPr>
            <w:tcW w:w="2551" w:type="dxa"/>
            <w:vAlign w:val="center"/>
          </w:tcPr>
          <w:p>
            <w:pPr>
              <w:pStyle w:val="11"/>
            </w:pPr>
            <w:r>
              <w:t>2.40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78.00</w:t>
            </w:r>
          </w:p>
        </w:tc>
        <w:tc>
          <w:tcPr>
            <w:tcW w:w="2551" w:type="dxa"/>
            <w:vAlign w:val="center"/>
          </w:tcPr>
          <w:p>
            <w:pPr>
              <w:pStyle w:val="11"/>
            </w:pPr>
            <w:r>
              <w:t>78.00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40.00</w:t>
            </w:r>
          </w:p>
        </w:tc>
        <w:tc>
          <w:tcPr>
            <w:tcW w:w="2551" w:type="dxa"/>
            <w:vAlign w:val="center"/>
          </w:tcPr>
          <w:p>
            <w:pPr>
              <w:pStyle w:val="11"/>
            </w:pPr>
            <w:r>
              <w:t>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7.00</w:t>
            </w:r>
          </w:p>
        </w:tc>
        <w:tc>
          <w:tcPr>
            <w:tcW w:w="2551" w:type="dxa"/>
            <w:vAlign w:val="center"/>
          </w:tcPr>
          <w:p>
            <w:pPr>
              <w:pStyle w:val="11"/>
            </w:pPr>
            <w:r>
              <w:t>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191.00</w:t>
            </w:r>
          </w:p>
        </w:tc>
        <w:tc>
          <w:tcPr>
            <w:tcW w:w="2551" w:type="dxa"/>
            <w:vAlign w:val="center"/>
          </w:tcPr>
          <w:p>
            <w:pPr>
              <w:pStyle w:val="11"/>
            </w:pPr>
          </w:p>
        </w:tc>
        <w:tc>
          <w:tcPr>
            <w:tcW w:w="2551" w:type="dxa"/>
            <w:vAlign w:val="center"/>
          </w:tcPr>
          <w:p>
            <w:pPr>
              <w:pStyle w:val="11"/>
            </w:pPr>
            <w:r>
              <w:t>191.00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175.00</w:t>
            </w:r>
          </w:p>
        </w:tc>
        <w:tc>
          <w:tcPr>
            <w:tcW w:w="2551" w:type="dxa"/>
            <w:vAlign w:val="center"/>
          </w:tcPr>
          <w:p>
            <w:pPr>
              <w:pStyle w:val="11"/>
            </w:pPr>
          </w:p>
        </w:tc>
        <w:tc>
          <w:tcPr>
            <w:tcW w:w="2551" w:type="dxa"/>
            <w:vAlign w:val="center"/>
          </w:tcPr>
          <w:p>
            <w:pPr>
              <w:pStyle w:val="11"/>
            </w:pPr>
            <w:r>
              <w:t>175.00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14.70</w:t>
            </w:r>
          </w:p>
        </w:tc>
        <w:tc>
          <w:tcPr>
            <w:tcW w:w="2551" w:type="dxa"/>
            <w:vAlign w:val="center"/>
          </w:tcPr>
          <w:p>
            <w:pPr>
              <w:pStyle w:val="11"/>
            </w:pPr>
          </w:p>
        </w:tc>
        <w:tc>
          <w:tcPr>
            <w:tcW w:w="2551" w:type="dxa"/>
            <w:vAlign w:val="center"/>
          </w:tcPr>
          <w:p>
            <w:pPr>
              <w:pStyle w:val="11"/>
            </w:pPr>
            <w:r>
              <w:t>14.70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42.10</w:t>
            </w:r>
          </w:p>
        </w:tc>
        <w:tc>
          <w:tcPr>
            <w:tcW w:w="2551" w:type="dxa"/>
            <w:vAlign w:val="center"/>
          </w:tcPr>
          <w:p>
            <w:pPr>
              <w:pStyle w:val="11"/>
            </w:pPr>
            <w:r>
              <w:t>42.10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42.10</w:t>
            </w:r>
          </w:p>
        </w:tc>
        <w:tc>
          <w:tcPr>
            <w:tcW w:w="2551" w:type="dxa"/>
            <w:vAlign w:val="center"/>
          </w:tcPr>
          <w:p>
            <w:pPr>
              <w:pStyle w:val="11"/>
            </w:pPr>
            <w:r>
              <w:t>42.10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无极县机关事务服务中心本极2025年单位预算信息公开情况说明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按照《中华人民共和国预算法》、《地方预决算公开操作规程》和《关于进一步推进预算公开工作的实施意见》规定，现将无极县机关事务服务中心本极2025年单位预算公开如下：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机关事务服务中心按照县委、县政府工作部署，围绕本部门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无极县机关事务服务中心本极</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647.50万元，其中：一般公共预算收入647.50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机关事务服务中心本极年度单位预算中支出预算的总体情况。2025年支出预算647.50万元，其中基本支出487.50万元，包括人员经费296.50万元和日常公用经费191.00万元；项目支出160.00万元，主要为无极县政府机关大院安保、保洁外包服务费。</w:t>
      </w:r>
    </w:p>
    <w:p>
      <w:pPr>
        <w:pStyle w:val="18"/>
      </w:pPr>
      <w:r>
        <w:t>3、比上年增减情况</w:t>
      </w:r>
    </w:p>
    <w:p>
      <w:pPr>
        <w:pStyle w:val="18"/>
      </w:pPr>
      <w:r>
        <w:t>2025年预算收支安排647.50万元，较2024年预算减少554.74万元，其中：基本支出减少14.74万元，主要为基本支出减少。项目支出减少540.00万元，主要为项目支出减少。</w:t>
      </w:r>
    </w:p>
    <w:p>
      <w:pPr>
        <w:pStyle w:val="22"/>
        <w:keepNext w:val="0"/>
        <w:keepLines w:val="0"/>
        <w:pageBreakBefore w:val="0"/>
        <w:widowControl/>
        <w:numPr>
          <w:ilvl w:val="0"/>
          <w:numId w:val="1"/>
        </w:numPr>
        <w:kinsoku/>
        <w:wordWrap/>
        <w:overflowPunct/>
        <w:topLinePunct w:val="0"/>
        <w:autoSpaceDE/>
        <w:autoSpaceDN/>
        <w:bidi w:val="0"/>
        <w:adjustRightInd/>
        <w:snapToGrid/>
        <w:ind w:firstLine="640" w:firstLineChars="200"/>
        <w:textAlignment w:val="auto"/>
        <w:rPr>
          <w:rFonts w:ascii="黑体" w:hAnsi="黑体" w:eastAsia="黑体" w:cs="黑体"/>
          <w:color w:val="000000"/>
          <w:sz w:val="32"/>
        </w:rPr>
      </w:pPr>
      <w:r>
        <w:rPr>
          <w:rFonts w:ascii="黑体" w:hAnsi="黑体" w:eastAsia="黑体" w:cs="黑体"/>
          <w:color w:val="000000"/>
          <w:sz w:val="32"/>
        </w:rPr>
        <w:t>机关运行经费安排情况</w:t>
      </w:r>
    </w:p>
    <w:p>
      <w:pPr>
        <w:pStyle w:val="22"/>
        <w:keepNext w:val="0"/>
        <w:keepLines w:val="0"/>
        <w:pageBreakBefore w:val="0"/>
        <w:widowControl/>
        <w:numPr>
          <w:ilvl w:val="0"/>
          <w:numId w:val="0"/>
        </w:numPr>
        <w:kinsoku/>
        <w:wordWrap/>
        <w:overflowPunct/>
        <w:topLinePunct w:val="0"/>
        <w:autoSpaceDE/>
        <w:autoSpaceDN/>
        <w:bidi w:val="0"/>
        <w:adjustRightInd/>
        <w:snapToGrid/>
        <w:ind w:firstLine="560" w:firstLineChars="200"/>
        <w:textAlignment w:val="auto"/>
      </w:pPr>
      <w:r>
        <w:t>2025年，我部门机关运行经费共计安排</w:t>
      </w:r>
      <w:r>
        <w:rPr>
          <w:rFonts w:hint="eastAsia"/>
          <w:lang w:val="en-US" w:eastAsia="zh-CN"/>
        </w:rPr>
        <w:t>191</w:t>
      </w:r>
      <w:r>
        <w:t>万元，主要用于日常维修、办公用房水电费、办公用房取暖费、办公用房物业管理费等日常运行支出。</w:t>
      </w:r>
    </w:p>
    <w:p>
      <w:pPr>
        <w:spacing w:before="10" w:after="10" w:line="240" w:lineRule="auto"/>
        <w:ind w:firstLine="640"/>
        <w:jc w:val="left"/>
        <w:outlineLvl w:val="5"/>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正常运行不需增加经费。</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方正仿宋_GBK" w:hAnsi="方正仿宋_GBK" w:eastAsia="方正仿宋_GBK" w:cs="方正仿宋_GBK"/>
          <w:b/>
          <w:color w:val="000000"/>
          <w:sz w:val="28"/>
        </w:rPr>
        <w:t>1、无极县政府机关大院安保、保洁外包服务费绩效目标表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13013025P00000210090H</w:t>
            </w:r>
          </w:p>
        </w:tc>
        <w:tc>
          <w:tcPr>
            <w:tcW w:w="2835" w:type="dxa"/>
            <w:vAlign w:val="center"/>
          </w:tcPr>
          <w:p>
            <w:pPr>
              <w:pStyle w:val="10"/>
            </w:pPr>
            <w:r>
              <w:t>项目名称</w:t>
            </w:r>
          </w:p>
        </w:tc>
        <w:tc>
          <w:tcPr>
            <w:tcW w:w="6095" w:type="dxa"/>
            <w:gridSpan w:val="3"/>
            <w:vAlign w:val="center"/>
          </w:tcPr>
          <w:p>
            <w:pPr>
              <w:pStyle w:val="12"/>
            </w:pPr>
            <w:r>
              <w:t>无极县政府机关大院安保、保洁外包服务费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160.00</w:t>
            </w:r>
          </w:p>
        </w:tc>
        <w:tc>
          <w:tcPr>
            <w:tcW w:w="2835" w:type="dxa"/>
            <w:vAlign w:val="center"/>
          </w:tcPr>
          <w:p>
            <w:pPr>
              <w:pStyle w:val="10"/>
            </w:pPr>
            <w:r>
              <w:t>其中：财政    资金</w:t>
            </w:r>
          </w:p>
        </w:tc>
        <w:tc>
          <w:tcPr>
            <w:tcW w:w="2551" w:type="dxa"/>
            <w:vAlign w:val="center"/>
          </w:tcPr>
          <w:p>
            <w:pPr>
              <w:pStyle w:val="12"/>
            </w:pPr>
            <w:r>
              <w:t>160.00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无极县政府机关大院安保、保洁外包服务费。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rPr>
                <w:rFonts w:hint="eastAsia"/>
                <w:lang w:val="en-US" w:eastAsia="zh-CN"/>
              </w:rPr>
              <w:t>25</w:t>
            </w:r>
            <w:r>
              <w:t>%</w:t>
            </w:r>
          </w:p>
        </w:tc>
        <w:tc>
          <w:tcPr>
            <w:tcW w:w="2835" w:type="dxa"/>
            <w:vAlign w:val="center"/>
          </w:tcPr>
          <w:p>
            <w:pPr>
              <w:pStyle w:val="13"/>
            </w:pPr>
            <w:r>
              <w:rPr>
                <w:rFonts w:hint="eastAsia"/>
                <w:lang w:val="en-US" w:eastAsia="zh-CN"/>
              </w:rPr>
              <w:t>50</w:t>
            </w:r>
            <w:r>
              <w:t>%</w:t>
            </w:r>
          </w:p>
        </w:tc>
        <w:tc>
          <w:tcPr>
            <w:tcW w:w="2551" w:type="dxa"/>
            <w:vAlign w:val="center"/>
          </w:tcPr>
          <w:p>
            <w:pPr>
              <w:pStyle w:val="13"/>
            </w:pPr>
            <w:r>
              <w:rPr>
                <w:rFonts w:hint="eastAsia"/>
                <w:lang w:val="en-US" w:eastAsia="zh-CN"/>
              </w:rPr>
              <w:t>75</w:t>
            </w:r>
            <w:r>
              <w:t>%</w:t>
            </w:r>
          </w:p>
        </w:tc>
        <w:tc>
          <w:tcPr>
            <w:tcW w:w="3544" w:type="dxa"/>
            <w:gridSpan w:val="2"/>
            <w:vAlign w:val="center"/>
          </w:tcPr>
          <w:p>
            <w:pPr>
              <w:pStyle w:val="13"/>
            </w:pPr>
            <w:r>
              <w:rPr>
                <w:rFonts w:hint="eastAsia"/>
                <w:lang w:val="en-US" w:eastAsia="zh-CN"/>
              </w:rPr>
              <w:t>100</w:t>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1.保障日常办公正常运转。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完成率</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验收合格比%</w:t>
            </w:r>
          </w:p>
        </w:tc>
        <w:tc>
          <w:tcPr>
            <w:tcW w:w="5386" w:type="dxa"/>
            <w:vAlign w:val="center"/>
          </w:tcPr>
          <w:p>
            <w:pPr>
              <w:pStyle w:val="12"/>
            </w:pPr>
            <w:r>
              <w:t>验收合格比%</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工作完成时间</w:t>
            </w:r>
          </w:p>
        </w:tc>
        <w:tc>
          <w:tcPr>
            <w:tcW w:w="5386" w:type="dxa"/>
            <w:vAlign w:val="center"/>
          </w:tcPr>
          <w:p>
            <w:pPr>
              <w:pStyle w:val="12"/>
            </w:pPr>
            <w:r>
              <w:t>工作完成时间</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保障工作开展</w:t>
            </w:r>
          </w:p>
        </w:tc>
        <w:tc>
          <w:tcPr>
            <w:tcW w:w="5386" w:type="dxa"/>
            <w:vAlign w:val="center"/>
          </w:tcPr>
          <w:p>
            <w:pPr>
              <w:pStyle w:val="12"/>
            </w:pPr>
            <w:r>
              <w:t>保障工作开展</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生态效益提升值%</w:t>
            </w:r>
          </w:p>
        </w:tc>
        <w:tc>
          <w:tcPr>
            <w:tcW w:w="5386" w:type="dxa"/>
            <w:vAlign w:val="center"/>
          </w:tcPr>
          <w:p>
            <w:pPr>
              <w:pStyle w:val="12"/>
            </w:pPr>
            <w:r>
              <w:t>生态效益提升值%</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保障日常办公</w:t>
            </w:r>
          </w:p>
        </w:tc>
        <w:tc>
          <w:tcPr>
            <w:tcW w:w="5386" w:type="dxa"/>
            <w:vAlign w:val="center"/>
          </w:tcPr>
          <w:p>
            <w:pPr>
              <w:pStyle w:val="12"/>
            </w:pPr>
            <w:r>
              <w:t>保障日常办公</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≥80百分比</w:t>
            </w:r>
          </w:p>
        </w:tc>
        <w:tc>
          <w:tcPr>
            <w:tcW w:w="1276"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无极县机关事务服务中心本极上年末固定资产金额为34</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.2</w:t>
      </w:r>
      <w:r>
        <w:rPr>
          <w:rFonts w:hint="eastAsia" w:eastAsia="方正仿宋_GBK" w:cs="Times New Roman"/>
          <w:b w:val="0"/>
          <w:color w:val="000000"/>
          <w:sz w:val="28"/>
          <w:lang w:val="en-US" w:eastAsia="zh-CN"/>
        </w:rPr>
        <w:t>9</w:t>
      </w:r>
      <w:r>
        <w:rPr>
          <w:rFonts w:ascii="Times New Roman" w:hAnsi="Times New Roman" w:eastAsia="方正仿宋_GBK" w:cs="Times New Roman"/>
          <w:b w:val="0"/>
          <w:color w:val="000000"/>
          <w:sz w:val="28"/>
        </w:rPr>
        <w:t>万元（详见下表）。本年度拟购置固定资产总额为0.00万元</w:t>
      </w:r>
      <w:bookmarkStart w:id="1" w:name="_GoBack"/>
      <w:bookmarkEnd w:id="1"/>
      <w:r>
        <w:rPr>
          <w:rFonts w:ascii="Times New Roman" w:hAnsi="Times New Roman" w:eastAsia="方正仿宋_GBK" w:cs="Times New Roman"/>
          <w:b w:val="0"/>
          <w:color w:val="000000"/>
          <w:sz w:val="28"/>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rPr>
                <w:rFonts w:hint="eastAsia" w:eastAsia="方正书宋_GBK"/>
                <w:lang w:val="en-US" w:eastAsia="zh-CN"/>
              </w:rPr>
            </w:pPr>
            <w:r>
              <w:t>34</w:t>
            </w:r>
            <w:r>
              <w:rPr>
                <w:rFonts w:hint="eastAsia"/>
                <w:lang w:val="en-US" w:eastAsia="zh-CN"/>
              </w:rPr>
              <w:t>1</w:t>
            </w:r>
            <w:r>
              <w:t>.2</w:t>
            </w:r>
            <w:r>
              <w:rPr>
                <w:rFonts w:hint="eastAsia"/>
                <w:lang w:val="en-US" w:eastAsia="zh-CN"/>
              </w:rPr>
              <w:t>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5</w:t>
            </w:r>
          </w:p>
        </w:tc>
        <w:tc>
          <w:tcPr>
            <w:tcW w:w="2835" w:type="dxa"/>
            <w:vAlign w:val="center"/>
          </w:tcPr>
          <w:p>
            <w:pPr>
              <w:pStyle w:val="11"/>
            </w:pPr>
            <w:r>
              <w:t>1.02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474</w:t>
            </w:r>
          </w:p>
        </w:tc>
        <w:tc>
          <w:tcPr>
            <w:tcW w:w="2835" w:type="dxa"/>
            <w:vAlign w:val="center"/>
          </w:tcPr>
          <w:p>
            <w:pPr>
              <w:pStyle w:val="11"/>
            </w:pPr>
            <w:r>
              <w:t>340.27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A2C5E25"/>
    <w:multiLevelType w:val="singleLevel"/>
    <w:tmpl w:val="FA2C5E2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9C165B"/>
    <w:rsid w:val="0639166E"/>
    <w:rsid w:val="23CB5BA3"/>
    <w:rsid w:val="259522CD"/>
    <w:rsid w:val="3C0F2B22"/>
    <w:rsid w:val="3E134104"/>
    <w:rsid w:val="522B26CD"/>
    <w:rsid w:val="531739E4"/>
    <w:rsid w:val="57B41ECF"/>
    <w:rsid w:val="5AFE4992"/>
    <w:rsid w:val="5FCA04E2"/>
    <w:rsid w:val="675136E3"/>
    <w:rsid w:val="68A8338A"/>
    <w:rsid w:val="6A9E2C97"/>
    <w:rsid w:val="7AFB1A3F"/>
    <w:rsid w:val="7C41792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1373</Words>
  <Characters>2049</Characters>
  <TotalTime>0</TotalTime>
  <ScaleCrop>false</ScaleCrop>
  <LinksUpToDate>false</LinksUpToDate>
  <CharactersWithSpaces>2096</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2025-02-06T16:58:00Z</dcterms:created>
  <dc:creator>Administrator</dc:creator>
  <cp:lastModifiedBy>浮生</cp:lastModifiedBy>
  <dcterms:modified xsi:type="dcterms:W3CDTF">2025-10-31T02:52:43Z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KSOTemplateDocerSaveRecord">
    <vt:lpwstr>eyJoZGlkIjoiZjBlZDM5MmNjZTk2ODBiMDQxOTYzYjRkYzU0NzJmODkifQ==</vt:lpwstr>
  </property>
  <property fmtid="{D5CDD505-2E9C-101B-9397-08002B2CF9AE}" pid="4" name="ICV">
    <vt:lpwstr>CC8B47AA643A4A64988E4DD627301D47</vt:lpwstr>
  </property>
</Properties>
</file>