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430无极县机关事务服务中心</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647.50</w:t>
            </w:r>
          </w:p>
        </w:tc>
        <w:tc>
          <w:tcPr>
            <w:tcW w:w="4535" w:type="dxa"/>
            <w:vAlign w:val="center"/>
          </w:tcPr>
          <w:p>
            <w:pPr>
              <w:pStyle w:val="13"/>
            </w:pPr>
            <w:r>
              <w:t>一、一般公共服务支出</w:t>
            </w:r>
          </w:p>
        </w:tc>
        <w:tc>
          <w:tcPr>
            <w:tcW w:w="2126" w:type="dxa"/>
            <w:vAlign w:val="center"/>
          </w:tcPr>
          <w:p>
            <w:pPr>
              <w:pStyle w:val="12"/>
            </w:pPr>
            <w:r>
              <w:t>582.00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647.50</w:t>
            </w:r>
          </w:p>
        </w:tc>
        <w:tc>
          <w:tcPr>
            <w:tcW w:w="4535" w:type="dxa"/>
            <w:vAlign w:val="center"/>
          </w:tcPr>
          <w:p>
            <w:pPr>
              <w:pStyle w:val="15"/>
            </w:pPr>
            <w:r>
              <w:t>本年支出合计</w:t>
            </w:r>
          </w:p>
        </w:tc>
        <w:tc>
          <w:tcPr>
            <w:tcW w:w="2126" w:type="dxa"/>
            <w:vAlign w:val="center"/>
          </w:tcPr>
          <w:p>
            <w:pPr>
              <w:pStyle w:val="16"/>
            </w:pPr>
            <w:r>
              <w:t>647.50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647.50</w:t>
            </w:r>
          </w:p>
        </w:tc>
        <w:tc>
          <w:tcPr>
            <w:tcW w:w="4535" w:type="dxa"/>
            <w:vAlign w:val="center"/>
          </w:tcPr>
          <w:p>
            <w:pPr>
              <w:pStyle w:val="15"/>
            </w:pPr>
            <w:r>
              <w:t>支出总计</w:t>
            </w:r>
          </w:p>
        </w:tc>
        <w:tc>
          <w:tcPr>
            <w:tcW w:w="2126" w:type="dxa"/>
            <w:vAlign w:val="center"/>
          </w:tcPr>
          <w:p>
            <w:pPr>
              <w:pStyle w:val="16"/>
            </w:pPr>
            <w:r>
              <w:t>647.50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430无极县机关事务服务中心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647.50</w:t>
            </w:r>
          </w:p>
        </w:tc>
        <w:tc>
          <w:tcPr>
            <w:tcW w:w="1134" w:type="dxa"/>
            <w:vAlign w:val="center"/>
          </w:tcPr>
          <w:p>
            <w:pPr>
              <w:pStyle w:val="16"/>
            </w:pPr>
            <w:r>
              <w:t>647.50</w:t>
            </w:r>
          </w:p>
        </w:tc>
        <w:tc>
          <w:tcPr>
            <w:tcW w:w="1134" w:type="dxa"/>
            <w:vAlign w:val="center"/>
          </w:tcPr>
          <w:p>
            <w:pPr>
              <w:pStyle w:val="16"/>
            </w:pPr>
            <w:r>
              <w:t>647.50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582.00</w:t>
            </w:r>
          </w:p>
        </w:tc>
        <w:tc>
          <w:tcPr>
            <w:tcW w:w="1134" w:type="dxa"/>
            <w:vAlign w:val="center"/>
          </w:tcPr>
          <w:p>
            <w:pPr>
              <w:pStyle w:val="12"/>
            </w:pPr>
            <w:r>
              <w:t>582.00</w:t>
            </w:r>
          </w:p>
        </w:tc>
        <w:tc>
          <w:tcPr>
            <w:tcW w:w="1134" w:type="dxa"/>
            <w:vAlign w:val="center"/>
          </w:tcPr>
          <w:p>
            <w:pPr>
              <w:pStyle w:val="12"/>
            </w:pPr>
            <w:r>
              <w:t>582.00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582.00</w:t>
            </w:r>
          </w:p>
        </w:tc>
        <w:tc>
          <w:tcPr>
            <w:tcW w:w="1134" w:type="dxa"/>
            <w:vAlign w:val="center"/>
          </w:tcPr>
          <w:p>
            <w:pPr>
              <w:pStyle w:val="12"/>
            </w:pPr>
            <w:r>
              <w:t>582.00</w:t>
            </w:r>
          </w:p>
        </w:tc>
        <w:tc>
          <w:tcPr>
            <w:tcW w:w="1134" w:type="dxa"/>
            <w:vAlign w:val="center"/>
          </w:tcPr>
          <w:p>
            <w:pPr>
              <w:pStyle w:val="12"/>
            </w:pPr>
            <w:r>
              <w:t>582.00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422.00</w:t>
            </w:r>
          </w:p>
        </w:tc>
        <w:tc>
          <w:tcPr>
            <w:tcW w:w="1134" w:type="dxa"/>
            <w:vAlign w:val="center"/>
          </w:tcPr>
          <w:p>
            <w:pPr>
              <w:pStyle w:val="12"/>
            </w:pPr>
            <w:r>
              <w:t>422.00</w:t>
            </w:r>
          </w:p>
        </w:tc>
        <w:tc>
          <w:tcPr>
            <w:tcW w:w="1134" w:type="dxa"/>
            <w:vAlign w:val="center"/>
          </w:tcPr>
          <w:p>
            <w:pPr>
              <w:pStyle w:val="12"/>
            </w:pPr>
            <w:r>
              <w:t>422.00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2010304</w:t>
            </w:r>
          </w:p>
        </w:tc>
        <w:tc>
          <w:tcPr>
            <w:tcW w:w="1559" w:type="dxa"/>
            <w:vAlign w:val="center"/>
          </w:tcPr>
          <w:p>
            <w:pPr>
              <w:pStyle w:val="13"/>
            </w:pPr>
            <w:r>
              <w:t>专项服务</w:t>
            </w:r>
          </w:p>
        </w:tc>
        <w:tc>
          <w:tcPr>
            <w:tcW w:w="1134" w:type="dxa"/>
            <w:vAlign w:val="center"/>
          </w:tcPr>
          <w:p>
            <w:pPr>
              <w:pStyle w:val="12"/>
            </w:pPr>
            <w:r>
              <w:t>160.00</w:t>
            </w:r>
          </w:p>
        </w:tc>
        <w:tc>
          <w:tcPr>
            <w:tcW w:w="1134" w:type="dxa"/>
            <w:vAlign w:val="center"/>
          </w:tcPr>
          <w:p>
            <w:pPr>
              <w:pStyle w:val="12"/>
            </w:pPr>
            <w:r>
              <w:t>160.00</w:t>
            </w:r>
          </w:p>
        </w:tc>
        <w:tc>
          <w:tcPr>
            <w:tcW w:w="1134" w:type="dxa"/>
            <w:vAlign w:val="center"/>
          </w:tcPr>
          <w:p>
            <w:pPr>
              <w:pStyle w:val="12"/>
            </w:pPr>
            <w:r>
              <w:t>160.00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49.50</w:t>
            </w:r>
          </w:p>
        </w:tc>
        <w:tc>
          <w:tcPr>
            <w:tcW w:w="1134" w:type="dxa"/>
            <w:vAlign w:val="center"/>
          </w:tcPr>
          <w:p>
            <w:pPr>
              <w:pStyle w:val="12"/>
            </w:pPr>
            <w:r>
              <w:t>49.50</w:t>
            </w:r>
          </w:p>
        </w:tc>
        <w:tc>
          <w:tcPr>
            <w:tcW w:w="1134" w:type="dxa"/>
            <w:vAlign w:val="center"/>
          </w:tcPr>
          <w:p>
            <w:pPr>
              <w:pStyle w:val="12"/>
            </w:pPr>
            <w:r>
              <w:t>49.50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647.50</w:t>
            </w:r>
          </w:p>
        </w:tc>
        <w:tc>
          <w:tcPr>
            <w:tcW w:w="1361" w:type="dxa"/>
            <w:vAlign w:val="center"/>
          </w:tcPr>
          <w:p>
            <w:pPr>
              <w:pStyle w:val="16"/>
            </w:pPr>
            <w:r>
              <w:t>487.50</w:t>
            </w:r>
          </w:p>
        </w:tc>
        <w:tc>
          <w:tcPr>
            <w:tcW w:w="1361" w:type="dxa"/>
            <w:vAlign w:val="center"/>
          </w:tcPr>
          <w:p>
            <w:pPr>
              <w:pStyle w:val="16"/>
            </w:pPr>
            <w:r>
              <w:t>160.00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582.00</w:t>
            </w:r>
          </w:p>
        </w:tc>
        <w:tc>
          <w:tcPr>
            <w:tcW w:w="1361" w:type="dxa"/>
            <w:vAlign w:val="center"/>
          </w:tcPr>
          <w:p>
            <w:pPr>
              <w:pStyle w:val="12"/>
            </w:pPr>
            <w:r>
              <w:t>422.00</w:t>
            </w: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582.00</w:t>
            </w:r>
          </w:p>
        </w:tc>
        <w:tc>
          <w:tcPr>
            <w:tcW w:w="1361" w:type="dxa"/>
            <w:vAlign w:val="center"/>
          </w:tcPr>
          <w:p>
            <w:pPr>
              <w:pStyle w:val="12"/>
            </w:pPr>
            <w:r>
              <w:t>422.00</w:t>
            </w: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422.00</w:t>
            </w:r>
          </w:p>
        </w:tc>
        <w:tc>
          <w:tcPr>
            <w:tcW w:w="1361" w:type="dxa"/>
            <w:vAlign w:val="center"/>
          </w:tcPr>
          <w:p>
            <w:pPr>
              <w:pStyle w:val="12"/>
            </w:pPr>
            <w:r>
              <w:t>422.00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2010304</w:t>
            </w:r>
          </w:p>
        </w:tc>
        <w:tc>
          <w:tcPr>
            <w:tcW w:w="4535" w:type="dxa"/>
            <w:vAlign w:val="center"/>
          </w:tcPr>
          <w:p>
            <w:pPr>
              <w:pStyle w:val="13"/>
            </w:pPr>
            <w:r>
              <w:t>专项服务</w:t>
            </w: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49.50</w:t>
            </w:r>
          </w:p>
        </w:tc>
        <w:tc>
          <w:tcPr>
            <w:tcW w:w="1361" w:type="dxa"/>
            <w:vAlign w:val="center"/>
          </w:tcPr>
          <w:p>
            <w:pPr>
              <w:pStyle w:val="12"/>
            </w:pPr>
            <w:r>
              <w:t>49.50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47.00</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647.50</w:t>
            </w:r>
          </w:p>
        </w:tc>
        <w:tc>
          <w:tcPr>
            <w:tcW w:w="3402" w:type="dxa"/>
            <w:vAlign w:val="center"/>
          </w:tcPr>
          <w:p>
            <w:pPr>
              <w:pStyle w:val="13"/>
            </w:pPr>
            <w:r>
              <w:t>一、一般公共服务支出</w:t>
            </w:r>
          </w:p>
        </w:tc>
        <w:tc>
          <w:tcPr>
            <w:tcW w:w="1474" w:type="dxa"/>
            <w:vAlign w:val="center"/>
          </w:tcPr>
          <w:p>
            <w:pPr>
              <w:pStyle w:val="12"/>
            </w:pPr>
            <w:r>
              <w:t>582.00</w:t>
            </w:r>
          </w:p>
        </w:tc>
        <w:tc>
          <w:tcPr>
            <w:tcW w:w="1474" w:type="dxa"/>
            <w:vAlign w:val="center"/>
          </w:tcPr>
          <w:p>
            <w:pPr>
              <w:pStyle w:val="12"/>
            </w:pPr>
            <w:r>
              <w:t>582.00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49.50</w:t>
            </w:r>
          </w:p>
        </w:tc>
        <w:tc>
          <w:tcPr>
            <w:tcW w:w="1474" w:type="dxa"/>
            <w:vAlign w:val="center"/>
          </w:tcPr>
          <w:p>
            <w:pPr>
              <w:pStyle w:val="12"/>
            </w:pPr>
            <w:r>
              <w:t>49.50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16.00</w:t>
            </w:r>
          </w:p>
        </w:tc>
        <w:tc>
          <w:tcPr>
            <w:tcW w:w="1474" w:type="dxa"/>
            <w:vAlign w:val="center"/>
          </w:tcPr>
          <w:p>
            <w:pPr>
              <w:pStyle w:val="12"/>
            </w:pPr>
            <w:r>
              <w:t>16.00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647.50</w:t>
            </w:r>
          </w:p>
        </w:tc>
        <w:tc>
          <w:tcPr>
            <w:tcW w:w="3402" w:type="dxa"/>
            <w:vAlign w:val="center"/>
          </w:tcPr>
          <w:p>
            <w:pPr>
              <w:pStyle w:val="15"/>
            </w:pPr>
            <w:r>
              <w:t>本年支出合计</w:t>
            </w:r>
          </w:p>
        </w:tc>
        <w:tc>
          <w:tcPr>
            <w:tcW w:w="1474" w:type="dxa"/>
            <w:vAlign w:val="center"/>
          </w:tcPr>
          <w:p>
            <w:pPr>
              <w:pStyle w:val="16"/>
            </w:pPr>
            <w:r>
              <w:t>647.50</w:t>
            </w:r>
          </w:p>
        </w:tc>
        <w:tc>
          <w:tcPr>
            <w:tcW w:w="1474" w:type="dxa"/>
            <w:vAlign w:val="center"/>
          </w:tcPr>
          <w:p>
            <w:pPr>
              <w:pStyle w:val="16"/>
            </w:pPr>
            <w:r>
              <w:t>647.50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647.50</w:t>
            </w:r>
          </w:p>
        </w:tc>
        <w:tc>
          <w:tcPr>
            <w:tcW w:w="3402" w:type="dxa"/>
            <w:vAlign w:val="center"/>
          </w:tcPr>
          <w:p>
            <w:pPr>
              <w:pStyle w:val="15"/>
            </w:pPr>
            <w:r>
              <w:t>支出总计</w:t>
            </w:r>
          </w:p>
        </w:tc>
        <w:tc>
          <w:tcPr>
            <w:tcW w:w="1474" w:type="dxa"/>
            <w:vAlign w:val="center"/>
          </w:tcPr>
          <w:p>
            <w:pPr>
              <w:pStyle w:val="16"/>
            </w:pPr>
            <w:r>
              <w:t>647.50</w:t>
            </w:r>
          </w:p>
        </w:tc>
        <w:tc>
          <w:tcPr>
            <w:tcW w:w="1474" w:type="dxa"/>
            <w:vAlign w:val="center"/>
          </w:tcPr>
          <w:p>
            <w:pPr>
              <w:pStyle w:val="16"/>
            </w:pPr>
            <w:r>
              <w:t>647.50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647.50</w:t>
            </w:r>
          </w:p>
        </w:tc>
        <w:tc>
          <w:tcPr>
            <w:tcW w:w="2551" w:type="dxa"/>
            <w:vAlign w:val="center"/>
          </w:tcPr>
          <w:p>
            <w:pPr>
              <w:pStyle w:val="16"/>
            </w:pPr>
            <w:r>
              <w:t>487.50</w:t>
            </w:r>
          </w:p>
        </w:tc>
        <w:tc>
          <w:tcPr>
            <w:tcW w:w="2551" w:type="dxa"/>
            <w:vAlign w:val="center"/>
          </w:tcPr>
          <w:p>
            <w:pPr>
              <w:pStyle w:val="16"/>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582.00</w:t>
            </w:r>
          </w:p>
        </w:tc>
        <w:tc>
          <w:tcPr>
            <w:tcW w:w="2551" w:type="dxa"/>
            <w:vAlign w:val="center"/>
          </w:tcPr>
          <w:p>
            <w:pPr>
              <w:pStyle w:val="12"/>
            </w:pPr>
            <w:r>
              <w:t>422.00</w:t>
            </w:r>
          </w:p>
        </w:tc>
        <w:tc>
          <w:tcPr>
            <w:tcW w:w="2551" w:type="dxa"/>
            <w:vAlign w:val="center"/>
          </w:tcPr>
          <w:p>
            <w:pPr>
              <w:pStyle w:val="12"/>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582.00</w:t>
            </w:r>
          </w:p>
        </w:tc>
        <w:tc>
          <w:tcPr>
            <w:tcW w:w="2551" w:type="dxa"/>
            <w:vAlign w:val="center"/>
          </w:tcPr>
          <w:p>
            <w:pPr>
              <w:pStyle w:val="12"/>
            </w:pPr>
            <w:r>
              <w:t>422.00</w:t>
            </w:r>
          </w:p>
        </w:tc>
        <w:tc>
          <w:tcPr>
            <w:tcW w:w="2551" w:type="dxa"/>
            <w:vAlign w:val="center"/>
          </w:tcPr>
          <w:p>
            <w:pPr>
              <w:pStyle w:val="12"/>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422.00</w:t>
            </w:r>
          </w:p>
        </w:tc>
        <w:tc>
          <w:tcPr>
            <w:tcW w:w="2551" w:type="dxa"/>
            <w:vAlign w:val="center"/>
          </w:tcPr>
          <w:p>
            <w:pPr>
              <w:pStyle w:val="12"/>
            </w:pPr>
            <w:r>
              <w:t>422.00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2010304</w:t>
            </w:r>
          </w:p>
        </w:tc>
        <w:tc>
          <w:tcPr>
            <w:tcW w:w="4535" w:type="dxa"/>
            <w:vAlign w:val="center"/>
          </w:tcPr>
          <w:p>
            <w:pPr>
              <w:pStyle w:val="13"/>
            </w:pPr>
            <w:r>
              <w:t>专项服务</w:t>
            </w:r>
          </w:p>
        </w:tc>
        <w:tc>
          <w:tcPr>
            <w:tcW w:w="2551" w:type="dxa"/>
            <w:vAlign w:val="center"/>
          </w:tcPr>
          <w:p>
            <w:pPr>
              <w:pStyle w:val="12"/>
            </w:pPr>
            <w:r>
              <w:t>160.00</w:t>
            </w:r>
          </w:p>
        </w:tc>
        <w:tc>
          <w:tcPr>
            <w:tcW w:w="2551" w:type="dxa"/>
            <w:vAlign w:val="center"/>
          </w:tcPr>
          <w:p>
            <w:pPr>
              <w:pStyle w:val="12"/>
            </w:pPr>
          </w:p>
        </w:tc>
        <w:tc>
          <w:tcPr>
            <w:tcW w:w="2551" w:type="dxa"/>
            <w:vAlign w:val="center"/>
          </w:tcPr>
          <w:p>
            <w:pPr>
              <w:pStyle w:val="12"/>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49.50</w:t>
            </w:r>
          </w:p>
        </w:tc>
        <w:tc>
          <w:tcPr>
            <w:tcW w:w="2551" w:type="dxa"/>
            <w:vAlign w:val="center"/>
          </w:tcPr>
          <w:p>
            <w:pPr>
              <w:pStyle w:val="12"/>
            </w:pPr>
            <w:r>
              <w:t>49.50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487.50</w:t>
            </w:r>
          </w:p>
        </w:tc>
        <w:tc>
          <w:tcPr>
            <w:tcW w:w="2551" w:type="dxa"/>
            <w:vAlign w:val="center"/>
          </w:tcPr>
          <w:p>
            <w:pPr>
              <w:pStyle w:val="16"/>
            </w:pPr>
            <w:r>
              <w:t>296.50</w:t>
            </w:r>
          </w:p>
        </w:tc>
        <w:tc>
          <w:tcPr>
            <w:tcW w:w="2551" w:type="dxa"/>
            <w:vAlign w:val="center"/>
          </w:tcPr>
          <w:p>
            <w:pPr>
              <w:pStyle w:val="16"/>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254.40</w:t>
            </w:r>
          </w:p>
        </w:tc>
        <w:tc>
          <w:tcPr>
            <w:tcW w:w="2551" w:type="dxa"/>
            <w:vAlign w:val="center"/>
          </w:tcPr>
          <w:p>
            <w:pPr>
              <w:pStyle w:val="12"/>
            </w:pPr>
            <w:r>
              <w:t>254.40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91.00</w:t>
            </w:r>
          </w:p>
        </w:tc>
        <w:tc>
          <w:tcPr>
            <w:tcW w:w="2551" w:type="dxa"/>
            <w:vAlign w:val="center"/>
          </w:tcPr>
          <w:p>
            <w:pPr>
              <w:pStyle w:val="12"/>
            </w:pPr>
            <w:r>
              <w:t>91.00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191.00</w:t>
            </w:r>
          </w:p>
        </w:tc>
        <w:tc>
          <w:tcPr>
            <w:tcW w:w="2551" w:type="dxa"/>
            <w:vAlign w:val="center"/>
          </w:tcPr>
          <w:p>
            <w:pPr>
              <w:pStyle w:val="12"/>
            </w:pPr>
          </w:p>
        </w:tc>
        <w:tc>
          <w:tcPr>
            <w:tcW w:w="2551" w:type="dxa"/>
            <w:vAlign w:val="center"/>
          </w:tcPr>
          <w:p>
            <w:pPr>
              <w:pStyle w:val="12"/>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175.00</w:t>
            </w:r>
          </w:p>
        </w:tc>
        <w:tc>
          <w:tcPr>
            <w:tcW w:w="2551" w:type="dxa"/>
            <w:vAlign w:val="center"/>
          </w:tcPr>
          <w:p>
            <w:pPr>
              <w:pStyle w:val="12"/>
            </w:pPr>
          </w:p>
        </w:tc>
        <w:tc>
          <w:tcPr>
            <w:tcW w:w="2551" w:type="dxa"/>
            <w:vAlign w:val="center"/>
          </w:tcPr>
          <w:p>
            <w:pPr>
              <w:pStyle w:val="12"/>
            </w:pPr>
            <w:r>
              <w:t>175.00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14.70</w:t>
            </w:r>
          </w:p>
        </w:tc>
        <w:tc>
          <w:tcPr>
            <w:tcW w:w="2551" w:type="dxa"/>
            <w:vAlign w:val="center"/>
          </w:tcPr>
          <w:p>
            <w:pPr>
              <w:pStyle w:val="12"/>
            </w:pPr>
          </w:p>
        </w:tc>
        <w:tc>
          <w:tcPr>
            <w:tcW w:w="2551" w:type="dxa"/>
            <w:vAlign w:val="center"/>
          </w:tcPr>
          <w:p>
            <w:pPr>
              <w:pStyle w:val="12"/>
            </w:pPr>
            <w:r>
              <w:t>14.70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42.10</w:t>
            </w:r>
          </w:p>
        </w:tc>
        <w:tc>
          <w:tcPr>
            <w:tcW w:w="2551" w:type="dxa"/>
            <w:vAlign w:val="center"/>
          </w:tcPr>
          <w:p>
            <w:pPr>
              <w:pStyle w:val="12"/>
            </w:pPr>
            <w:r>
              <w:t>42.10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42.10</w:t>
            </w:r>
          </w:p>
        </w:tc>
        <w:tc>
          <w:tcPr>
            <w:tcW w:w="2551" w:type="dxa"/>
            <w:vAlign w:val="center"/>
          </w:tcPr>
          <w:p>
            <w:pPr>
              <w:pStyle w:val="12"/>
            </w:pPr>
            <w:r>
              <w:t>42.10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无极县机关事务服务中心2025年部门预算信息公开情况说明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无极县机关事务服务中心2025年部门预算信息公开情况说明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按照《中华人民共和国预算法》、《地方预决算公开操作规程》和《关于进一步推进预算公开工作的实施意见》规定，现将无极县机关事务服务中心2025年部门预算公开如下：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无极县机关事务服务中心本极</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按照预算管理有关规定，目前部门预算的编制实行综合预算管理，即全部收入和支出都反映在预算中。无极县机关事务服务中心机关及所属事业单位的收支包含在部门预算中。</w:t>
      </w:r>
    </w:p>
    <w:p>
      <w:pPr>
        <w:pStyle w:val="19"/>
      </w:pPr>
      <w:r>
        <w:t>1、收入说明</w:t>
      </w:r>
    </w:p>
    <w:p>
      <w:pPr>
        <w:pStyle w:val="19"/>
      </w:pPr>
      <w:r>
        <w:t>反映本部门当年全部收入。2025年预算收入647.50万元，其中：一般公共预算收入647.50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机关事务服务中心年度部门预算中支出预算的总体情况。2025年支出预算647.50万元，其中基本支出487.50万元，包括人员经费296.50万元和日常公用经费191.00万元；项目支出160.00万元，主要为无极县政府机关大院安保、保洁外包服务费。</w:t>
      </w:r>
    </w:p>
    <w:p>
      <w:pPr>
        <w:pStyle w:val="19"/>
      </w:pPr>
      <w:r>
        <w:t>3、比上年增减情况</w:t>
      </w:r>
    </w:p>
    <w:p>
      <w:pPr>
        <w:pStyle w:val="19"/>
      </w:pPr>
      <w:r>
        <w:t>2025年预算收支安排647.50万元，较2024年预算减少554.74万元，其中：基本支出减少14.74万元，主要为基本支出减少。项目支出减少540.00万元，主要为项目支出减少。</w:t>
      </w:r>
    </w:p>
    <w:p>
      <w:pPr>
        <w:pStyle w:val="20"/>
        <w:keepNext w:val="0"/>
        <w:keepLines w:val="0"/>
        <w:pageBreakBefore w:val="0"/>
        <w:widowControl/>
        <w:numPr>
          <w:ilvl w:val="0"/>
          <w:numId w:val="1"/>
        </w:numPr>
        <w:kinsoku/>
        <w:wordWrap/>
        <w:overflowPunct/>
        <w:topLinePunct w:val="0"/>
        <w:autoSpaceDE/>
        <w:autoSpaceDN/>
        <w:bidi w:val="0"/>
        <w:adjustRightInd/>
        <w:snapToGrid/>
        <w:ind w:firstLine="640" w:firstLineChars="200"/>
        <w:textAlignment w:val="auto"/>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pPr>
      <w:r>
        <w:t>2025年，我部门机关运行经费共计安排</w:t>
      </w:r>
      <w:r>
        <w:rPr>
          <w:rFonts w:hint="eastAsia"/>
          <w:lang w:val="en-US" w:eastAsia="zh-CN"/>
        </w:rPr>
        <w:t>191</w:t>
      </w:r>
      <w:r>
        <w:t>万元，主要用于日常维修、办公用房水电费、办公用房取暖费、办公用房物业管理费等日常运行支出。</w:t>
      </w:r>
    </w:p>
    <w:p>
      <w:pPr>
        <w:spacing w:before="10" w:after="10" w:line="360" w:lineRule="auto"/>
        <w:ind w:firstLine="640"/>
        <w:jc w:val="left"/>
        <w:outlineLvl w:val="2"/>
      </w:pPr>
    </w:p>
    <w:p>
      <w:pPr>
        <w:pStyle w:val="20"/>
      </w:pP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正常运行不需增加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县直房地产管理，资产、节能管理以及县级政府采购事项。</w:t>
      </w:r>
    </w:p>
    <w:p>
      <w:pPr>
        <w:pStyle w:val="22"/>
      </w:pPr>
      <w:r>
        <w:t>规范管理、合理使用县区房地产；加强县直住房改革保障管理工作；</w:t>
      </w:r>
    </w:p>
    <w:p>
      <w:pPr>
        <w:pStyle w:val="22"/>
      </w:pPr>
      <w:r>
        <w:t>资产、节能管理</w:t>
      </w:r>
    </w:p>
    <w:p>
      <w:pPr>
        <w:pStyle w:val="22"/>
      </w:pPr>
      <w:r>
        <w:t>加强县直行政机关国有资产管理，维护国有资产安全和完整。深入推进全县公共机构节能工作，</w:t>
      </w:r>
    </w:p>
    <w:p>
      <w:pPr>
        <w:pStyle w:val="22"/>
      </w:pPr>
      <w:r>
        <w:t>对既有建筑制定节能改造计划。</w:t>
      </w:r>
    </w:p>
    <w:p>
      <w:pPr>
        <w:pStyle w:val="22"/>
      </w:pPr>
      <w:r>
        <w:t>负责机关办公用房管理、公务用车的统计、上报工作。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通信保障。</w:t>
      </w:r>
    </w:p>
    <w:p>
      <w:pPr>
        <w:pStyle w:val="23"/>
      </w:pPr>
      <w:r>
        <w:t>搞好各种服务保障，确保通信畅通。通信管理和保障。加强线路改造；完善、拓展县直通信固话、宽带</w:t>
      </w:r>
      <w:r>
        <w:rPr>
          <w:rFonts w:hint="eastAsia"/>
          <w:lang w:eastAsia="zh-CN"/>
        </w:rPr>
        <w:t>网络</w:t>
      </w:r>
      <w:r>
        <w:t>建设；确保通信联络畅通。承担系统综合业务管理和部门综合事务管理。促进全县机关事务管理工作科学发展及综合业务管理。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bookmarkStart w:id="14" w:name="_Toc_3_3_0000000015"/>
    </w:p>
    <w:p>
      <w:pPr>
        <w:pStyle w:val="24"/>
        <w:rPr>
          <w:rFonts w:ascii="黑体" w:hAnsi="黑体" w:eastAsia="黑体" w:cs="黑体"/>
          <w:color w:val="000000"/>
          <w:sz w:val="32"/>
        </w:rPr>
      </w:pPr>
      <w:r>
        <w:rPr>
          <w:rFonts w:hint="eastAsia" w:ascii="黑体" w:hAnsi="黑体" w:eastAsia="黑体" w:cs="黑体"/>
          <w:color w:val="000000"/>
          <w:sz w:val="32"/>
          <w:szCs w:val="24"/>
          <w:lang w:val="en-US" w:eastAsia="zh-CN" w:bidi="ar-SA"/>
        </w:rPr>
        <w:t>六、</w:t>
      </w: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1、无极县政府机关大院安保、保洁外包服务费绩效目标表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13013025P00000210090H</w:t>
            </w:r>
          </w:p>
        </w:tc>
        <w:tc>
          <w:tcPr>
            <w:tcW w:w="2835" w:type="dxa"/>
            <w:vAlign w:val="center"/>
          </w:tcPr>
          <w:p>
            <w:pPr>
              <w:pStyle w:val="11"/>
            </w:pPr>
            <w:r>
              <w:t>项目名称</w:t>
            </w:r>
          </w:p>
        </w:tc>
        <w:tc>
          <w:tcPr>
            <w:tcW w:w="6095" w:type="dxa"/>
            <w:gridSpan w:val="3"/>
            <w:vAlign w:val="center"/>
          </w:tcPr>
          <w:p>
            <w:pPr>
              <w:pStyle w:val="13"/>
            </w:pPr>
            <w:r>
              <w:t>无极县政府机关大院安保、保洁外包服务费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无极县政府机关大院安保、保洁外包服务费。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w:t>
            </w:r>
            <w:r>
              <w:t>0%</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1.保障日常办公正常运转。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保障工作开展</w:t>
            </w:r>
          </w:p>
        </w:tc>
        <w:tc>
          <w:tcPr>
            <w:tcW w:w="5386" w:type="dxa"/>
            <w:vAlign w:val="center"/>
          </w:tcPr>
          <w:p>
            <w:pPr>
              <w:pStyle w:val="13"/>
            </w:pPr>
            <w:r>
              <w:t>保障工作开展</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保障日常办公</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≥80百分比</w:t>
            </w:r>
          </w:p>
        </w:tc>
        <w:tc>
          <w:tcPr>
            <w:tcW w:w="1276" w:type="dxa"/>
            <w:vAlign w:val="center"/>
          </w:tcPr>
          <w:p>
            <w:pPr>
              <w:pStyle w:val="13"/>
            </w:pPr>
            <w:r>
              <w:t>按合同</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430无极县机关事务服务中心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无极县机关事务服务中心（含所属单位）上年末固定资产金额为34</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.2</w:t>
      </w:r>
      <w:r>
        <w:rPr>
          <w:rFonts w:hint="eastAsia" w:eastAsia="方正仿宋_GBK" w:cs="Times New Roman"/>
          <w:b w:val="0"/>
          <w:color w:val="000000"/>
          <w:sz w:val="28"/>
          <w:lang w:val="en-US" w:eastAsia="zh-CN"/>
        </w:rPr>
        <w:t>9</w:t>
      </w:r>
      <w:r>
        <w:rPr>
          <w:rFonts w:ascii="Times New Roman" w:hAnsi="Times New Roman" w:eastAsia="方正仿宋_GBK" w:cs="Times New Roman"/>
          <w:b w:val="0"/>
          <w:color w:val="000000"/>
          <w:sz w:val="28"/>
        </w:rPr>
        <w:t>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430无极县机关事务服务中心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eastAsia" w:eastAsia="方正书宋_GBK"/>
                <w:lang w:val="en-US" w:eastAsia="zh-CN"/>
              </w:rPr>
            </w:pPr>
            <w:r>
              <w:t>34</w:t>
            </w:r>
            <w:r>
              <w:rPr>
                <w:rFonts w:hint="eastAsia"/>
                <w:lang w:val="en-US" w:eastAsia="zh-CN"/>
              </w:rPr>
              <w:t>1</w:t>
            </w:r>
            <w:r>
              <w:t>.2</w:t>
            </w:r>
            <w:r>
              <w:rPr>
                <w:rFonts w:hint="eastAsia"/>
                <w:lang w:val="en-US" w:eastAsia="zh-CN"/>
              </w:rPr>
              <w:t>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5</w:t>
            </w:r>
          </w:p>
        </w:tc>
        <w:tc>
          <w:tcPr>
            <w:tcW w:w="2835"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474</w:t>
            </w:r>
          </w:p>
        </w:tc>
        <w:tc>
          <w:tcPr>
            <w:tcW w:w="2835" w:type="dxa"/>
            <w:vAlign w:val="center"/>
          </w:tcPr>
          <w:p>
            <w:pPr>
              <w:pStyle w:val="12"/>
            </w:pPr>
            <w:r>
              <w:t>340.27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517EBD"/>
    <w:multiLevelType w:val="singleLevel"/>
    <w:tmpl w:val="6D517EB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B85F94"/>
    <w:rsid w:val="08D97D5A"/>
    <w:rsid w:val="0CA77331"/>
    <w:rsid w:val="0EA53D44"/>
    <w:rsid w:val="17767D0E"/>
    <w:rsid w:val="1EC51899"/>
    <w:rsid w:val="262769D0"/>
    <w:rsid w:val="26625332"/>
    <w:rsid w:val="35643762"/>
    <w:rsid w:val="37E02662"/>
    <w:rsid w:val="385A19EB"/>
    <w:rsid w:val="3E9230EE"/>
    <w:rsid w:val="4A8E73FB"/>
    <w:rsid w:val="5838665C"/>
    <w:rsid w:val="62492A1E"/>
    <w:rsid w:val="68A235FA"/>
    <w:rsid w:val="692C7B17"/>
    <w:rsid w:val="6A2D1393"/>
    <w:rsid w:val="6DCD28A8"/>
    <w:rsid w:val="7045316D"/>
    <w:rsid w:val="71265794"/>
    <w:rsid w:val="722D6CD7"/>
    <w:rsid w:val="75AA59C3"/>
    <w:rsid w:val="7B09511C"/>
    <w:rsid w:val="7EEF54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2183</Words>
  <Characters>3020</Characters>
  <TotalTime>0</TotalTime>
  <ScaleCrop>false</ScaleCrop>
  <LinksUpToDate>false</LinksUpToDate>
  <CharactersWithSpaces>3077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2025-02-06T16:57:00Z</dcterms:created>
  <dc:creator>Administrator</dc:creator>
  <cp:lastModifiedBy>浮生</cp:lastModifiedBy>
  <dcterms:modified xsi:type="dcterms:W3CDTF">2025-10-31T02:52:12Z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DocerSaveRecord">
    <vt:lpwstr>eyJoZGlkIjoiZjBlZDM5MmNjZTk2ODBiMDQxOTYzYjRkYzU0NzJmODkifQ==</vt:lpwstr>
  </property>
  <property fmtid="{D5CDD505-2E9C-101B-9397-08002B2CF9AE}" pid="4" name="ICV">
    <vt:lpwstr>75B9434AA46543EA969E625F72C6A069</vt:lpwstr>
  </property>
</Properties>
</file>