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一、中国共产党无极县纪律检查委员会本级收支预算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一、中国共产党无极县纪律检查委员会本级收支预算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972.30</w:t>
            </w:r>
          </w:p>
        </w:tc>
        <w:tc>
          <w:tcPr>
            <w:tcW w:w="4535" w:type="dxa"/>
            <w:vAlign w:val="center"/>
          </w:tcPr>
          <w:p>
            <w:pPr>
              <w:pStyle w:val="12"/>
            </w:pPr>
            <w:r>
              <w:t>一、一般公共服务支出</w:t>
            </w:r>
          </w:p>
        </w:tc>
        <w:tc>
          <w:tcPr>
            <w:tcW w:w="2126" w:type="dxa"/>
            <w:vAlign w:val="center"/>
          </w:tcPr>
          <w:p>
            <w:pPr>
              <w:pStyle w:val="11"/>
            </w:pPr>
            <w:r>
              <w:t>791.00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972.30</w:t>
            </w:r>
          </w:p>
        </w:tc>
        <w:tc>
          <w:tcPr>
            <w:tcW w:w="4535" w:type="dxa"/>
            <w:vAlign w:val="center"/>
          </w:tcPr>
          <w:p>
            <w:pPr>
              <w:pStyle w:val="14"/>
            </w:pPr>
            <w:r>
              <w:t>本年支出合计</w:t>
            </w:r>
          </w:p>
        </w:tc>
        <w:tc>
          <w:tcPr>
            <w:tcW w:w="2126" w:type="dxa"/>
            <w:vAlign w:val="center"/>
          </w:tcPr>
          <w:p>
            <w:pPr>
              <w:pStyle w:val="15"/>
            </w:pPr>
            <w:r>
              <w:t>972.30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972.30</w:t>
            </w:r>
          </w:p>
        </w:tc>
        <w:tc>
          <w:tcPr>
            <w:tcW w:w="4535" w:type="dxa"/>
            <w:vAlign w:val="center"/>
          </w:tcPr>
          <w:p>
            <w:pPr>
              <w:pStyle w:val="14"/>
            </w:pPr>
            <w:r>
              <w:t>支出总计</w:t>
            </w:r>
          </w:p>
        </w:tc>
        <w:tc>
          <w:tcPr>
            <w:tcW w:w="2126" w:type="dxa"/>
            <w:vAlign w:val="center"/>
          </w:tcPr>
          <w:p>
            <w:pPr>
              <w:pStyle w:val="15"/>
            </w:pPr>
            <w:r>
              <w:t>972.30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972.30</w:t>
            </w:r>
          </w:p>
        </w:tc>
        <w:tc>
          <w:tcPr>
            <w:tcW w:w="1134" w:type="dxa"/>
            <w:vAlign w:val="center"/>
          </w:tcPr>
          <w:p>
            <w:pPr>
              <w:pStyle w:val="15"/>
            </w:pPr>
            <w:r>
              <w:t>972.30</w:t>
            </w:r>
          </w:p>
        </w:tc>
        <w:tc>
          <w:tcPr>
            <w:tcW w:w="1134" w:type="dxa"/>
            <w:vAlign w:val="center"/>
          </w:tcPr>
          <w:p>
            <w:pPr>
              <w:pStyle w:val="15"/>
            </w:pPr>
            <w:r>
              <w:t>972.30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r>
              <w:t>791.00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136.30</w:t>
            </w:r>
          </w:p>
        </w:tc>
        <w:tc>
          <w:tcPr>
            <w:tcW w:w="1134" w:type="dxa"/>
            <w:vAlign w:val="center"/>
          </w:tcPr>
          <w:p>
            <w:pPr>
              <w:pStyle w:val="11"/>
            </w:pPr>
            <w:r>
              <w:t>136.30</w:t>
            </w:r>
          </w:p>
        </w:tc>
        <w:tc>
          <w:tcPr>
            <w:tcW w:w="1134" w:type="dxa"/>
            <w:vAlign w:val="center"/>
          </w:tcPr>
          <w:p>
            <w:pPr>
              <w:pStyle w:val="11"/>
            </w:pPr>
            <w:r>
              <w:t>136.30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133.30</w:t>
            </w:r>
          </w:p>
        </w:tc>
        <w:tc>
          <w:tcPr>
            <w:tcW w:w="1134" w:type="dxa"/>
            <w:vAlign w:val="center"/>
          </w:tcPr>
          <w:p>
            <w:pPr>
              <w:pStyle w:val="11"/>
            </w:pPr>
            <w:r>
              <w:t>133.30</w:t>
            </w:r>
          </w:p>
        </w:tc>
        <w:tc>
          <w:tcPr>
            <w:tcW w:w="1134" w:type="dxa"/>
            <w:vAlign w:val="center"/>
          </w:tcPr>
          <w:p>
            <w:pPr>
              <w:pStyle w:val="11"/>
            </w:pPr>
            <w:r>
              <w:t>133.30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14.30</w:t>
            </w:r>
          </w:p>
        </w:tc>
        <w:tc>
          <w:tcPr>
            <w:tcW w:w="1134" w:type="dxa"/>
            <w:vAlign w:val="center"/>
          </w:tcPr>
          <w:p>
            <w:pPr>
              <w:pStyle w:val="11"/>
            </w:pPr>
            <w:r>
              <w:t>14.30</w:t>
            </w:r>
          </w:p>
        </w:tc>
        <w:tc>
          <w:tcPr>
            <w:tcW w:w="1134" w:type="dxa"/>
            <w:vAlign w:val="center"/>
          </w:tcPr>
          <w:p>
            <w:pPr>
              <w:pStyle w:val="11"/>
            </w:pPr>
            <w:r>
              <w:t>14.30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972.30</w:t>
            </w:r>
          </w:p>
        </w:tc>
        <w:tc>
          <w:tcPr>
            <w:tcW w:w="1361" w:type="dxa"/>
            <w:vAlign w:val="center"/>
          </w:tcPr>
          <w:p>
            <w:pPr>
              <w:pStyle w:val="15"/>
            </w:pPr>
            <w:r>
              <w:t>972.30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791.00</w:t>
            </w:r>
          </w:p>
        </w:tc>
        <w:tc>
          <w:tcPr>
            <w:tcW w:w="1361" w:type="dxa"/>
            <w:vAlign w:val="center"/>
          </w:tcPr>
          <w:p>
            <w:pPr>
              <w:pStyle w:val="11"/>
            </w:pPr>
            <w:r>
              <w:t>791.00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791.00</w:t>
            </w:r>
          </w:p>
        </w:tc>
        <w:tc>
          <w:tcPr>
            <w:tcW w:w="1361" w:type="dxa"/>
            <w:vAlign w:val="center"/>
          </w:tcPr>
          <w:p>
            <w:pPr>
              <w:pStyle w:val="11"/>
            </w:pPr>
            <w:r>
              <w:t>791.00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791.00</w:t>
            </w:r>
          </w:p>
        </w:tc>
        <w:tc>
          <w:tcPr>
            <w:tcW w:w="1361" w:type="dxa"/>
            <w:vAlign w:val="center"/>
          </w:tcPr>
          <w:p>
            <w:pPr>
              <w:pStyle w:val="11"/>
            </w:pPr>
            <w:r>
              <w:t>791.00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136.30</w:t>
            </w:r>
          </w:p>
        </w:tc>
        <w:tc>
          <w:tcPr>
            <w:tcW w:w="1361" w:type="dxa"/>
            <w:vAlign w:val="center"/>
          </w:tcPr>
          <w:p>
            <w:pPr>
              <w:pStyle w:val="11"/>
            </w:pPr>
            <w:r>
              <w:t>136.30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133.30</w:t>
            </w:r>
          </w:p>
        </w:tc>
        <w:tc>
          <w:tcPr>
            <w:tcW w:w="1361" w:type="dxa"/>
            <w:vAlign w:val="center"/>
          </w:tcPr>
          <w:p>
            <w:pPr>
              <w:pStyle w:val="11"/>
            </w:pPr>
            <w:r>
              <w:t>133.30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14.30</w:t>
            </w:r>
          </w:p>
        </w:tc>
        <w:tc>
          <w:tcPr>
            <w:tcW w:w="1361" w:type="dxa"/>
            <w:vAlign w:val="center"/>
          </w:tcPr>
          <w:p>
            <w:pPr>
              <w:pStyle w:val="11"/>
            </w:pPr>
            <w:r>
              <w:t>14.30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101.00</w:t>
            </w:r>
          </w:p>
        </w:tc>
        <w:tc>
          <w:tcPr>
            <w:tcW w:w="1361" w:type="dxa"/>
            <w:vAlign w:val="center"/>
          </w:tcPr>
          <w:p>
            <w:pPr>
              <w:pStyle w:val="11"/>
            </w:pPr>
            <w:r>
              <w:t>101.00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972.30</w:t>
            </w:r>
          </w:p>
        </w:tc>
        <w:tc>
          <w:tcPr>
            <w:tcW w:w="3402" w:type="dxa"/>
            <w:vAlign w:val="center"/>
          </w:tcPr>
          <w:p>
            <w:pPr>
              <w:pStyle w:val="12"/>
            </w:pPr>
            <w:r>
              <w:t>一、一般公共服务支出</w:t>
            </w:r>
          </w:p>
        </w:tc>
        <w:tc>
          <w:tcPr>
            <w:tcW w:w="1474" w:type="dxa"/>
            <w:vAlign w:val="center"/>
          </w:tcPr>
          <w:p>
            <w:pPr>
              <w:pStyle w:val="11"/>
            </w:pPr>
            <w:r>
              <w:t>791.00</w:t>
            </w:r>
          </w:p>
        </w:tc>
        <w:tc>
          <w:tcPr>
            <w:tcW w:w="1474" w:type="dxa"/>
            <w:vAlign w:val="center"/>
          </w:tcPr>
          <w:p>
            <w:pPr>
              <w:pStyle w:val="11"/>
            </w:pPr>
            <w:r>
              <w:t>791.00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136.30</w:t>
            </w:r>
          </w:p>
        </w:tc>
        <w:tc>
          <w:tcPr>
            <w:tcW w:w="1474" w:type="dxa"/>
            <w:vAlign w:val="center"/>
          </w:tcPr>
          <w:p>
            <w:pPr>
              <w:pStyle w:val="11"/>
            </w:pPr>
            <w:r>
              <w:t>136.30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972.30</w:t>
            </w:r>
          </w:p>
        </w:tc>
        <w:tc>
          <w:tcPr>
            <w:tcW w:w="3402" w:type="dxa"/>
            <w:vAlign w:val="center"/>
          </w:tcPr>
          <w:p>
            <w:pPr>
              <w:pStyle w:val="14"/>
            </w:pPr>
            <w:r>
              <w:t>本年支出合计</w:t>
            </w:r>
          </w:p>
        </w:tc>
        <w:tc>
          <w:tcPr>
            <w:tcW w:w="1474" w:type="dxa"/>
            <w:vAlign w:val="center"/>
          </w:tcPr>
          <w:p>
            <w:pPr>
              <w:pStyle w:val="15"/>
            </w:pPr>
            <w:r>
              <w:t>972.30</w:t>
            </w:r>
          </w:p>
        </w:tc>
        <w:tc>
          <w:tcPr>
            <w:tcW w:w="1474" w:type="dxa"/>
            <w:vAlign w:val="center"/>
          </w:tcPr>
          <w:p>
            <w:pPr>
              <w:pStyle w:val="15"/>
            </w:pPr>
            <w:r>
              <w:t>972.30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972.30</w:t>
            </w:r>
          </w:p>
        </w:tc>
        <w:tc>
          <w:tcPr>
            <w:tcW w:w="3402" w:type="dxa"/>
            <w:vAlign w:val="center"/>
          </w:tcPr>
          <w:p>
            <w:pPr>
              <w:pStyle w:val="14"/>
            </w:pPr>
            <w:r>
              <w:t>支出总计</w:t>
            </w:r>
          </w:p>
        </w:tc>
        <w:tc>
          <w:tcPr>
            <w:tcW w:w="1474" w:type="dxa"/>
            <w:vAlign w:val="center"/>
          </w:tcPr>
          <w:p>
            <w:pPr>
              <w:pStyle w:val="15"/>
            </w:pPr>
            <w:r>
              <w:t>972.30</w:t>
            </w:r>
          </w:p>
        </w:tc>
        <w:tc>
          <w:tcPr>
            <w:tcW w:w="1474" w:type="dxa"/>
            <w:vAlign w:val="center"/>
          </w:tcPr>
          <w:p>
            <w:pPr>
              <w:pStyle w:val="15"/>
            </w:pPr>
            <w:r>
              <w:t>972.30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972.30</w:t>
            </w:r>
          </w:p>
        </w:tc>
        <w:tc>
          <w:tcPr>
            <w:tcW w:w="2551" w:type="dxa"/>
            <w:vAlign w:val="center"/>
          </w:tcPr>
          <w:p>
            <w:pPr>
              <w:pStyle w:val="15"/>
            </w:pPr>
            <w:r>
              <w:t>972.30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791.00</w:t>
            </w:r>
          </w:p>
        </w:tc>
        <w:tc>
          <w:tcPr>
            <w:tcW w:w="2551" w:type="dxa"/>
            <w:vAlign w:val="center"/>
          </w:tcPr>
          <w:p>
            <w:pPr>
              <w:pStyle w:val="11"/>
            </w:pPr>
            <w:r>
              <w:t>791.00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791.00</w:t>
            </w:r>
          </w:p>
        </w:tc>
        <w:tc>
          <w:tcPr>
            <w:tcW w:w="2551" w:type="dxa"/>
            <w:vAlign w:val="center"/>
          </w:tcPr>
          <w:p>
            <w:pPr>
              <w:pStyle w:val="11"/>
            </w:pPr>
            <w:r>
              <w:t>791.00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791.00</w:t>
            </w:r>
          </w:p>
        </w:tc>
        <w:tc>
          <w:tcPr>
            <w:tcW w:w="2551" w:type="dxa"/>
            <w:vAlign w:val="center"/>
          </w:tcPr>
          <w:p>
            <w:pPr>
              <w:pStyle w:val="11"/>
            </w:pPr>
            <w:r>
              <w:t>791.00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136.30</w:t>
            </w:r>
          </w:p>
        </w:tc>
        <w:tc>
          <w:tcPr>
            <w:tcW w:w="2551" w:type="dxa"/>
            <w:vAlign w:val="center"/>
          </w:tcPr>
          <w:p>
            <w:pPr>
              <w:pStyle w:val="11"/>
            </w:pPr>
            <w:r>
              <w:t>136.30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133.30</w:t>
            </w:r>
          </w:p>
        </w:tc>
        <w:tc>
          <w:tcPr>
            <w:tcW w:w="2551" w:type="dxa"/>
            <w:vAlign w:val="center"/>
          </w:tcPr>
          <w:p>
            <w:pPr>
              <w:pStyle w:val="11"/>
            </w:pPr>
            <w:r>
              <w:t>133.30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972.30</w:t>
            </w:r>
          </w:p>
        </w:tc>
        <w:tc>
          <w:tcPr>
            <w:tcW w:w="2551" w:type="dxa"/>
            <w:vAlign w:val="center"/>
          </w:tcPr>
          <w:p>
            <w:pPr>
              <w:pStyle w:val="15"/>
            </w:pPr>
            <w:r>
              <w:t>725.30</w:t>
            </w:r>
          </w:p>
        </w:tc>
        <w:tc>
          <w:tcPr>
            <w:tcW w:w="2551" w:type="dxa"/>
            <w:vAlign w:val="center"/>
          </w:tcPr>
          <w:p>
            <w:pPr>
              <w:pStyle w:val="15"/>
            </w:pPr>
            <w:r>
              <w:t>247.00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652.00</w:t>
            </w:r>
          </w:p>
        </w:tc>
        <w:tc>
          <w:tcPr>
            <w:tcW w:w="2551" w:type="dxa"/>
            <w:vAlign w:val="center"/>
          </w:tcPr>
          <w:p>
            <w:pPr>
              <w:pStyle w:val="11"/>
            </w:pPr>
            <w:r>
              <w:t>652.00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117.00</w:t>
            </w:r>
          </w:p>
        </w:tc>
        <w:tc>
          <w:tcPr>
            <w:tcW w:w="2551" w:type="dxa"/>
            <w:vAlign w:val="center"/>
          </w:tcPr>
          <w:p>
            <w:pPr>
              <w:pStyle w:val="11"/>
            </w:pPr>
            <w:r>
              <w:t>117.00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247.00</w:t>
            </w:r>
          </w:p>
        </w:tc>
        <w:tc>
          <w:tcPr>
            <w:tcW w:w="2551" w:type="dxa"/>
            <w:vAlign w:val="center"/>
          </w:tcPr>
          <w:p>
            <w:pPr>
              <w:pStyle w:val="11"/>
            </w:pPr>
          </w:p>
        </w:tc>
        <w:tc>
          <w:tcPr>
            <w:tcW w:w="2551" w:type="dxa"/>
            <w:vAlign w:val="center"/>
          </w:tcPr>
          <w:p>
            <w:pPr>
              <w:pStyle w:val="11"/>
            </w:pPr>
            <w:r>
              <w:t>247.00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79.00</w:t>
            </w:r>
          </w:p>
        </w:tc>
        <w:tc>
          <w:tcPr>
            <w:tcW w:w="2551" w:type="dxa"/>
            <w:vAlign w:val="center"/>
          </w:tcPr>
          <w:p>
            <w:pPr>
              <w:pStyle w:val="11"/>
            </w:pPr>
          </w:p>
        </w:tc>
        <w:tc>
          <w:tcPr>
            <w:tcW w:w="2551" w:type="dxa"/>
            <w:vAlign w:val="center"/>
          </w:tcPr>
          <w:p>
            <w:pPr>
              <w:pStyle w:val="11"/>
            </w:pPr>
            <w:r>
              <w:t>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73.30</w:t>
            </w:r>
          </w:p>
        </w:tc>
        <w:tc>
          <w:tcPr>
            <w:tcW w:w="2551" w:type="dxa"/>
            <w:vAlign w:val="center"/>
          </w:tcPr>
          <w:p>
            <w:pPr>
              <w:pStyle w:val="11"/>
            </w:pPr>
            <w:r>
              <w:t>73.30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18.00</w:t>
            </w:r>
          </w:p>
        </w:tc>
        <w:tc>
          <w:tcPr>
            <w:tcW w:w="2381" w:type="dxa"/>
            <w:vAlign w:val="center"/>
          </w:tcPr>
          <w:p>
            <w:pPr>
              <w:pStyle w:val="15"/>
            </w:pPr>
            <w:r>
              <w:t>18.00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中国共产党无极县纪律检查委员会本级2025年单位预算信息公开情况说明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按照《中华人民共和国预算法》、《地方预决算公开操作规程》和《关于进一步推进预算公开工作的实施意见》规定，现将中国共产党无极县纪律检查委员会本级2025年单位预算公开如下：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负责全县的纪律检查工作。依照党的章程和其他党内法规履行监督、执纪、问责职责。支持配合巡视、巡察工作。负责全县监察工作。依照法律规定履行监督、调查、处置职责。负责组织协调全面从严治党、党风廉政建设和反腐败宣传教育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中国共产党无极县纪律检查委员会本级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972.30万元，其中：一般公共预算收入972.30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纪律检查委员会本级年度单位预算中支出预算的总体情况。2025年支出预算972.30万元，其中基本支出972.30万元，包括人员经费725.30万元和日常公用经费247.00万元；项目支出0.00万元，主要为无项目支出。</w:t>
      </w:r>
    </w:p>
    <w:p>
      <w:pPr>
        <w:pStyle w:val="18"/>
      </w:pPr>
      <w:r>
        <w:t>3、比上年增减情况</w:t>
      </w:r>
    </w:p>
    <w:p>
      <w:pPr>
        <w:pStyle w:val="18"/>
      </w:pPr>
      <w:r>
        <w:t>2025年预算收支安排972.30万元，较2024年预算减少81.14万元，其中：基本支出减少23.14万元，主要为我单位厉行节约，缩减开支。项目支出减少58.00万元，主要为无项目支出。</w:t>
      </w:r>
    </w:p>
    <w:p>
      <w:pPr>
        <w:spacing w:before="10" w:after="10"/>
        <w:ind w:firstLine="640"/>
        <w:outlineLvl w:val="5"/>
      </w:pPr>
      <w:r>
        <w:rPr>
          <w:rFonts w:ascii="黑体" w:hAnsi="黑体" w:eastAsia="黑体" w:cs="黑体"/>
          <w:color w:val="000000"/>
          <w:sz w:val="32"/>
        </w:rPr>
        <w:t>三、机关运行经费安排情况</w:t>
      </w:r>
    </w:p>
    <w:p>
      <w:pPr>
        <w:pStyle w:val="19"/>
      </w:pPr>
      <w:r>
        <w:t>2025年，我单位机关运行经费共计安排247.00万元，主要用于日常维修、办公用房水电费、办公用房取暖费、办公用房物业管理费等日常运行支出。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18.00万元，其中因公出国（境）费0.00万元；公务用车购置及运维费18.00万元（其中：公务用车购置费为0.00万元，公务用车运维费18.00万元)；公务接待费0.00万元。与2024年相比减少3.00万元，增减变化的主要原因是我单位厉行节约，缩减开支。</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bookmarkStart w:id="1" w:name="_GoBack"/>
      <w:bookmarkEnd w:id="1"/>
    </w:p>
    <w:p>
      <w:pPr>
        <w:keepNext w:val="0"/>
        <w:keepLines w:val="0"/>
        <w:pageBreakBefore w:val="0"/>
        <w:widowControl/>
        <w:numPr>
          <w:numId w:val="0"/>
        </w:numPr>
        <w:kinsoku/>
        <w:wordWrap/>
        <w:overflowPunct/>
        <w:topLinePunct w:val="0"/>
        <w:autoSpaceDE/>
        <w:autoSpaceDN/>
        <w:bidi w:val="0"/>
        <w:adjustRightInd/>
        <w:snapToGrid/>
        <w:spacing w:before="10" w:after="10"/>
        <w:ind w:firstLine="560" w:firstLineChars="200"/>
        <w:textAlignment w:val="auto"/>
        <w:outlineLvl w:val="5"/>
        <w:rPr>
          <w:rFonts w:hint="eastAsia" w:ascii="Times New Roman" w:hAnsi="Times New Roman" w:eastAsia="方正仿宋_GBK" w:cs="Times New Roman"/>
          <w:sz w:val="28"/>
          <w:szCs w:val="20"/>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bidi="ar-SA"/>
        </w:rPr>
        <w:t>无</w:t>
      </w:r>
      <w:r>
        <w:rPr>
          <w:rFonts w:hint="eastAsia" w:eastAsia="方正仿宋_GBK" w:cs="Times New Roman"/>
          <w:sz w:val="28"/>
          <w:szCs w:val="20"/>
          <w:lang w:val="en-US" w:eastAsia="zh-CN" w:bidi="ar-SA"/>
        </w:rPr>
        <w:t>。</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中国共产党无极县纪律检查委员会本级上年末固定资产金额为310.18万元（详见下表）。本年度拟购置固定资产总额为0.00万元。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222001中国共产党无极县纪律检查委员会本级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11</w:t>
            </w:r>
          </w:p>
        </w:tc>
        <w:tc>
          <w:tcPr>
            <w:tcW w:w="2835" w:type="dxa"/>
            <w:vAlign w:val="center"/>
          </w:tcPr>
          <w:p>
            <w:pPr>
              <w:pStyle w:val="11"/>
            </w:pPr>
            <w:r>
              <w:t>147.77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759</w:t>
            </w:r>
          </w:p>
        </w:tc>
        <w:tc>
          <w:tcPr>
            <w:tcW w:w="2835" w:type="dxa"/>
            <w:vAlign w:val="center"/>
          </w:tcPr>
          <w:p>
            <w:pPr>
              <w:pStyle w:val="11"/>
            </w:pPr>
            <w:r>
              <w:t>162.41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D788E2"/>
    <w:multiLevelType w:val="singleLevel"/>
    <w:tmpl w:val="61D788E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11A5E"/>
    <w:rsid w:val="00212F99"/>
    <w:rsid w:val="002404C5"/>
    <w:rsid w:val="004E50F1"/>
    <w:rsid w:val="00911A5E"/>
    <w:rsid w:val="00B148A8"/>
    <w:rsid w:val="00E85FF0"/>
    <w:rsid w:val="1BBC70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19</Pages>
  <Words>1168</Words>
  <Characters>6659</Characters>
  <Lines>55</Lines>
  <Paragraphs>15</Paragraphs>
  <TotalTime>2</TotalTime>
  <ScaleCrop>false</ScaleCrop>
  <LinksUpToDate>false</LinksUpToDate>
  <CharactersWithSpaces>7812</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2025-02-08T02:25:00Z</dcterms:created>
  <dc:creator>Administrator</dc:creator>
  <cp:lastModifiedBy>李润泽</cp:lastModifiedBy>
  <dcterms:modified xsi:type="dcterms:W3CDTF">2025-02-20T02:27:53Z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F43CB8C51219437EB602E8BC62D68F89</vt:lpwstr>
  </property>
</Properties>
</file>