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972.30</w:t>
            </w:r>
          </w:p>
        </w:tc>
        <w:tc>
          <w:tcPr>
            <w:tcW w:w="4535" w:type="dxa"/>
            <w:vAlign w:val="center"/>
          </w:tcPr>
          <w:p>
            <w:pPr>
              <w:pStyle w:val="12"/>
            </w:pPr>
            <w:r>
              <w:t>一、一般公共服务支出</w:t>
            </w:r>
          </w:p>
        </w:tc>
        <w:tc>
          <w:tcPr>
            <w:tcW w:w="2126" w:type="dxa"/>
            <w:vAlign w:val="center"/>
          </w:tcPr>
          <w:p>
            <w:pPr>
              <w:pStyle w:val="11"/>
            </w:pPr>
            <w:r>
              <w:t>791.00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972.30</w:t>
            </w:r>
          </w:p>
        </w:tc>
        <w:tc>
          <w:tcPr>
            <w:tcW w:w="4535" w:type="dxa"/>
            <w:vAlign w:val="center"/>
          </w:tcPr>
          <w:p>
            <w:pPr>
              <w:pStyle w:val="14"/>
            </w:pPr>
            <w:r>
              <w:t>本年支出合计</w:t>
            </w:r>
          </w:p>
        </w:tc>
        <w:tc>
          <w:tcPr>
            <w:tcW w:w="2126" w:type="dxa"/>
            <w:vAlign w:val="center"/>
          </w:tcPr>
          <w:p>
            <w:pPr>
              <w:pStyle w:val="15"/>
            </w:pPr>
            <w:r>
              <w:t>972.30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972.30</w:t>
            </w:r>
          </w:p>
        </w:tc>
        <w:tc>
          <w:tcPr>
            <w:tcW w:w="4535" w:type="dxa"/>
            <w:vAlign w:val="center"/>
          </w:tcPr>
          <w:p>
            <w:pPr>
              <w:pStyle w:val="14"/>
            </w:pPr>
            <w:r>
              <w:t>支出总计</w:t>
            </w:r>
          </w:p>
        </w:tc>
        <w:tc>
          <w:tcPr>
            <w:tcW w:w="2126" w:type="dxa"/>
            <w:vAlign w:val="center"/>
          </w:tcPr>
          <w:p>
            <w:pPr>
              <w:pStyle w:val="15"/>
            </w:pPr>
            <w:r>
              <w:t>972.30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972.30</w:t>
            </w:r>
          </w:p>
        </w:tc>
        <w:tc>
          <w:tcPr>
            <w:tcW w:w="1134" w:type="dxa"/>
            <w:vAlign w:val="center"/>
          </w:tcPr>
          <w:p>
            <w:pPr>
              <w:pStyle w:val="15"/>
            </w:pPr>
            <w:r>
              <w:t>972.30</w:t>
            </w:r>
          </w:p>
        </w:tc>
        <w:tc>
          <w:tcPr>
            <w:tcW w:w="1134" w:type="dxa"/>
            <w:vAlign w:val="center"/>
          </w:tcPr>
          <w:p>
            <w:pPr>
              <w:pStyle w:val="15"/>
            </w:pPr>
            <w:r>
              <w:t>972.30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136.30</w:t>
            </w:r>
          </w:p>
        </w:tc>
        <w:tc>
          <w:tcPr>
            <w:tcW w:w="1134" w:type="dxa"/>
            <w:vAlign w:val="center"/>
          </w:tcPr>
          <w:p>
            <w:pPr>
              <w:pStyle w:val="11"/>
            </w:pPr>
            <w:r>
              <w:t>136.30</w:t>
            </w:r>
          </w:p>
        </w:tc>
        <w:tc>
          <w:tcPr>
            <w:tcW w:w="1134" w:type="dxa"/>
            <w:vAlign w:val="center"/>
          </w:tcPr>
          <w:p>
            <w:pPr>
              <w:pStyle w:val="11"/>
            </w:pPr>
            <w:r>
              <w:t>136.30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133.30</w:t>
            </w:r>
          </w:p>
        </w:tc>
        <w:tc>
          <w:tcPr>
            <w:tcW w:w="1134" w:type="dxa"/>
            <w:vAlign w:val="center"/>
          </w:tcPr>
          <w:p>
            <w:pPr>
              <w:pStyle w:val="11"/>
            </w:pPr>
            <w:r>
              <w:t>133.30</w:t>
            </w:r>
          </w:p>
        </w:tc>
        <w:tc>
          <w:tcPr>
            <w:tcW w:w="1134" w:type="dxa"/>
            <w:vAlign w:val="center"/>
          </w:tcPr>
          <w:p>
            <w:pPr>
              <w:pStyle w:val="11"/>
            </w:pPr>
            <w:r>
              <w:t>133.30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14.30</w:t>
            </w:r>
          </w:p>
        </w:tc>
        <w:tc>
          <w:tcPr>
            <w:tcW w:w="1134" w:type="dxa"/>
            <w:vAlign w:val="center"/>
          </w:tcPr>
          <w:p>
            <w:pPr>
              <w:pStyle w:val="11"/>
            </w:pPr>
            <w:r>
              <w:t>14.30</w:t>
            </w:r>
          </w:p>
        </w:tc>
        <w:tc>
          <w:tcPr>
            <w:tcW w:w="1134" w:type="dxa"/>
            <w:vAlign w:val="center"/>
          </w:tcPr>
          <w:p>
            <w:pPr>
              <w:pStyle w:val="11"/>
            </w:pPr>
            <w:r>
              <w:t>14.30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972.30</w:t>
            </w:r>
          </w:p>
        </w:tc>
        <w:tc>
          <w:tcPr>
            <w:tcW w:w="1361" w:type="dxa"/>
            <w:vAlign w:val="center"/>
          </w:tcPr>
          <w:p>
            <w:pPr>
              <w:pStyle w:val="15"/>
            </w:pPr>
            <w:r>
              <w:t>972.30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791.00</w:t>
            </w:r>
          </w:p>
        </w:tc>
        <w:tc>
          <w:tcPr>
            <w:tcW w:w="1361" w:type="dxa"/>
            <w:vAlign w:val="center"/>
          </w:tcPr>
          <w:p>
            <w:pPr>
              <w:pStyle w:val="11"/>
            </w:pPr>
            <w:r>
              <w:t>791.00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791.00</w:t>
            </w:r>
          </w:p>
        </w:tc>
        <w:tc>
          <w:tcPr>
            <w:tcW w:w="1361" w:type="dxa"/>
            <w:vAlign w:val="center"/>
          </w:tcPr>
          <w:p>
            <w:pPr>
              <w:pStyle w:val="11"/>
            </w:pPr>
            <w:r>
              <w:t>791.00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791.00</w:t>
            </w:r>
          </w:p>
        </w:tc>
        <w:tc>
          <w:tcPr>
            <w:tcW w:w="1361" w:type="dxa"/>
            <w:vAlign w:val="center"/>
          </w:tcPr>
          <w:p>
            <w:pPr>
              <w:pStyle w:val="11"/>
            </w:pPr>
            <w:r>
              <w:t>791.00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136.30</w:t>
            </w:r>
          </w:p>
        </w:tc>
        <w:tc>
          <w:tcPr>
            <w:tcW w:w="1361" w:type="dxa"/>
            <w:vAlign w:val="center"/>
          </w:tcPr>
          <w:p>
            <w:pPr>
              <w:pStyle w:val="11"/>
            </w:pPr>
            <w:r>
              <w:t>136.30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133.30</w:t>
            </w:r>
          </w:p>
        </w:tc>
        <w:tc>
          <w:tcPr>
            <w:tcW w:w="1361" w:type="dxa"/>
            <w:vAlign w:val="center"/>
          </w:tcPr>
          <w:p>
            <w:pPr>
              <w:pStyle w:val="11"/>
            </w:pPr>
            <w:r>
              <w:t>133.30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14.30</w:t>
            </w:r>
          </w:p>
        </w:tc>
        <w:tc>
          <w:tcPr>
            <w:tcW w:w="1361" w:type="dxa"/>
            <w:vAlign w:val="center"/>
          </w:tcPr>
          <w:p>
            <w:pPr>
              <w:pStyle w:val="11"/>
            </w:pPr>
            <w:r>
              <w:t>14.30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101.00</w:t>
            </w:r>
          </w:p>
        </w:tc>
        <w:tc>
          <w:tcPr>
            <w:tcW w:w="1361" w:type="dxa"/>
            <w:vAlign w:val="center"/>
          </w:tcPr>
          <w:p>
            <w:pPr>
              <w:pStyle w:val="11"/>
            </w:pPr>
            <w:r>
              <w:t>101.00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972.30</w:t>
            </w:r>
          </w:p>
        </w:tc>
        <w:tc>
          <w:tcPr>
            <w:tcW w:w="3402" w:type="dxa"/>
            <w:vAlign w:val="center"/>
          </w:tcPr>
          <w:p>
            <w:pPr>
              <w:pStyle w:val="12"/>
            </w:pPr>
            <w:r>
              <w:t>一、一般公共服务支出</w:t>
            </w:r>
          </w:p>
        </w:tc>
        <w:tc>
          <w:tcPr>
            <w:tcW w:w="1474" w:type="dxa"/>
            <w:vAlign w:val="center"/>
          </w:tcPr>
          <w:p>
            <w:pPr>
              <w:pStyle w:val="11"/>
            </w:pPr>
            <w:r>
              <w:t>791.00</w:t>
            </w:r>
          </w:p>
        </w:tc>
        <w:tc>
          <w:tcPr>
            <w:tcW w:w="1474" w:type="dxa"/>
            <w:vAlign w:val="center"/>
          </w:tcPr>
          <w:p>
            <w:pPr>
              <w:pStyle w:val="11"/>
            </w:pPr>
            <w:r>
              <w:t>791.00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136.30</w:t>
            </w:r>
          </w:p>
        </w:tc>
        <w:tc>
          <w:tcPr>
            <w:tcW w:w="1474" w:type="dxa"/>
            <w:vAlign w:val="center"/>
          </w:tcPr>
          <w:p>
            <w:pPr>
              <w:pStyle w:val="11"/>
            </w:pPr>
            <w:r>
              <w:t>136.30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972.30</w:t>
            </w:r>
          </w:p>
        </w:tc>
        <w:tc>
          <w:tcPr>
            <w:tcW w:w="3402" w:type="dxa"/>
            <w:vAlign w:val="center"/>
          </w:tcPr>
          <w:p>
            <w:pPr>
              <w:pStyle w:val="14"/>
            </w:pPr>
            <w:r>
              <w:t>本年支出合计</w:t>
            </w:r>
          </w:p>
        </w:tc>
        <w:tc>
          <w:tcPr>
            <w:tcW w:w="1474" w:type="dxa"/>
            <w:vAlign w:val="center"/>
          </w:tcPr>
          <w:p>
            <w:pPr>
              <w:pStyle w:val="15"/>
            </w:pPr>
            <w:r>
              <w:t>972.30</w:t>
            </w:r>
          </w:p>
        </w:tc>
        <w:tc>
          <w:tcPr>
            <w:tcW w:w="1474" w:type="dxa"/>
            <w:vAlign w:val="center"/>
          </w:tcPr>
          <w:p>
            <w:pPr>
              <w:pStyle w:val="15"/>
            </w:pPr>
            <w:r>
              <w:t>972.30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972.30</w:t>
            </w:r>
          </w:p>
        </w:tc>
        <w:tc>
          <w:tcPr>
            <w:tcW w:w="3402" w:type="dxa"/>
            <w:vAlign w:val="center"/>
          </w:tcPr>
          <w:p>
            <w:pPr>
              <w:pStyle w:val="14"/>
            </w:pPr>
            <w:r>
              <w:t>支出总计</w:t>
            </w:r>
          </w:p>
        </w:tc>
        <w:tc>
          <w:tcPr>
            <w:tcW w:w="1474" w:type="dxa"/>
            <w:vAlign w:val="center"/>
          </w:tcPr>
          <w:p>
            <w:pPr>
              <w:pStyle w:val="15"/>
            </w:pPr>
            <w:r>
              <w:t>972.30</w:t>
            </w:r>
          </w:p>
        </w:tc>
        <w:tc>
          <w:tcPr>
            <w:tcW w:w="1474" w:type="dxa"/>
            <w:vAlign w:val="center"/>
          </w:tcPr>
          <w:p>
            <w:pPr>
              <w:pStyle w:val="15"/>
            </w:pPr>
            <w:r>
              <w:t>972.30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972.30</w:t>
            </w:r>
          </w:p>
        </w:tc>
        <w:tc>
          <w:tcPr>
            <w:tcW w:w="2551" w:type="dxa"/>
            <w:vAlign w:val="center"/>
          </w:tcPr>
          <w:p>
            <w:pPr>
              <w:pStyle w:val="15"/>
            </w:pPr>
            <w:r>
              <w:t>972.30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791.00</w:t>
            </w:r>
          </w:p>
        </w:tc>
        <w:tc>
          <w:tcPr>
            <w:tcW w:w="2551" w:type="dxa"/>
            <w:vAlign w:val="center"/>
          </w:tcPr>
          <w:p>
            <w:pPr>
              <w:pStyle w:val="11"/>
            </w:pPr>
            <w:r>
              <w:t>791.00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791.00</w:t>
            </w:r>
          </w:p>
        </w:tc>
        <w:tc>
          <w:tcPr>
            <w:tcW w:w="2551" w:type="dxa"/>
            <w:vAlign w:val="center"/>
          </w:tcPr>
          <w:p>
            <w:pPr>
              <w:pStyle w:val="11"/>
            </w:pPr>
            <w:r>
              <w:t>791.00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791.00</w:t>
            </w:r>
          </w:p>
        </w:tc>
        <w:tc>
          <w:tcPr>
            <w:tcW w:w="2551" w:type="dxa"/>
            <w:vAlign w:val="center"/>
          </w:tcPr>
          <w:p>
            <w:pPr>
              <w:pStyle w:val="11"/>
            </w:pPr>
            <w:r>
              <w:t>791.00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136.30</w:t>
            </w:r>
          </w:p>
        </w:tc>
        <w:tc>
          <w:tcPr>
            <w:tcW w:w="2551" w:type="dxa"/>
            <w:vAlign w:val="center"/>
          </w:tcPr>
          <w:p>
            <w:pPr>
              <w:pStyle w:val="11"/>
            </w:pPr>
            <w:r>
              <w:t>136.30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133.30</w:t>
            </w:r>
          </w:p>
        </w:tc>
        <w:tc>
          <w:tcPr>
            <w:tcW w:w="2551" w:type="dxa"/>
            <w:vAlign w:val="center"/>
          </w:tcPr>
          <w:p>
            <w:pPr>
              <w:pStyle w:val="11"/>
            </w:pPr>
            <w:r>
              <w:t>133.30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972.30</w:t>
            </w:r>
          </w:p>
        </w:tc>
        <w:tc>
          <w:tcPr>
            <w:tcW w:w="2551" w:type="dxa"/>
            <w:vAlign w:val="center"/>
          </w:tcPr>
          <w:p>
            <w:pPr>
              <w:pStyle w:val="15"/>
            </w:pPr>
            <w:r>
              <w:t>725.30</w:t>
            </w:r>
          </w:p>
        </w:tc>
        <w:tc>
          <w:tcPr>
            <w:tcW w:w="2551" w:type="dxa"/>
            <w:vAlign w:val="center"/>
          </w:tcPr>
          <w:p>
            <w:pPr>
              <w:pStyle w:val="15"/>
            </w:pPr>
            <w:r>
              <w:t>247.00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652.00</w:t>
            </w:r>
          </w:p>
        </w:tc>
        <w:tc>
          <w:tcPr>
            <w:tcW w:w="2551" w:type="dxa"/>
            <w:vAlign w:val="center"/>
          </w:tcPr>
          <w:p>
            <w:pPr>
              <w:pStyle w:val="11"/>
            </w:pPr>
            <w:r>
              <w:t>652.00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117.00</w:t>
            </w:r>
          </w:p>
        </w:tc>
        <w:tc>
          <w:tcPr>
            <w:tcW w:w="2551" w:type="dxa"/>
            <w:vAlign w:val="center"/>
          </w:tcPr>
          <w:p>
            <w:pPr>
              <w:pStyle w:val="11"/>
            </w:pPr>
            <w:r>
              <w:t>117.00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247.00</w:t>
            </w:r>
          </w:p>
        </w:tc>
        <w:tc>
          <w:tcPr>
            <w:tcW w:w="2551" w:type="dxa"/>
            <w:vAlign w:val="center"/>
          </w:tcPr>
          <w:p>
            <w:pPr>
              <w:pStyle w:val="11"/>
            </w:pPr>
          </w:p>
        </w:tc>
        <w:tc>
          <w:tcPr>
            <w:tcW w:w="2551" w:type="dxa"/>
            <w:vAlign w:val="center"/>
          </w:tcPr>
          <w:p>
            <w:pPr>
              <w:pStyle w:val="11"/>
            </w:pPr>
            <w:r>
              <w:t>247.00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79.00</w:t>
            </w:r>
          </w:p>
        </w:tc>
        <w:tc>
          <w:tcPr>
            <w:tcW w:w="2551" w:type="dxa"/>
            <w:vAlign w:val="center"/>
          </w:tcPr>
          <w:p>
            <w:pPr>
              <w:pStyle w:val="11"/>
            </w:pPr>
          </w:p>
        </w:tc>
        <w:tc>
          <w:tcPr>
            <w:tcW w:w="2551" w:type="dxa"/>
            <w:vAlign w:val="center"/>
          </w:tcPr>
          <w:p>
            <w:pPr>
              <w:pStyle w:val="11"/>
            </w:pPr>
            <w:r>
              <w:t>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73.30</w:t>
            </w:r>
          </w:p>
        </w:tc>
        <w:tc>
          <w:tcPr>
            <w:tcW w:w="2551" w:type="dxa"/>
            <w:vAlign w:val="center"/>
          </w:tcPr>
          <w:p>
            <w:pPr>
              <w:pStyle w:val="11"/>
            </w:pPr>
            <w:r>
              <w:t>73.30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18.00</w:t>
            </w:r>
          </w:p>
        </w:tc>
        <w:tc>
          <w:tcPr>
            <w:tcW w:w="2381" w:type="dxa"/>
            <w:vAlign w:val="center"/>
          </w:tcPr>
          <w:p>
            <w:pPr>
              <w:pStyle w:val="15"/>
            </w:pPr>
            <w:r>
              <w:t>18.00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中国共产党无极县纪律检查委员会2025年部门预算信息公开情况说明</w:t>
      </w:r>
    </w:p>
    <w:p>
      <w:pPr>
        <w:jc w:val="center"/>
      </w:pPr>
      <w:r>
        <w:rPr>
          <w:rFonts w:ascii="方正小标宋_GBK" w:hAnsi="方正小标宋_GBK" w:eastAsia="方正小标宋_GBK" w:cs="方正小标宋_GBK"/>
          <w:color w:val="000000"/>
          <w:sz w:val="44"/>
        </w:rPr>
        <w:t>中国共产党无极县纪律检查委员会2025年部门预算信息公开情况说明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按照《中华人民共和国预算法》、《地方预决算公开操作规程》和《关于进一步推进预算公开工作的实施意见》规定，现将中国共产党无极县纪律检查委员会2025年部门预算公开如下：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负责全县的纪律检查工作。依照党的章程和其他党内法规履行监督、执纪、问责职责。支持配合巡视、巡察工作。负责全县监察工作。依照法律规定履行监督、调查、处置职责。负责组织协调全面从严治党、党风廉政建设和反腐败宣传教育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中国共产党无极县纪律检查委员会本级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按照预算管理有关规定，目前部门预算的编制实行综合预算管理，即全部收入和支出都反映在预算中。中国共产党无极县纪律检查委员会机关及所属事业单位的收支包含在部门预算中。</w:t>
      </w:r>
    </w:p>
    <w:p>
      <w:pPr>
        <w:pStyle w:val="18"/>
      </w:pPr>
      <w:r>
        <w:t>1、收入说明</w:t>
      </w:r>
    </w:p>
    <w:p>
      <w:pPr>
        <w:pStyle w:val="18"/>
      </w:pPr>
      <w:r>
        <w:t>反映本部门当年全部收入。2025年预算收入972.30万元，其中：一般公共预算收入972.30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纪律检查委员会年度部门预算中支出预算的总体情况。2025年支出预算972.30万元，其中基本支出972.30万元，包括人员经费725.30万元和日常公用经费247.00万元；项目支出0.00万元，主要为无项目支出。</w:t>
      </w:r>
    </w:p>
    <w:p>
      <w:pPr>
        <w:pStyle w:val="18"/>
      </w:pPr>
      <w:r>
        <w:t>3、比上年增减情况</w:t>
      </w:r>
    </w:p>
    <w:p>
      <w:pPr>
        <w:pStyle w:val="18"/>
      </w:pPr>
      <w:r>
        <w:t>2025年预算收支安排972.30万元，较2024年预算减少81.14万元，其中：基本支出减少23.14万元，主要为我单位厉行节约，缩减开支。项目支出减少58.00万元，主要为无项目支出。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2025年，我部门机关运行经费共计安排247.00万元，主要用于日常维修、办公用房水电费、办公用房取暖费、办公用房物业管理费等日常运行支出。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2025年，我部门财政拨款“三公”经费预算安排18.00万元，其中因公出国（境）费0.00万元；公务用车购置及运维费18.00万元（其中：公务用车购置费为0.00万元，公务用车运维费18.00万元)；公务接待费0.00万元。与2024年相比减少3.00万元，增减变化的主要原因是我单位厉行节约，缩减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spacing w:line="500" w:lineRule="exact"/>
        <w:ind w:firstLine="560"/>
      </w:pPr>
      <w:r>
        <w:rPr>
          <w:rFonts w:eastAsia="方正仿宋_GBK"/>
          <w:color w:val="000000"/>
          <w:sz w:val="28"/>
        </w:rPr>
        <w:t>（二）分项绩效目标</w:t>
      </w:r>
    </w:p>
    <w:p>
      <w:pPr>
        <w:pStyle w:val="22"/>
      </w:pPr>
      <w:r>
        <w:rPr>
          <w:rFonts w:hint="eastAsia"/>
          <w:lang w:val="en-US" w:eastAsia="zh-CN"/>
        </w:rPr>
        <w:t>1、</w:t>
      </w:r>
      <w:r>
        <w:t>加大纪律检查工作力度，促进党风廉政建设。</w:t>
      </w:r>
    </w:p>
    <w:p>
      <w:pPr>
        <w:pStyle w:val="22"/>
      </w:pPr>
      <w:r>
        <w:t>绩效目标：负责全县党的纪律检查工作</w:t>
      </w:r>
    </w:p>
    <w:p>
      <w:pPr>
        <w:pStyle w:val="22"/>
      </w:pPr>
      <w:r>
        <w:t>绩效指标：增加纪律检查次数，每月不少于2次</w:t>
      </w:r>
    </w:p>
    <w:p>
      <w:pPr>
        <w:pStyle w:val="22"/>
      </w:pPr>
      <w:r>
        <w:rPr>
          <w:rFonts w:hint="eastAsia"/>
          <w:lang w:val="en-US" w:eastAsia="zh-CN"/>
        </w:rPr>
        <w:t>2、</w:t>
      </w:r>
      <w:r>
        <w:t>加大对违法违纪案件查处力度，做好反腐败工作</w:t>
      </w:r>
    </w:p>
    <w:p>
      <w:pPr>
        <w:pStyle w:val="22"/>
      </w:pPr>
      <w:r>
        <w:t>绩效目标：依照党的章程和其他党内法规履行监督、执纪、问责职责</w:t>
      </w:r>
    </w:p>
    <w:p>
      <w:pPr>
        <w:pStyle w:val="22"/>
      </w:pPr>
      <w:r>
        <w:t>绩效指标：违法违纪案件办结率≥70%</w:t>
      </w:r>
    </w:p>
    <w:p>
      <w:pPr>
        <w:pStyle w:val="22"/>
      </w:pPr>
      <w:r>
        <w:rPr>
          <w:rFonts w:hint="eastAsia"/>
          <w:lang w:val="en-US" w:eastAsia="zh-CN"/>
        </w:rPr>
        <w:t>3、</w:t>
      </w:r>
      <w:r>
        <w:t>支持配合巡视、巡察工作</w:t>
      </w:r>
    </w:p>
    <w:p>
      <w:pPr>
        <w:pStyle w:val="22"/>
      </w:pPr>
      <w:r>
        <w:t>绩效目标：承担巡视、巡察整改日常监督责任，做好巡视、巡察整改督察督办工作，依规依纪依法处置巡视、巡察移交的反映领导干部问题线索。</w:t>
      </w:r>
    </w:p>
    <w:p>
      <w:pPr>
        <w:pStyle w:val="22"/>
      </w:pPr>
      <w:r>
        <w:t>绩效指标：巡察巡视次数≥2次</w:t>
      </w:r>
    </w:p>
    <w:p>
      <w:pPr>
        <w:pStyle w:val="22"/>
      </w:pPr>
      <w:r>
        <w:rPr>
          <w:rFonts w:hint="eastAsia"/>
          <w:lang w:val="en-US" w:eastAsia="zh-CN"/>
        </w:rPr>
        <w:t>4、</w:t>
      </w:r>
      <w:r>
        <w:t>加大监察力度，开展廉政建设和反腐败工作。</w:t>
      </w:r>
    </w:p>
    <w:p>
      <w:pPr>
        <w:pStyle w:val="22"/>
      </w:pPr>
      <w:r>
        <w:t>绩效目标：负责全县监察工作</w:t>
      </w:r>
    </w:p>
    <w:p>
      <w:pPr>
        <w:pStyle w:val="22"/>
      </w:pPr>
      <w:r>
        <w:t>绩效指标：职务违法和职务犯罪案件办结率≥60%</w:t>
      </w:r>
    </w:p>
    <w:p>
      <w:pPr>
        <w:spacing w:line="500" w:lineRule="exact"/>
        <w:ind w:firstLine="560"/>
      </w:pPr>
      <w:r>
        <w:rPr>
          <w:rFonts w:eastAsia="方正仿宋_GBK"/>
          <w:color w:val="000000"/>
          <w:sz w:val="28"/>
        </w:rPr>
        <w:t>（三）工作保障措施</w:t>
      </w:r>
    </w:p>
    <w:p>
      <w:pPr>
        <w:pStyle w:val="23"/>
      </w:pPr>
      <w:bookmarkStart w:id="20" w:name="_GoBack"/>
      <w:bookmarkEnd w:id="20"/>
      <w:r>
        <w:t>无极县纪律检查委员会部门预测可能存在的问题、环境变化的趋势，为实现年度本部门绩效目标，采取以下措施预做准备，控制偏差，保证计划目标的实现。</w:t>
      </w:r>
    </w:p>
    <w:p>
      <w:pPr>
        <w:pStyle w:val="23"/>
      </w:pPr>
      <w:r>
        <w:t>完善制度建设。制定了完善的预算绩效管理制度。制定了合理规范的工作方案，制定了严密的资金管理办法，严格按照预算执行，严把审核关，为全年预算绩效目标的实现奠定制度基础。</w:t>
      </w:r>
    </w:p>
    <w:p>
      <w:pPr>
        <w:pStyle w:val="23"/>
      </w:pPr>
      <w:r>
        <w:t>加强支出管理。通过优化支出结构、编细编实预算、加快履行政府采购手续、尽快启动项目、及时支付资金、6月底前细化代编预算、按规定及时下达资金等多种措施，确保支出进度达标。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textAlignment w:val="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numPr>
          <w:ilvl w:val="0"/>
          <w:numId w:val="1"/>
        </w:numPr>
        <w:spacing w:before="10" w:after="10" w:line="360" w:lineRule="auto"/>
        <w:ind w:left="0" w:leftChars="0" w:firstLine="640" w:firstLineChars="0"/>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textAlignment w:val="auto"/>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中国共产党无极县纪律检查委员会（含所属单位）上年末固定资产金额为310.18万元（详见下表）。本年度拟购置固定资产总额为0.00万元。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11</w:t>
            </w:r>
          </w:p>
        </w:tc>
        <w:tc>
          <w:tcPr>
            <w:tcW w:w="2835" w:type="dxa"/>
            <w:vAlign w:val="center"/>
          </w:tcPr>
          <w:p>
            <w:pPr>
              <w:pStyle w:val="11"/>
            </w:pPr>
            <w:r>
              <w:t>147.77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759</w:t>
            </w:r>
          </w:p>
        </w:tc>
        <w:tc>
          <w:tcPr>
            <w:tcW w:w="2835" w:type="dxa"/>
            <w:vAlign w:val="center"/>
          </w:tcPr>
          <w:p>
            <w:pPr>
              <w:pStyle w:val="11"/>
            </w:pPr>
            <w:r>
              <w:t>162.41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C9B83B"/>
    <w:multiLevelType w:val="singleLevel"/>
    <w:tmpl w:val="20C9B83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6FA"/>
    <w:rsid w:val="000617EC"/>
    <w:rsid w:val="00197DD2"/>
    <w:rsid w:val="00204CB4"/>
    <w:rsid w:val="003079E7"/>
    <w:rsid w:val="00DB76FA"/>
    <w:rsid w:val="00F677D5"/>
    <w:rsid w:val="218E1CD5"/>
    <w:rsid w:val="79E45207"/>
    <w:rsid w:val="7CAC3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25</Pages>
  <Words>1717</Words>
  <Characters>9788</Characters>
  <Lines>81</Lines>
  <Paragraphs>22</Paragraphs>
  <TotalTime>14</TotalTime>
  <ScaleCrop>false</ScaleCrop>
  <LinksUpToDate>false</LinksUpToDate>
  <CharactersWithSpaces>11483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2025-02-08T02:01:00Z</dcterms:created>
  <dc:creator>Administrator</dc:creator>
  <cp:lastModifiedBy>浮生</cp:lastModifiedBy>
  <dcterms:modified xsi:type="dcterms:W3CDTF">2025-10-29T03:31:08Z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B360AA420DD2461DAF02B3236A9F0CC1</vt:lpwstr>
  </property>
</Properties>
</file>